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4.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5.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6.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8.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9.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2.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3.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4.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5.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6.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7.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8.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0.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73F6C" w14:textId="5623CB2E" w:rsidR="0044071E" w:rsidRPr="00D503D0" w:rsidRDefault="0044071E" w:rsidP="00B205BA">
      <w:pPr>
        <w:spacing w:after="120" w:line="240" w:lineRule="auto"/>
        <w:rPr>
          <w:rFonts w:cs="Arial"/>
          <w:sz w:val="24"/>
          <w:szCs w:val="24"/>
        </w:rPr>
      </w:pPr>
    </w:p>
    <w:p w14:paraId="1DE28C36" w14:textId="1ED15C18" w:rsidR="00761D76" w:rsidRDefault="00761D76" w:rsidP="00B205BA">
      <w:pPr>
        <w:spacing w:after="120" w:line="240" w:lineRule="auto"/>
        <w:rPr>
          <w:rFonts w:cs="Arial"/>
          <w:sz w:val="24"/>
          <w:szCs w:val="24"/>
        </w:rPr>
      </w:pPr>
    </w:p>
    <w:p w14:paraId="37630E35" w14:textId="46B1D937" w:rsidR="00761D76" w:rsidRDefault="00761D76" w:rsidP="00B205BA">
      <w:pPr>
        <w:spacing w:after="120" w:line="240" w:lineRule="auto"/>
        <w:rPr>
          <w:rFonts w:cs="Arial"/>
          <w:sz w:val="24"/>
          <w:szCs w:val="24"/>
        </w:rPr>
      </w:pPr>
    </w:p>
    <w:p w14:paraId="301BC41B" w14:textId="77777777" w:rsidR="00761D76" w:rsidRDefault="00761D76" w:rsidP="00B205BA">
      <w:pPr>
        <w:spacing w:after="120" w:line="240" w:lineRule="auto"/>
        <w:rPr>
          <w:rFonts w:cs="Arial"/>
          <w:b/>
          <w:color w:val="000000" w:themeColor="text1"/>
          <w:sz w:val="24"/>
          <w:szCs w:val="24"/>
        </w:rPr>
      </w:pPr>
    </w:p>
    <w:p w14:paraId="6FA036D3" w14:textId="77777777" w:rsidR="00761D76" w:rsidRDefault="00761D76" w:rsidP="00B205BA">
      <w:pPr>
        <w:spacing w:after="120" w:line="240" w:lineRule="auto"/>
        <w:jc w:val="center"/>
        <w:rPr>
          <w:rFonts w:cs="Arial"/>
          <w:b/>
          <w:color w:val="000000" w:themeColor="text1"/>
          <w:sz w:val="24"/>
          <w:szCs w:val="24"/>
        </w:rPr>
      </w:pPr>
    </w:p>
    <w:p w14:paraId="4EF880E5" w14:textId="77777777" w:rsidR="00761D76" w:rsidRDefault="00761D76" w:rsidP="00B205BA">
      <w:pPr>
        <w:spacing w:after="120" w:line="240" w:lineRule="auto"/>
        <w:jc w:val="center"/>
        <w:rPr>
          <w:rFonts w:cs="Arial"/>
          <w:b/>
          <w:color w:val="000000" w:themeColor="text1"/>
          <w:sz w:val="24"/>
          <w:szCs w:val="24"/>
        </w:rPr>
      </w:pPr>
    </w:p>
    <w:p w14:paraId="71ED320F" w14:textId="77777777" w:rsidR="00761D76" w:rsidRDefault="00761D76" w:rsidP="00B205BA">
      <w:pPr>
        <w:spacing w:after="120" w:line="240" w:lineRule="auto"/>
        <w:jc w:val="center"/>
        <w:rPr>
          <w:rFonts w:cs="Arial"/>
          <w:b/>
          <w:color w:val="000000" w:themeColor="text1"/>
          <w:sz w:val="24"/>
          <w:szCs w:val="24"/>
        </w:rPr>
      </w:pPr>
    </w:p>
    <w:p w14:paraId="124CBC20" w14:textId="391483B3" w:rsidR="00761D76" w:rsidRDefault="00761D76" w:rsidP="00B205BA">
      <w:pPr>
        <w:spacing w:after="120" w:line="240" w:lineRule="auto"/>
        <w:jc w:val="center"/>
        <w:rPr>
          <w:rFonts w:cs="Arial"/>
          <w:b/>
          <w:color w:val="000000" w:themeColor="text1"/>
          <w:sz w:val="24"/>
          <w:szCs w:val="24"/>
        </w:rPr>
      </w:pPr>
    </w:p>
    <w:p w14:paraId="57E0A106" w14:textId="3636868B" w:rsidR="0005046A" w:rsidRDefault="00B205BA" w:rsidP="00B205BA">
      <w:pPr>
        <w:spacing w:after="120" w:line="240" w:lineRule="auto"/>
        <w:jc w:val="center"/>
        <w:rPr>
          <w:rFonts w:cs="Arial"/>
          <w:b/>
          <w:color w:val="000000" w:themeColor="text1"/>
          <w:sz w:val="24"/>
          <w:szCs w:val="24"/>
        </w:rPr>
      </w:pPr>
      <w:r w:rsidRPr="00D503D0">
        <w:rPr>
          <w:rFonts w:cs="Arial"/>
          <w:noProof/>
          <w:sz w:val="24"/>
          <w:szCs w:val="24"/>
          <w:lang w:val="es-MX" w:eastAsia="es-MX" w:bidi="ar-SA"/>
        </w:rPr>
        <mc:AlternateContent>
          <mc:Choice Requires="wps">
            <w:drawing>
              <wp:anchor distT="0" distB="0" distL="114300" distR="114300" simplePos="0" relativeHeight="251659264" behindDoc="0" locked="0" layoutInCell="1" allowOverlap="1" wp14:anchorId="068F7D14" wp14:editId="2D56E2DD">
                <wp:simplePos x="0" y="0"/>
                <wp:positionH relativeFrom="margin">
                  <wp:posOffset>247650</wp:posOffset>
                </wp:positionH>
                <wp:positionV relativeFrom="paragraph">
                  <wp:posOffset>170180</wp:posOffset>
                </wp:positionV>
                <wp:extent cx="5712460" cy="2654300"/>
                <wp:effectExtent l="0" t="0" r="0" b="0"/>
                <wp:wrapNone/>
                <wp:docPr id="125" name="Google Shape;125;gf2bb036d91_0_0"/>
                <wp:cNvGraphicFramePr/>
                <a:graphic xmlns:a="http://schemas.openxmlformats.org/drawingml/2006/main">
                  <a:graphicData uri="http://schemas.microsoft.com/office/word/2010/wordprocessingShape">
                    <wps:wsp>
                      <wps:cNvSpPr txBox="1"/>
                      <wps:spPr>
                        <a:xfrm>
                          <a:off x="0" y="0"/>
                          <a:ext cx="5712460" cy="2654300"/>
                        </a:xfrm>
                        <a:prstGeom prst="rect">
                          <a:avLst/>
                        </a:prstGeom>
                        <a:noFill/>
                        <a:ln>
                          <a:noFill/>
                        </a:ln>
                      </wps:spPr>
                      <wps:txbx>
                        <w:txbxContent>
                          <w:p w14:paraId="088AD3D1" w14:textId="7FB90FF2" w:rsidR="0044071E" w:rsidRPr="00F34177" w:rsidRDefault="0044071E" w:rsidP="0044071E">
                            <w:pPr>
                              <w:pStyle w:val="NormalWeb"/>
                              <w:spacing w:before="0" w:beforeAutospacing="0" w:after="0" w:afterAutospacing="0"/>
                              <w:jc w:val="center"/>
                              <w:rPr>
                                <w:rFonts w:ascii="Helvetica Neue" w:eastAsia="Helvetica Neue" w:hAnsi="Helvetica Neue" w:cs="Helvetica Neue"/>
                                <w:b/>
                                <w:bCs/>
                                <w:color w:val="E6762A"/>
                                <w:sz w:val="72"/>
                                <w:szCs w:val="72"/>
                              </w:rPr>
                            </w:pPr>
                            <w:r w:rsidRPr="00F34177">
                              <w:rPr>
                                <w:rFonts w:ascii="Helvetica Neue" w:eastAsia="Helvetica Neue" w:hAnsi="Helvetica Neue" w:cs="Helvetica Neue"/>
                                <w:b/>
                                <w:bCs/>
                                <w:color w:val="E6762A"/>
                                <w:sz w:val="72"/>
                                <w:szCs w:val="72"/>
                              </w:rPr>
                              <w:t xml:space="preserve">PLAN </w:t>
                            </w:r>
                            <w:r w:rsidR="00973279" w:rsidRPr="00F34177">
                              <w:rPr>
                                <w:rFonts w:ascii="Helvetica Neue" w:eastAsia="Helvetica Neue" w:hAnsi="Helvetica Neue" w:cs="Helvetica Neue"/>
                                <w:b/>
                                <w:bCs/>
                                <w:color w:val="E6762A"/>
                                <w:sz w:val="72"/>
                                <w:szCs w:val="72"/>
                              </w:rPr>
                              <w:t>MUNICIPAL</w:t>
                            </w:r>
                            <w:r w:rsidR="001F6751">
                              <w:rPr>
                                <w:rFonts w:ascii="Helvetica Neue" w:eastAsia="Helvetica Neue" w:hAnsi="Helvetica Neue" w:cs="Helvetica Neue"/>
                                <w:b/>
                                <w:bCs/>
                                <w:color w:val="E6762A"/>
                                <w:sz w:val="72"/>
                                <w:szCs w:val="72"/>
                              </w:rPr>
                              <w:t xml:space="preserve"> </w:t>
                            </w:r>
                            <w:r w:rsidR="001F6751" w:rsidRPr="00F34177">
                              <w:rPr>
                                <w:rFonts w:ascii="Helvetica Neue" w:eastAsia="Helvetica Neue" w:hAnsi="Helvetica Neue" w:cs="Helvetica Neue"/>
                                <w:b/>
                                <w:bCs/>
                                <w:color w:val="E6762A"/>
                                <w:sz w:val="72"/>
                                <w:szCs w:val="72"/>
                              </w:rPr>
                              <w:t>DE DESARROLLO</w:t>
                            </w:r>
                            <w:r w:rsidR="00973279">
                              <w:rPr>
                                <w:rFonts w:ascii="Helvetica Neue" w:eastAsia="Helvetica Neue" w:hAnsi="Helvetica Neue" w:cs="Helvetica Neue"/>
                                <w:b/>
                                <w:bCs/>
                                <w:color w:val="E6762A"/>
                                <w:sz w:val="72"/>
                                <w:szCs w:val="72"/>
                              </w:rPr>
                              <w:t xml:space="preserve"> DE HERMOSILLO</w:t>
                            </w:r>
                          </w:p>
                          <w:p w14:paraId="50ECA44F" w14:textId="52505837" w:rsidR="0044071E" w:rsidRPr="00F34177" w:rsidRDefault="0044071E" w:rsidP="0044071E">
                            <w:pPr>
                              <w:pStyle w:val="NormalWeb"/>
                              <w:spacing w:before="0" w:beforeAutospacing="0" w:after="0" w:afterAutospacing="0"/>
                              <w:jc w:val="center"/>
                              <w:rPr>
                                <w:color w:val="808080" w:themeColor="background1" w:themeShade="80"/>
                                <w:sz w:val="72"/>
                                <w:szCs w:val="72"/>
                              </w:rPr>
                            </w:pPr>
                            <w:r w:rsidRPr="00F34177">
                              <w:rPr>
                                <w:rFonts w:ascii="Helvetica Neue" w:eastAsia="Helvetica Neue" w:hAnsi="Helvetica Neue" w:cs="Helvetica Neue"/>
                                <w:b/>
                                <w:bCs/>
                                <w:color w:val="808080" w:themeColor="background1" w:themeShade="80"/>
                                <w:sz w:val="72"/>
                                <w:szCs w:val="72"/>
                              </w:rPr>
                              <w:t>202</w:t>
                            </w:r>
                            <w:r w:rsidR="0005046A">
                              <w:rPr>
                                <w:rFonts w:ascii="Helvetica Neue" w:eastAsia="Helvetica Neue" w:hAnsi="Helvetica Neue" w:cs="Helvetica Neue"/>
                                <w:b/>
                                <w:bCs/>
                                <w:color w:val="808080" w:themeColor="background1" w:themeShade="80"/>
                                <w:sz w:val="72"/>
                                <w:szCs w:val="72"/>
                              </w:rPr>
                              <w:t>5</w:t>
                            </w:r>
                            <w:r w:rsidRPr="00F34177">
                              <w:rPr>
                                <w:rFonts w:ascii="Helvetica Neue" w:eastAsia="Helvetica Neue" w:hAnsi="Helvetica Neue" w:cs="Helvetica Neue"/>
                                <w:b/>
                                <w:bCs/>
                                <w:color w:val="808080" w:themeColor="background1" w:themeShade="80"/>
                                <w:sz w:val="72"/>
                                <w:szCs w:val="72"/>
                              </w:rPr>
                              <w:t>-202</w:t>
                            </w:r>
                            <w:r w:rsidR="0005046A">
                              <w:rPr>
                                <w:rFonts w:ascii="Helvetica Neue" w:eastAsia="Helvetica Neue" w:hAnsi="Helvetica Neue" w:cs="Helvetica Neue"/>
                                <w:b/>
                                <w:bCs/>
                                <w:color w:val="808080" w:themeColor="background1" w:themeShade="80"/>
                                <w:sz w:val="72"/>
                                <w:szCs w:val="72"/>
                              </w:rPr>
                              <w:t>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F7D14" id="_x0000_t202" coordsize="21600,21600" o:spt="202" path="m,l,21600r21600,l21600,xe">
                <v:stroke joinstyle="miter"/>
                <v:path gradientshapeok="t" o:connecttype="rect"/>
              </v:shapetype>
              <v:shape id="Google Shape;125;gf2bb036d91_0_0" o:spid="_x0000_s1026" type="#_x0000_t202" style="position:absolute;left:0;text-align:left;margin-left:19.5pt;margin-top:13.4pt;width:449.8pt;height:2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" filled="f" stroked="f">
                <v:textbox inset="2.53958mm,1.2694mm,2.53958mm,1.2694mm">
                  <w:txbxContent>
                    <w:p w14:paraId="088AD3D1" w14:textId="7FB90FF2" w:rsidR="0044071E" w:rsidRPr="00F34177" w:rsidRDefault="0044071E" w:rsidP="0044071E">
                      <w:pPr>
                        <w:pStyle w:val="NormalWeb"/>
                        <w:spacing w:before="0" w:beforeAutospacing="0" w:after="0" w:afterAutospacing="0"/>
                        <w:jc w:val="center"/>
                        <w:rPr>
                          <w:rFonts w:ascii="Helvetica Neue" w:eastAsia="Helvetica Neue" w:hAnsi="Helvetica Neue" w:cs="Helvetica Neue"/>
                          <w:b/>
                          <w:bCs/>
                          <w:color w:val="E6762A"/>
                          <w:sz w:val="72"/>
                          <w:szCs w:val="72"/>
                        </w:rPr>
                      </w:pPr>
                      <w:r w:rsidRPr="00F34177">
                        <w:rPr>
                          <w:rFonts w:ascii="Helvetica Neue" w:eastAsia="Helvetica Neue" w:hAnsi="Helvetica Neue" w:cs="Helvetica Neue"/>
                          <w:b/>
                          <w:bCs/>
                          <w:color w:val="E6762A"/>
                          <w:sz w:val="72"/>
                          <w:szCs w:val="72"/>
                        </w:rPr>
                        <w:t xml:space="preserve">PLAN </w:t>
                      </w:r>
                      <w:r w:rsidR="00973279" w:rsidRPr="00F34177">
                        <w:rPr>
                          <w:rFonts w:ascii="Helvetica Neue" w:eastAsia="Helvetica Neue" w:hAnsi="Helvetica Neue" w:cs="Helvetica Neue"/>
                          <w:b/>
                          <w:bCs/>
                          <w:color w:val="E6762A"/>
                          <w:sz w:val="72"/>
                          <w:szCs w:val="72"/>
                        </w:rPr>
                        <w:t>MUNICIPAL</w:t>
                      </w:r>
                      <w:r w:rsidR="001F6751">
                        <w:rPr>
                          <w:rFonts w:ascii="Helvetica Neue" w:eastAsia="Helvetica Neue" w:hAnsi="Helvetica Neue" w:cs="Helvetica Neue"/>
                          <w:b/>
                          <w:bCs/>
                          <w:color w:val="E6762A"/>
                          <w:sz w:val="72"/>
                          <w:szCs w:val="72"/>
                        </w:rPr>
                        <w:t xml:space="preserve"> </w:t>
                      </w:r>
                      <w:r w:rsidR="001F6751" w:rsidRPr="00F34177">
                        <w:rPr>
                          <w:rFonts w:ascii="Helvetica Neue" w:eastAsia="Helvetica Neue" w:hAnsi="Helvetica Neue" w:cs="Helvetica Neue"/>
                          <w:b/>
                          <w:bCs/>
                          <w:color w:val="E6762A"/>
                          <w:sz w:val="72"/>
                          <w:szCs w:val="72"/>
                        </w:rPr>
                        <w:t>DE DESARROLLO</w:t>
                      </w:r>
                      <w:r w:rsidR="00973279">
                        <w:rPr>
                          <w:rFonts w:ascii="Helvetica Neue" w:eastAsia="Helvetica Neue" w:hAnsi="Helvetica Neue" w:cs="Helvetica Neue"/>
                          <w:b/>
                          <w:bCs/>
                          <w:color w:val="E6762A"/>
                          <w:sz w:val="72"/>
                          <w:szCs w:val="72"/>
                        </w:rPr>
                        <w:t xml:space="preserve"> DE HERMOSILLO</w:t>
                      </w:r>
                    </w:p>
                    <w:p w14:paraId="50ECA44F" w14:textId="52505837" w:rsidR="0044071E" w:rsidRPr="00F34177" w:rsidRDefault="0044071E" w:rsidP="0044071E">
                      <w:pPr>
                        <w:pStyle w:val="NormalWeb"/>
                        <w:spacing w:before="0" w:beforeAutospacing="0" w:after="0" w:afterAutospacing="0"/>
                        <w:jc w:val="center"/>
                        <w:rPr>
                          <w:color w:val="808080" w:themeColor="background1" w:themeShade="80"/>
                          <w:sz w:val="72"/>
                          <w:szCs w:val="72"/>
                        </w:rPr>
                      </w:pPr>
                      <w:r w:rsidRPr="00F34177">
                        <w:rPr>
                          <w:rFonts w:ascii="Helvetica Neue" w:eastAsia="Helvetica Neue" w:hAnsi="Helvetica Neue" w:cs="Helvetica Neue"/>
                          <w:b/>
                          <w:bCs/>
                          <w:color w:val="808080" w:themeColor="background1" w:themeShade="80"/>
                          <w:sz w:val="72"/>
                          <w:szCs w:val="72"/>
                        </w:rPr>
                        <w:t>202</w:t>
                      </w:r>
                      <w:r w:rsidR="0005046A">
                        <w:rPr>
                          <w:rFonts w:ascii="Helvetica Neue" w:eastAsia="Helvetica Neue" w:hAnsi="Helvetica Neue" w:cs="Helvetica Neue"/>
                          <w:b/>
                          <w:bCs/>
                          <w:color w:val="808080" w:themeColor="background1" w:themeShade="80"/>
                          <w:sz w:val="72"/>
                          <w:szCs w:val="72"/>
                        </w:rPr>
                        <w:t>5</w:t>
                      </w:r>
                      <w:r w:rsidRPr="00F34177">
                        <w:rPr>
                          <w:rFonts w:ascii="Helvetica Neue" w:eastAsia="Helvetica Neue" w:hAnsi="Helvetica Neue" w:cs="Helvetica Neue"/>
                          <w:b/>
                          <w:bCs/>
                          <w:color w:val="808080" w:themeColor="background1" w:themeShade="80"/>
                          <w:sz w:val="72"/>
                          <w:szCs w:val="72"/>
                        </w:rPr>
                        <w:t>-202</w:t>
                      </w:r>
                      <w:r w:rsidR="0005046A">
                        <w:rPr>
                          <w:rFonts w:ascii="Helvetica Neue" w:eastAsia="Helvetica Neue" w:hAnsi="Helvetica Neue" w:cs="Helvetica Neue"/>
                          <w:b/>
                          <w:bCs/>
                          <w:color w:val="808080" w:themeColor="background1" w:themeShade="80"/>
                          <w:sz w:val="72"/>
                          <w:szCs w:val="72"/>
                        </w:rPr>
                        <w:t>7</w:t>
                      </w:r>
                    </w:p>
                  </w:txbxContent>
                </v:textbox>
                <w10:wrap anchorx="margin"/>
              </v:shape>
            </w:pict>
          </mc:Fallback>
        </mc:AlternateContent>
      </w:r>
    </w:p>
    <w:p w14:paraId="7CFAE69D" w14:textId="06C00E7F" w:rsidR="0005046A" w:rsidRDefault="0005046A" w:rsidP="00B205BA">
      <w:pPr>
        <w:spacing w:after="120" w:line="240" w:lineRule="auto"/>
        <w:jc w:val="center"/>
        <w:rPr>
          <w:rFonts w:cs="Arial"/>
          <w:b/>
          <w:color w:val="000000" w:themeColor="text1"/>
          <w:sz w:val="24"/>
          <w:szCs w:val="24"/>
        </w:rPr>
      </w:pPr>
    </w:p>
    <w:p w14:paraId="58AD884A" w14:textId="14526B88" w:rsidR="0005046A" w:rsidRDefault="0005046A" w:rsidP="00B205BA">
      <w:pPr>
        <w:spacing w:after="120" w:line="240" w:lineRule="auto"/>
        <w:jc w:val="center"/>
        <w:rPr>
          <w:rFonts w:cs="Arial"/>
          <w:b/>
          <w:color w:val="000000" w:themeColor="text1"/>
          <w:sz w:val="24"/>
          <w:szCs w:val="24"/>
        </w:rPr>
      </w:pPr>
    </w:p>
    <w:p w14:paraId="38F4026B" w14:textId="41FAD842" w:rsidR="0005046A" w:rsidRDefault="0005046A" w:rsidP="00B205BA">
      <w:pPr>
        <w:spacing w:after="120" w:line="240" w:lineRule="auto"/>
        <w:jc w:val="center"/>
        <w:rPr>
          <w:rFonts w:cs="Arial"/>
          <w:b/>
          <w:color w:val="000000" w:themeColor="text1"/>
          <w:sz w:val="24"/>
          <w:szCs w:val="24"/>
        </w:rPr>
      </w:pPr>
    </w:p>
    <w:p w14:paraId="1967221C" w14:textId="2494565A" w:rsidR="0005046A" w:rsidRDefault="0005046A" w:rsidP="00B205BA">
      <w:pPr>
        <w:spacing w:after="120" w:line="240" w:lineRule="auto"/>
        <w:jc w:val="center"/>
        <w:rPr>
          <w:rFonts w:cs="Arial"/>
          <w:b/>
          <w:color w:val="000000" w:themeColor="text1"/>
          <w:sz w:val="24"/>
          <w:szCs w:val="24"/>
        </w:rPr>
      </w:pPr>
    </w:p>
    <w:p w14:paraId="69C18DCA" w14:textId="5C044A8E" w:rsidR="0005046A" w:rsidRDefault="0005046A" w:rsidP="00B205BA">
      <w:pPr>
        <w:spacing w:after="120" w:line="240" w:lineRule="auto"/>
        <w:jc w:val="center"/>
        <w:rPr>
          <w:rFonts w:cs="Arial"/>
          <w:b/>
          <w:color w:val="000000" w:themeColor="text1"/>
          <w:sz w:val="24"/>
          <w:szCs w:val="24"/>
        </w:rPr>
      </w:pPr>
    </w:p>
    <w:p w14:paraId="03F11749" w14:textId="5316F807" w:rsidR="0005046A" w:rsidRDefault="0005046A" w:rsidP="00B205BA">
      <w:pPr>
        <w:spacing w:after="120" w:line="240" w:lineRule="auto"/>
        <w:jc w:val="center"/>
        <w:rPr>
          <w:rFonts w:cs="Arial"/>
          <w:b/>
          <w:color w:val="000000" w:themeColor="text1"/>
          <w:sz w:val="24"/>
          <w:szCs w:val="24"/>
        </w:rPr>
      </w:pPr>
    </w:p>
    <w:p w14:paraId="3335FA56" w14:textId="38D18E42" w:rsidR="0005046A" w:rsidRDefault="0005046A" w:rsidP="00B205BA">
      <w:pPr>
        <w:spacing w:after="120" w:line="240" w:lineRule="auto"/>
        <w:jc w:val="center"/>
        <w:rPr>
          <w:rFonts w:cs="Arial"/>
          <w:b/>
          <w:color w:val="000000" w:themeColor="text1"/>
          <w:sz w:val="24"/>
          <w:szCs w:val="24"/>
        </w:rPr>
      </w:pPr>
    </w:p>
    <w:p w14:paraId="5A4B4BB9" w14:textId="15A4D891" w:rsidR="0005046A" w:rsidRDefault="0005046A" w:rsidP="00B205BA">
      <w:pPr>
        <w:spacing w:after="120" w:line="240" w:lineRule="auto"/>
        <w:jc w:val="center"/>
        <w:rPr>
          <w:rFonts w:cs="Arial"/>
          <w:b/>
          <w:color w:val="000000" w:themeColor="text1"/>
          <w:sz w:val="24"/>
          <w:szCs w:val="24"/>
        </w:rPr>
      </w:pPr>
    </w:p>
    <w:p w14:paraId="7014FCC7" w14:textId="703250C8" w:rsidR="0005046A" w:rsidRDefault="0005046A" w:rsidP="00B205BA">
      <w:pPr>
        <w:spacing w:after="120" w:line="240" w:lineRule="auto"/>
        <w:jc w:val="center"/>
        <w:rPr>
          <w:rFonts w:cs="Arial"/>
          <w:b/>
          <w:color w:val="000000" w:themeColor="text1"/>
          <w:sz w:val="24"/>
          <w:szCs w:val="24"/>
        </w:rPr>
      </w:pPr>
    </w:p>
    <w:p w14:paraId="5551F779" w14:textId="448FCFAC" w:rsidR="0005046A" w:rsidRDefault="0005046A" w:rsidP="00B205BA">
      <w:pPr>
        <w:spacing w:after="120" w:line="240" w:lineRule="auto"/>
        <w:jc w:val="center"/>
        <w:rPr>
          <w:rFonts w:cs="Arial"/>
          <w:b/>
          <w:color w:val="000000" w:themeColor="text1"/>
          <w:sz w:val="24"/>
          <w:szCs w:val="24"/>
        </w:rPr>
      </w:pPr>
    </w:p>
    <w:p w14:paraId="5C1ED6D8" w14:textId="262502BF" w:rsidR="0005046A" w:rsidRDefault="0005046A" w:rsidP="00B205BA">
      <w:pPr>
        <w:spacing w:after="120" w:line="240" w:lineRule="auto"/>
        <w:jc w:val="center"/>
        <w:rPr>
          <w:rFonts w:cs="Arial"/>
          <w:b/>
          <w:color w:val="000000" w:themeColor="text1"/>
          <w:sz w:val="24"/>
          <w:szCs w:val="24"/>
        </w:rPr>
      </w:pPr>
    </w:p>
    <w:p w14:paraId="74E730E6" w14:textId="644BEDC0" w:rsidR="0005046A" w:rsidRDefault="0005046A" w:rsidP="00B205BA">
      <w:pPr>
        <w:spacing w:after="120" w:line="240" w:lineRule="auto"/>
        <w:jc w:val="center"/>
        <w:rPr>
          <w:rFonts w:cs="Arial"/>
          <w:b/>
          <w:color w:val="000000" w:themeColor="text1"/>
          <w:sz w:val="24"/>
          <w:szCs w:val="24"/>
        </w:rPr>
      </w:pPr>
    </w:p>
    <w:p w14:paraId="4FECC4E0" w14:textId="4949B551" w:rsidR="0005046A" w:rsidRDefault="0005046A" w:rsidP="00B205BA">
      <w:pPr>
        <w:spacing w:after="120" w:line="240" w:lineRule="auto"/>
        <w:jc w:val="center"/>
        <w:rPr>
          <w:rFonts w:cs="Arial"/>
          <w:b/>
          <w:color w:val="000000" w:themeColor="text1"/>
          <w:sz w:val="24"/>
          <w:szCs w:val="24"/>
        </w:rPr>
      </w:pPr>
    </w:p>
    <w:p w14:paraId="2BBDCC81" w14:textId="2B5B2FCE" w:rsidR="0005046A" w:rsidRDefault="0005046A" w:rsidP="00B205BA">
      <w:pPr>
        <w:spacing w:after="120" w:line="240" w:lineRule="auto"/>
        <w:jc w:val="center"/>
        <w:rPr>
          <w:rFonts w:cs="Arial"/>
          <w:b/>
          <w:color w:val="000000" w:themeColor="text1"/>
          <w:sz w:val="24"/>
          <w:szCs w:val="24"/>
        </w:rPr>
      </w:pPr>
    </w:p>
    <w:p w14:paraId="6445BB7D" w14:textId="62369974" w:rsidR="0005046A" w:rsidRDefault="0005046A" w:rsidP="00B205BA">
      <w:pPr>
        <w:spacing w:after="120" w:line="240" w:lineRule="auto"/>
        <w:jc w:val="center"/>
        <w:rPr>
          <w:rFonts w:cs="Arial"/>
          <w:b/>
          <w:color w:val="000000" w:themeColor="text1"/>
          <w:sz w:val="24"/>
          <w:szCs w:val="24"/>
        </w:rPr>
      </w:pPr>
    </w:p>
    <w:p w14:paraId="63A9D852" w14:textId="05DCB22F" w:rsidR="0005046A" w:rsidRDefault="0005046A" w:rsidP="00B205BA">
      <w:pPr>
        <w:spacing w:after="120" w:line="240" w:lineRule="auto"/>
        <w:jc w:val="center"/>
        <w:rPr>
          <w:rFonts w:cs="Arial"/>
          <w:b/>
          <w:color w:val="000000" w:themeColor="text1"/>
          <w:sz w:val="24"/>
          <w:szCs w:val="24"/>
        </w:rPr>
      </w:pPr>
    </w:p>
    <w:p w14:paraId="3F82DC76" w14:textId="77777777" w:rsidR="00B205BA" w:rsidRDefault="00B205BA" w:rsidP="00B205BA">
      <w:pPr>
        <w:spacing w:after="120" w:line="240" w:lineRule="auto"/>
        <w:jc w:val="center"/>
        <w:rPr>
          <w:rFonts w:cs="Arial"/>
          <w:b/>
          <w:color w:val="000000" w:themeColor="text1"/>
          <w:sz w:val="24"/>
          <w:szCs w:val="24"/>
        </w:rPr>
      </w:pPr>
    </w:p>
    <w:p w14:paraId="1AD97E18" w14:textId="77777777" w:rsidR="00B205BA" w:rsidRDefault="00B205BA" w:rsidP="00B205BA">
      <w:pPr>
        <w:spacing w:after="120" w:line="240" w:lineRule="auto"/>
        <w:jc w:val="center"/>
        <w:rPr>
          <w:rFonts w:cs="Arial"/>
          <w:b/>
          <w:color w:val="000000" w:themeColor="text1"/>
          <w:sz w:val="24"/>
          <w:szCs w:val="24"/>
        </w:rPr>
      </w:pPr>
    </w:p>
    <w:p w14:paraId="7EAC7A3B" w14:textId="39DA1C60" w:rsidR="0005046A" w:rsidRDefault="0005046A" w:rsidP="00B205BA">
      <w:pPr>
        <w:spacing w:after="120" w:line="240" w:lineRule="auto"/>
        <w:jc w:val="center"/>
        <w:rPr>
          <w:rFonts w:cs="Arial"/>
          <w:b/>
          <w:color w:val="000000" w:themeColor="text1"/>
          <w:sz w:val="24"/>
          <w:szCs w:val="24"/>
        </w:rPr>
      </w:pPr>
    </w:p>
    <w:p w14:paraId="7F7F5AEC" w14:textId="53D01DF3" w:rsidR="0005046A" w:rsidRDefault="0005046A" w:rsidP="00B205BA">
      <w:pPr>
        <w:spacing w:after="120" w:line="240" w:lineRule="auto"/>
        <w:jc w:val="center"/>
        <w:rPr>
          <w:rFonts w:cs="Arial"/>
          <w:b/>
          <w:color w:val="000000" w:themeColor="text1"/>
          <w:sz w:val="24"/>
          <w:szCs w:val="24"/>
        </w:rPr>
      </w:pPr>
    </w:p>
    <w:p w14:paraId="7219C3D3" w14:textId="77777777" w:rsidR="0005046A" w:rsidRDefault="0005046A" w:rsidP="00B205BA">
      <w:pPr>
        <w:spacing w:after="120" w:line="240" w:lineRule="auto"/>
        <w:jc w:val="center"/>
        <w:rPr>
          <w:rFonts w:cs="Arial"/>
          <w:b/>
          <w:color w:val="000000" w:themeColor="text1"/>
          <w:sz w:val="24"/>
          <w:szCs w:val="24"/>
        </w:rPr>
      </w:pPr>
    </w:p>
    <w:p w14:paraId="52DE4FC8" w14:textId="77777777" w:rsidR="00761D76" w:rsidRDefault="00761D76" w:rsidP="00B205BA">
      <w:pPr>
        <w:spacing w:after="120" w:line="240" w:lineRule="auto"/>
        <w:jc w:val="center"/>
        <w:rPr>
          <w:rFonts w:cs="Arial"/>
          <w:b/>
          <w:color w:val="000000" w:themeColor="text1"/>
          <w:sz w:val="24"/>
          <w:szCs w:val="24"/>
        </w:rPr>
      </w:pPr>
    </w:p>
    <w:p w14:paraId="2A7DD5B8" w14:textId="77777777" w:rsidR="00761D76" w:rsidRDefault="00761D76" w:rsidP="00B205BA">
      <w:pPr>
        <w:spacing w:after="120" w:line="240" w:lineRule="auto"/>
        <w:jc w:val="center"/>
        <w:rPr>
          <w:rFonts w:cs="Arial"/>
          <w:b/>
          <w:color w:val="000000" w:themeColor="text1"/>
          <w:sz w:val="24"/>
          <w:szCs w:val="24"/>
        </w:rPr>
      </w:pPr>
    </w:p>
    <w:p w14:paraId="1E8DA0DB" w14:textId="4C7C2877" w:rsidR="008905CC" w:rsidRDefault="008905CC" w:rsidP="00B205BA">
      <w:pPr>
        <w:spacing w:after="120" w:line="240" w:lineRule="auto"/>
        <w:jc w:val="center"/>
        <w:rPr>
          <w:b/>
          <w:bCs/>
          <w:sz w:val="28"/>
          <w:szCs w:val="28"/>
        </w:rPr>
      </w:pPr>
      <w:r w:rsidRPr="00C660A8">
        <w:rPr>
          <w:b/>
          <w:bCs/>
          <w:sz w:val="28"/>
          <w:szCs w:val="28"/>
        </w:rPr>
        <w:lastRenderedPageBreak/>
        <w:t>Mensaje del President</w:t>
      </w:r>
      <w:r>
        <w:rPr>
          <w:b/>
          <w:bCs/>
          <w:sz w:val="28"/>
          <w:szCs w:val="28"/>
        </w:rPr>
        <w:t>e</w:t>
      </w:r>
      <w:r w:rsidRPr="00C660A8">
        <w:rPr>
          <w:b/>
          <w:bCs/>
          <w:sz w:val="28"/>
          <w:szCs w:val="28"/>
        </w:rPr>
        <w:t xml:space="preserve"> Municipal</w:t>
      </w:r>
    </w:p>
    <w:p w14:paraId="5229381E" w14:textId="77777777" w:rsidR="00C15D49" w:rsidRPr="008905CC" w:rsidRDefault="00C15D49" w:rsidP="00B205BA">
      <w:pPr>
        <w:spacing w:after="120" w:line="240" w:lineRule="auto"/>
        <w:jc w:val="center"/>
        <w:rPr>
          <w:b/>
          <w:bCs/>
          <w:sz w:val="28"/>
          <w:szCs w:val="28"/>
        </w:rPr>
      </w:pPr>
    </w:p>
    <w:p w14:paraId="29AD3D32" w14:textId="77A84027" w:rsidR="008905CC" w:rsidRPr="00E766ED" w:rsidRDefault="008905CC" w:rsidP="00B205BA">
      <w:pPr>
        <w:spacing w:after="120" w:line="240" w:lineRule="auto"/>
      </w:pPr>
      <w:r w:rsidRPr="00E766ED">
        <w:t>Hermosillo se ha distinguido por ser una sociedad de firmes convicciones. Por primera vez en 324 años de historia, nuestro municipio vive un periodo constitucional con reelección, y me honra contar con la confianza de la ciudadanía para continuar trabajando por el futuro de nuestra ciudad.</w:t>
      </w:r>
    </w:p>
    <w:p w14:paraId="187AB5F1" w14:textId="0CB214A1" w:rsidR="008905CC" w:rsidRPr="00E766ED" w:rsidRDefault="008905CC" w:rsidP="00B205BA">
      <w:pPr>
        <w:spacing w:after="120" w:line="240" w:lineRule="auto"/>
      </w:pPr>
      <w:r w:rsidRPr="00E766ED">
        <w:t>Mi compromiso es con todas y todos los que habitamos este maravilloso municipio. Estamos en el camino correcto, avanzando con certeza y sabiendo que cada paso nos acerca a la meta. Estamos superando incluso a algunas de las grandes capitales del mundo, con acciones decididas y visionarias.</w:t>
      </w:r>
    </w:p>
    <w:p w14:paraId="1A0D3713" w14:textId="26CE0CBA" w:rsidR="008905CC" w:rsidRPr="00E766ED" w:rsidRDefault="008905CC" w:rsidP="00B205BA">
      <w:pPr>
        <w:spacing w:after="120" w:line="240" w:lineRule="auto"/>
      </w:pPr>
      <w:r w:rsidRPr="00E766ED">
        <w:t>Para mejorar, debemos aprender de los mejores. Según el índice global de habitabilidad de 2024, las ciudades mejor calificadas para vivir son: Viena (Austria), Copenhague (Dinamarca), Melbourne (Australia), Zúrich (Suiza) y Calgary (Canadá).</w:t>
      </w:r>
    </w:p>
    <w:p w14:paraId="7E7B9AC9" w14:textId="49CB03CD" w:rsidR="008905CC" w:rsidRPr="00E766ED" w:rsidRDefault="008905CC" w:rsidP="00B205BA">
      <w:pPr>
        <w:spacing w:after="120" w:line="240" w:lineRule="auto"/>
      </w:pPr>
      <w:r w:rsidRPr="00E766ED">
        <w:t>¿Qué tienen en común estas ciudades? Un transporte público eficiente, calles seguras, acceso universal a servicios básicos, infraestructura que facilita la vida urbana, actividades culturales, ingresos estables y un firme compromiso con el desarrollo sostenible, entre otros aspectos.</w:t>
      </w:r>
    </w:p>
    <w:p w14:paraId="54A79A02" w14:textId="0C5DAD36" w:rsidR="008905CC" w:rsidRPr="008905CC" w:rsidRDefault="008905CC" w:rsidP="00B205BA">
      <w:pPr>
        <w:spacing w:after="120" w:line="240" w:lineRule="auto"/>
      </w:pPr>
      <w:r w:rsidRPr="00E766ED">
        <w:t xml:space="preserve">Siguiendo estos estándares globales, en los últimos tres años hemos logrado transformar y orientar el crecimiento de Hermosillo hacia el modelo de una ciudad inteligente, alcanzando los niveles de habitabilidad que las y los hermosillenses merecen. </w:t>
      </w:r>
    </w:p>
    <w:p w14:paraId="7C6169A6" w14:textId="00CAAD03" w:rsidR="008905CC" w:rsidRPr="00E766ED" w:rsidRDefault="008905CC" w:rsidP="00B205BA">
      <w:pPr>
        <w:spacing w:after="120" w:line="240" w:lineRule="auto"/>
      </w:pPr>
      <w:r w:rsidRPr="00E766ED">
        <w:t xml:space="preserve">En infraestructura invertimos en Hermosillo como nunca antes: 1,800 millones de pesos en parques públicos, unidades deportivas, espacios culturales, corredores turísticos, calles y avenidas, energía solar, árboles sembrados y en obra social y productiva. </w:t>
      </w:r>
    </w:p>
    <w:p w14:paraId="401EEE34" w14:textId="77777777" w:rsidR="008905CC" w:rsidRPr="00E766ED" w:rsidRDefault="008905CC" w:rsidP="00B205BA">
      <w:pPr>
        <w:spacing w:after="120" w:line="240" w:lineRule="auto"/>
      </w:pPr>
      <w:r w:rsidRPr="00E766ED">
        <w:t>Además, de 2021 a 2024 logramos duplicar los ingresos propios hasta por 1,200 millones de pesos anuales adicionales, lo que permitió contar con una independencia presupuestal sin precedente en la historia del municipio.</w:t>
      </w:r>
    </w:p>
    <w:p w14:paraId="7386783A" w14:textId="7A5C0EFF" w:rsidR="008905CC" w:rsidRPr="00E766ED" w:rsidRDefault="008905CC" w:rsidP="00B205BA">
      <w:pPr>
        <w:spacing w:after="120" w:line="240" w:lineRule="auto"/>
      </w:pPr>
      <w:r w:rsidRPr="00E766ED">
        <w:t>Las y los hermosillenses le han dado las calificaciones más altas a los servicios públicos municipales y a nivel nacional, la recolección de basura está evaluado como el mejor de todo México.</w:t>
      </w:r>
    </w:p>
    <w:p w14:paraId="2ACD1263" w14:textId="38B854B5" w:rsidR="008905CC" w:rsidRPr="00E766ED" w:rsidRDefault="008905CC" w:rsidP="00B205BA">
      <w:pPr>
        <w:spacing w:after="120" w:line="240" w:lineRule="auto"/>
      </w:pPr>
      <w:r w:rsidRPr="00E766ED">
        <w:t>Contamos con el nivel más alto de confianza ciudadana en la historia de Hermosillo y, en materia de seguridad, somos la capital estatal que más ha bajado la percepción de inseguridad en México.</w:t>
      </w:r>
    </w:p>
    <w:p w14:paraId="7BF22E80" w14:textId="129683BD" w:rsidR="008905CC" w:rsidRPr="00E766ED" w:rsidRDefault="008905CC" w:rsidP="00B205BA">
      <w:pPr>
        <w:spacing w:after="120" w:line="240" w:lineRule="auto"/>
      </w:pPr>
      <w:r w:rsidRPr="00E766ED">
        <w:t xml:space="preserve">En materia de estabilidad económica familiar, de octubre a enero de 2024 se han generado más de 12 mil nuevos empleos, lo que nos ubica dentro de las 4 ciudades más dinámicas en la creación de fuentes de trabajo. </w:t>
      </w:r>
    </w:p>
    <w:p w14:paraId="2C04FC59" w14:textId="3348B749" w:rsidR="008905CC" w:rsidRPr="00B67D9A" w:rsidRDefault="008905CC" w:rsidP="00B205BA">
      <w:pPr>
        <w:spacing w:after="120" w:line="240" w:lineRule="auto"/>
      </w:pPr>
      <w:r w:rsidRPr="00B67D9A">
        <w:t xml:space="preserve">Hace tres años, te propuse un enfoque diferente: </w:t>
      </w:r>
      <w:r w:rsidRPr="00E766ED">
        <w:t>soluciones nuevas a los viejos problemas</w:t>
      </w:r>
      <w:r w:rsidRPr="00B67D9A">
        <w:t>, dejando de lado los intereses de grupo y las divisiones partidistas. Y lo cumplí.</w:t>
      </w:r>
    </w:p>
    <w:p w14:paraId="1722E760" w14:textId="07AC4C41" w:rsidR="008905CC" w:rsidRPr="00B67D9A" w:rsidRDefault="008905CC" w:rsidP="00B205BA">
      <w:pPr>
        <w:spacing w:after="120" w:line="240" w:lineRule="auto"/>
      </w:pPr>
      <w:r w:rsidRPr="00B67D9A">
        <w:t>Seguiremos trabajando para "Crecer más, crecer juntos y crecer parejos", con acciones concretas y soluciones efectivas.</w:t>
      </w:r>
    </w:p>
    <w:p w14:paraId="31131C67" w14:textId="77777777" w:rsidR="008905CC" w:rsidRPr="00B67D9A" w:rsidRDefault="008905CC" w:rsidP="00B205BA">
      <w:pPr>
        <w:spacing w:after="120" w:line="240" w:lineRule="auto"/>
      </w:pPr>
      <w:r w:rsidRPr="00B67D9A">
        <w:t>Aplicaremos la tecnología y la inteligencia artificial de manera exclusiva para tu bienestar y el de tu familia.</w:t>
      </w:r>
    </w:p>
    <w:p w14:paraId="2B316112" w14:textId="77F62031" w:rsidR="008905CC" w:rsidRPr="00B67D9A" w:rsidRDefault="008905CC" w:rsidP="00B205BA">
      <w:pPr>
        <w:spacing w:after="120" w:line="240" w:lineRule="auto"/>
      </w:pPr>
      <w:r w:rsidRPr="00B67D9A">
        <w:lastRenderedPageBreak/>
        <w:t>Tu seguridad es nuestra más alta prioridad. Blindaremos a Hermosillo ampliando a 320 la flotilla de patrullas eléctricas, y los Centros de Respuesta Rápida crecerán en cobertura y equipamiento.</w:t>
      </w:r>
    </w:p>
    <w:p w14:paraId="77735361" w14:textId="383DFC0D" w:rsidR="008905CC" w:rsidRPr="00E766ED" w:rsidRDefault="008905CC" w:rsidP="00B205BA">
      <w:pPr>
        <w:spacing w:after="120" w:line="240" w:lineRule="auto"/>
      </w:pPr>
      <w:r w:rsidRPr="00E766ED">
        <w:t>Instalaremos 500 cámaras de vigilancia en puntos estratégicos de la ciudad y habrá más Corredores de Camina Segura equipados con Internet, cámaras de vigilancia y botón de pánico.</w:t>
      </w:r>
    </w:p>
    <w:p w14:paraId="63CC41DE" w14:textId="407C9B00" w:rsidR="008905CC" w:rsidRPr="00E766ED" w:rsidRDefault="008905CC" w:rsidP="00B205BA">
      <w:pPr>
        <w:spacing w:after="120" w:line="240" w:lineRule="auto"/>
      </w:pPr>
      <w:r w:rsidRPr="00E766ED">
        <w:t xml:space="preserve">Con mil millones de pesos </w:t>
      </w:r>
      <w:r w:rsidR="00233CB3">
        <w:t>para invertir</w:t>
      </w:r>
      <w:r w:rsidRPr="00E766ED">
        <w:t xml:space="preserve"> durante 2025</w:t>
      </w:r>
      <w:r>
        <w:t>,</w:t>
      </w:r>
      <w:r w:rsidRPr="00E766ED">
        <w:t xml:space="preserve"> lo primero será pavimentar las calles de las colonias, rehabilitar más parques y más unidades deportivas, para que los niños y jóvenes tengan espacios de esparcimiento sanos, que promuevan su salud integral.</w:t>
      </w:r>
    </w:p>
    <w:p w14:paraId="2E07C8E7" w14:textId="77777777" w:rsidR="008905CC" w:rsidRPr="00E766ED" w:rsidRDefault="008905CC" w:rsidP="00B205BA">
      <w:pPr>
        <w:spacing w:after="120" w:line="240" w:lineRule="auto"/>
      </w:pPr>
      <w:r w:rsidRPr="00E766ED">
        <w:t>También verás paradas de camiones refrigeradas y equipadas; más pasos a desnivel; dos nuevos libramientos; un nuevo Cárcamo, semáforos sincronizados y sensores de la más alta tecnología para medir la calidad del aire, detectar incendios y ubicar en tiempo real fugas de agua en la red.</w:t>
      </w:r>
    </w:p>
    <w:p w14:paraId="7930A155" w14:textId="0F3138A1" w:rsidR="008905CC" w:rsidRPr="00E766ED" w:rsidRDefault="008905CC" w:rsidP="00B205BA">
      <w:pPr>
        <w:spacing w:after="120" w:line="240" w:lineRule="auto"/>
      </w:pPr>
      <w:r w:rsidRPr="00E766ED">
        <w:t>Con HBus, transporte eléctrico y gratuito, las y los jóvenes viajarán seguros y a tiempo desde su casa o comunidad hasta la universidad. Seguiremos apoyando la economía de las familias y equipando con paneles solares las casas de las jefas de familia, adultos mayores, personas discapacitadas y organizaciones de la sociedad civil.</w:t>
      </w:r>
    </w:p>
    <w:p w14:paraId="73AB1C21" w14:textId="6E563075" w:rsidR="008905CC" w:rsidRPr="00E766ED" w:rsidRDefault="008905CC" w:rsidP="00B205BA">
      <w:pPr>
        <w:spacing w:after="120" w:line="240" w:lineRule="auto"/>
      </w:pPr>
      <w:r w:rsidRPr="00E766ED">
        <w:t xml:space="preserve">El presupuesto CRECES crecerá para que miles de hermosillenses sigan decidiendo las obras que quieren en su colonia, y a CRECES en Salud le sumaremos el programa Médico en Tu Casa para estar al pendiente de la salud de nuestras y nuestros adultos mayores. </w:t>
      </w:r>
    </w:p>
    <w:p w14:paraId="1F70DED4" w14:textId="7B8DECA4" w:rsidR="008905CC" w:rsidRPr="00E766ED" w:rsidRDefault="008905CC" w:rsidP="00B205BA">
      <w:pPr>
        <w:spacing w:after="120" w:line="240" w:lineRule="auto"/>
      </w:pPr>
      <w:r w:rsidRPr="00E766ED">
        <w:t xml:space="preserve">He resaltado algunas de las principales acciones contempladas en </w:t>
      </w:r>
      <w:r>
        <w:t>este</w:t>
      </w:r>
      <w:r w:rsidRPr="00E766ED">
        <w:t xml:space="preserve"> Plan Municipal de Desarrollo 2025-2027, con la convicción de que, si seguimos trabajando juntos, podemos poner a nuestro municipio a la altura de las mejores ciudades del mundo.</w:t>
      </w:r>
    </w:p>
    <w:p w14:paraId="424B3A6D" w14:textId="0EBC3E67" w:rsidR="008905CC" w:rsidRDefault="008905CC" w:rsidP="00B205BA">
      <w:pPr>
        <w:spacing w:after="120" w:line="240" w:lineRule="auto"/>
      </w:pPr>
      <w:r w:rsidRPr="00E766ED">
        <w:t>Te agradezco profundamente por renovar tu confianza en mí. Juntos, seguiremos trabajando en equipo por el bienestar de las familias hermosillenses, con un gobierno inclusivo y de puertas abiertas, manteniendo el mismo entusiasmo del primer día.</w:t>
      </w:r>
    </w:p>
    <w:p w14:paraId="6D00C224" w14:textId="77777777" w:rsidR="008905CC" w:rsidRPr="00E766ED" w:rsidRDefault="008905CC" w:rsidP="00B205BA">
      <w:pPr>
        <w:spacing w:after="120" w:line="240" w:lineRule="auto"/>
      </w:pPr>
    </w:p>
    <w:p w14:paraId="5B0D2E41" w14:textId="77777777" w:rsidR="008905CC" w:rsidRPr="00E766ED" w:rsidRDefault="008905CC" w:rsidP="00B205BA">
      <w:pPr>
        <w:spacing w:after="120" w:line="240" w:lineRule="auto"/>
        <w:jc w:val="center"/>
      </w:pPr>
      <w:r>
        <w:t>Muchas g</w:t>
      </w:r>
      <w:r w:rsidRPr="00E766ED">
        <w:t>racias</w:t>
      </w:r>
      <w:r>
        <w:t xml:space="preserve"> </w:t>
      </w:r>
    </w:p>
    <w:p w14:paraId="0AB40BA7" w14:textId="77777777" w:rsidR="008905CC" w:rsidRPr="00E766ED" w:rsidRDefault="008905CC" w:rsidP="00B205BA">
      <w:pPr>
        <w:spacing w:after="120" w:line="240" w:lineRule="auto"/>
        <w:rPr>
          <w:b/>
          <w:bCs/>
        </w:rPr>
      </w:pPr>
    </w:p>
    <w:p w14:paraId="10A36CAD" w14:textId="77777777" w:rsidR="008905CC" w:rsidRPr="00E766ED" w:rsidRDefault="008905CC" w:rsidP="00B205BA">
      <w:pPr>
        <w:spacing w:after="120" w:line="240" w:lineRule="auto"/>
        <w:jc w:val="center"/>
        <w:rPr>
          <w:b/>
          <w:bCs/>
        </w:rPr>
      </w:pPr>
      <w:r w:rsidRPr="00E766ED">
        <w:rPr>
          <w:b/>
          <w:bCs/>
        </w:rPr>
        <w:t>Antonio Astiazarán Gutiérrez</w:t>
      </w:r>
    </w:p>
    <w:p w14:paraId="081B2418" w14:textId="77777777" w:rsidR="00516DB0" w:rsidRDefault="00516DB0" w:rsidP="00B205BA">
      <w:pPr>
        <w:spacing w:after="120" w:line="240" w:lineRule="auto"/>
        <w:rPr>
          <w:rFonts w:cs="Arial"/>
          <w:b/>
          <w:color w:val="000000" w:themeColor="text1"/>
          <w:sz w:val="24"/>
          <w:szCs w:val="24"/>
        </w:rPr>
      </w:pPr>
    </w:p>
    <w:p w14:paraId="0522ED8E" w14:textId="77777777" w:rsidR="00B205BA" w:rsidRDefault="00B205BA" w:rsidP="00B205BA">
      <w:pPr>
        <w:spacing w:after="120" w:line="240" w:lineRule="auto"/>
        <w:rPr>
          <w:rFonts w:cs="Arial"/>
          <w:b/>
          <w:color w:val="000000" w:themeColor="text1"/>
          <w:sz w:val="24"/>
          <w:szCs w:val="24"/>
        </w:rPr>
      </w:pPr>
    </w:p>
    <w:p w14:paraId="24CF69D7" w14:textId="77777777" w:rsidR="00B205BA" w:rsidRDefault="00B205BA" w:rsidP="00B205BA">
      <w:pPr>
        <w:spacing w:after="120" w:line="240" w:lineRule="auto"/>
        <w:rPr>
          <w:rFonts w:cs="Arial"/>
          <w:b/>
          <w:color w:val="000000" w:themeColor="text1"/>
          <w:sz w:val="24"/>
          <w:szCs w:val="24"/>
        </w:rPr>
      </w:pPr>
    </w:p>
    <w:p w14:paraId="08F35969" w14:textId="77777777" w:rsidR="00B205BA" w:rsidRDefault="00B205BA" w:rsidP="00B205BA">
      <w:pPr>
        <w:spacing w:after="120" w:line="240" w:lineRule="auto"/>
        <w:rPr>
          <w:rFonts w:cs="Arial"/>
          <w:b/>
          <w:color w:val="000000" w:themeColor="text1"/>
          <w:sz w:val="24"/>
          <w:szCs w:val="24"/>
        </w:rPr>
      </w:pPr>
    </w:p>
    <w:p w14:paraId="42B34534" w14:textId="77777777" w:rsidR="00B205BA" w:rsidRDefault="00B205BA" w:rsidP="00B205BA">
      <w:pPr>
        <w:spacing w:after="120" w:line="240" w:lineRule="auto"/>
        <w:rPr>
          <w:rFonts w:cs="Arial"/>
          <w:b/>
          <w:color w:val="000000" w:themeColor="text1"/>
          <w:sz w:val="24"/>
          <w:szCs w:val="24"/>
        </w:rPr>
      </w:pPr>
    </w:p>
    <w:p w14:paraId="3459A820" w14:textId="77777777" w:rsidR="00B205BA" w:rsidRDefault="00B205BA" w:rsidP="00B205BA">
      <w:pPr>
        <w:spacing w:after="120" w:line="240" w:lineRule="auto"/>
        <w:rPr>
          <w:rFonts w:cs="Arial"/>
          <w:b/>
          <w:color w:val="000000" w:themeColor="text1"/>
          <w:sz w:val="24"/>
          <w:szCs w:val="24"/>
        </w:rPr>
      </w:pPr>
    </w:p>
    <w:p w14:paraId="31C607AA" w14:textId="77777777" w:rsidR="00B205BA" w:rsidRDefault="00B205BA" w:rsidP="00B205BA">
      <w:pPr>
        <w:spacing w:after="120" w:line="240" w:lineRule="auto"/>
        <w:rPr>
          <w:rFonts w:cs="Arial"/>
          <w:b/>
          <w:color w:val="000000" w:themeColor="text1"/>
          <w:sz w:val="24"/>
          <w:szCs w:val="24"/>
        </w:rPr>
      </w:pPr>
    </w:p>
    <w:p w14:paraId="25CC8A80" w14:textId="77777777" w:rsidR="00B205BA" w:rsidRDefault="00B205BA" w:rsidP="00B205BA">
      <w:pPr>
        <w:spacing w:after="120" w:line="240" w:lineRule="auto"/>
        <w:rPr>
          <w:rFonts w:cs="Arial"/>
          <w:b/>
          <w:color w:val="000000" w:themeColor="text1"/>
          <w:sz w:val="24"/>
          <w:szCs w:val="24"/>
        </w:rPr>
      </w:pPr>
    </w:p>
    <w:p w14:paraId="5BF9E231" w14:textId="77777777" w:rsidR="00B205BA" w:rsidRDefault="00B205BA" w:rsidP="00B205BA">
      <w:pPr>
        <w:spacing w:after="120" w:line="240" w:lineRule="auto"/>
        <w:rPr>
          <w:rFonts w:cs="Arial"/>
          <w:b/>
          <w:color w:val="000000" w:themeColor="text1"/>
          <w:sz w:val="24"/>
          <w:szCs w:val="24"/>
        </w:rPr>
      </w:pPr>
    </w:p>
    <w:p w14:paraId="1E8B19FF" w14:textId="003EE671" w:rsidR="0008467F" w:rsidRPr="00516DB0" w:rsidRDefault="0008467F" w:rsidP="00B205BA">
      <w:pPr>
        <w:spacing w:after="120" w:line="240" w:lineRule="auto"/>
        <w:rPr>
          <w:rFonts w:cs="Arial"/>
          <w:b/>
          <w:bCs/>
          <w:sz w:val="28"/>
          <w:szCs w:val="28"/>
        </w:rPr>
      </w:pPr>
      <w:r w:rsidRPr="00516DB0">
        <w:rPr>
          <w:rFonts w:cs="Arial"/>
          <w:b/>
          <w:bCs/>
          <w:sz w:val="28"/>
          <w:szCs w:val="28"/>
        </w:rPr>
        <w:lastRenderedPageBreak/>
        <w:t>Introducción</w:t>
      </w:r>
    </w:p>
    <w:p w14:paraId="59710EB2" w14:textId="77777777" w:rsidR="0008467F" w:rsidRPr="00525F95" w:rsidRDefault="0008467F" w:rsidP="00B205BA">
      <w:pPr>
        <w:spacing w:after="120" w:line="240" w:lineRule="auto"/>
        <w:rPr>
          <w:rFonts w:cs="Arial"/>
        </w:rPr>
      </w:pPr>
      <w:r w:rsidRPr="00525F95">
        <w:rPr>
          <w:rFonts w:cs="Arial"/>
        </w:rPr>
        <w:t xml:space="preserve">Con el presente ejercicio de planeación, el gobierno municipal de Hermosillo refrenda su compromiso de trabajar de la mano con los ciudadanos para consolidar un Hermosillo más seguro, más próspero, inclusivo y sustentable. </w:t>
      </w:r>
    </w:p>
    <w:p w14:paraId="614DB24E" w14:textId="77777777" w:rsidR="0008467F" w:rsidRPr="00525F95" w:rsidRDefault="0008467F" w:rsidP="00B205BA">
      <w:pPr>
        <w:spacing w:after="120" w:line="240" w:lineRule="auto"/>
        <w:rPr>
          <w:rFonts w:cs="Arial"/>
        </w:rPr>
      </w:pPr>
      <w:r w:rsidRPr="00525F95">
        <w:rPr>
          <w:rFonts w:cs="Arial"/>
        </w:rPr>
        <w:t>Para lograrlo, mantendremos el diálogo abierto y cercano con la comunidad, que en los últimos tres años ha sido fundamental para definir el rumbo del municipio. Gracias a diversos mecanismos de participación, hemos establecido objetivos claros que, ahora más que nunca, nos permitirán enfrentar nuestros retos como comunidad y avanzar con paso firme hacia el Hermosillo al que todas y todos aspiramos.</w:t>
      </w:r>
    </w:p>
    <w:p w14:paraId="7CBE4CE6" w14:textId="77777777" w:rsidR="0008467F" w:rsidRPr="00525F95" w:rsidRDefault="0008467F" w:rsidP="00B205BA">
      <w:pPr>
        <w:spacing w:after="120" w:line="240" w:lineRule="auto"/>
        <w:rPr>
          <w:rFonts w:cs="Arial"/>
        </w:rPr>
      </w:pPr>
      <w:r w:rsidRPr="00525F95">
        <w:rPr>
          <w:rFonts w:cs="Arial"/>
        </w:rPr>
        <w:t xml:space="preserve">El Plan Municipal de Desarrollo 2025-2027 continúa apostando al incremento en los ingresos propios y a la mejora de la eficiencia en el gasto público mediante un presupuesto orientado a resultados, con lo que garantizamos que cada peso recaudado se destine a proyectos que eleven la calidad de vida de la ciudadanía. </w:t>
      </w:r>
    </w:p>
    <w:p w14:paraId="2B990958" w14:textId="77777777" w:rsidR="0008467F" w:rsidRPr="00525F95" w:rsidRDefault="0008467F" w:rsidP="00B205BA">
      <w:pPr>
        <w:spacing w:after="120" w:line="240" w:lineRule="auto"/>
        <w:rPr>
          <w:rFonts w:cs="Arial"/>
        </w:rPr>
      </w:pPr>
      <w:r w:rsidRPr="00525F95">
        <w:rPr>
          <w:rFonts w:cs="Arial"/>
        </w:rPr>
        <w:t xml:space="preserve">Nuestra meta es que las decisiones de este gobierno sigan impulsando condiciones sociales más justas, una economía local más equilibrada y un medio ambiente más limpio, haciendo un uso transparente y responsable de los recursos. En ese camino, ciudadanía y funcionarios mediremos y evaluaremos nuestro desempeño utilizando parámetros claros y medibles para verificar que cada acción municipal contribuya al progreso de Hermosillo. </w:t>
      </w:r>
    </w:p>
    <w:p w14:paraId="29083D20" w14:textId="77777777" w:rsidR="0008467F" w:rsidRPr="00525F95" w:rsidRDefault="0008467F" w:rsidP="00B205BA">
      <w:pPr>
        <w:spacing w:after="120" w:line="240" w:lineRule="auto"/>
        <w:rPr>
          <w:rFonts w:cs="Arial"/>
        </w:rPr>
      </w:pPr>
      <w:r w:rsidRPr="00525F95">
        <w:rPr>
          <w:rFonts w:cs="Arial"/>
        </w:rPr>
        <w:t>Utilizando indicadores cualitativos y cuantitativos, haremos un seguimiento constante y, cuando así se requiera, ajustaremos lo necesario para mejorar continuamente nuestras políticas y servicios. Una de nuestras premisas principales como gobierno es la transparencia, clave para fortalecer la confianza de los ciudadanos.</w:t>
      </w:r>
    </w:p>
    <w:p w14:paraId="3C1DCB64" w14:textId="77777777" w:rsidR="0008467F" w:rsidRPr="00525F95" w:rsidRDefault="0008467F" w:rsidP="00B205BA">
      <w:pPr>
        <w:spacing w:after="120" w:line="240" w:lineRule="auto"/>
        <w:rPr>
          <w:rFonts w:cs="Arial"/>
        </w:rPr>
      </w:pPr>
      <w:r w:rsidRPr="00525F95">
        <w:rPr>
          <w:rFonts w:cs="Arial"/>
        </w:rPr>
        <w:t xml:space="preserve">Por ello, este es un plan que proyecta el futuro sobre una base de evidencias y criterios sólidos, diseñado con la flexibilidad necesaria para adaptarse a nuevos desafíos. Un plan que se apoya en información confiable y análisis detallado, considerando indicadores fundamentales como el Índice de Competitividad Urbana (IMCO), que mide la capacidad de atraer talento e inversión; también, el Índice de Ciudades Prósperas (ONU Hábitat), un diagnóstico integral sobre la productividad, calidad de vida y sostenibilidad de las ciudades. </w:t>
      </w:r>
    </w:p>
    <w:p w14:paraId="5E10A234" w14:textId="77777777" w:rsidR="0008467F" w:rsidRPr="00525F95" w:rsidRDefault="0008467F" w:rsidP="00B205BA">
      <w:pPr>
        <w:spacing w:after="120" w:line="240" w:lineRule="auto"/>
        <w:rPr>
          <w:rFonts w:cs="Arial"/>
        </w:rPr>
      </w:pPr>
      <w:r w:rsidRPr="00525F95">
        <w:rPr>
          <w:rFonts w:cs="Arial"/>
        </w:rPr>
        <w:t>Así mismo, el Informe de indicadores de la organización Hermosillo ¿Cómo vamos?, que consigna datos clave en los ámbitos de salud, educación y economía, sumados a la información periódica generada por el INEGI sobre el mercado laboral. Juntas, todas estas fuentes –y otras más– nos permiten tener un panorama claro del avance en el desempeño de nuestro municipio tanto en lo económico como en lo social.</w:t>
      </w:r>
    </w:p>
    <w:p w14:paraId="3F2B8DCA" w14:textId="0CF01AA2" w:rsidR="0008467F" w:rsidRPr="00525F95" w:rsidRDefault="0008467F" w:rsidP="00B205BA">
      <w:pPr>
        <w:spacing w:after="120" w:line="240" w:lineRule="auto"/>
        <w:rPr>
          <w:rFonts w:cs="Arial"/>
        </w:rPr>
      </w:pPr>
      <w:r w:rsidRPr="00525F95">
        <w:rPr>
          <w:rFonts w:cs="Arial"/>
        </w:rPr>
        <w:t xml:space="preserve">Conservando el diseño estratégico del Plan Municipal de Desarrollo 2022-2024, el presente consta también de cinco frentes </w:t>
      </w:r>
      <w:r w:rsidR="00261A27">
        <w:rPr>
          <w:rFonts w:cs="Arial"/>
        </w:rPr>
        <w:t>estratégicos rectores</w:t>
      </w:r>
      <w:r w:rsidRPr="00525F95">
        <w:rPr>
          <w:rFonts w:cs="Arial"/>
        </w:rPr>
        <w:t>, que hemos ampliado en su alcance para que guíen nuestra gestión en pro del desarrollo de Hermosillo.</w:t>
      </w:r>
    </w:p>
    <w:p w14:paraId="04EB639D" w14:textId="77777777" w:rsidR="0008467F" w:rsidRPr="00525F95" w:rsidRDefault="0008467F" w:rsidP="00B205BA">
      <w:pPr>
        <w:spacing w:after="120" w:line="240" w:lineRule="auto"/>
        <w:rPr>
          <w:rFonts w:cs="Arial"/>
        </w:rPr>
      </w:pPr>
      <w:r w:rsidRPr="00525F95">
        <w:rPr>
          <w:rFonts w:cs="Arial"/>
          <w:b/>
          <w:bCs/>
        </w:rPr>
        <w:t>Frente 1: Hermosillo en paz y conectado</w:t>
      </w:r>
      <w:r w:rsidRPr="00525F95">
        <w:rPr>
          <w:rFonts w:cs="Arial"/>
        </w:rPr>
        <w:t>: A través de este frente encausaremos políticas y acciones para consolidar comunidades seguras e incluyentes, entornos seguros y accesibles que integren avances tecnológicos, fortalezcan el tejido social de la comunidad y mejoren la calidad de vida de las familias. Continuaremos fomentando la armonía social, involucrando especialmente a los jóvenes en la construcción de una sociedad con valores cívicos sólidos.</w:t>
      </w:r>
    </w:p>
    <w:p w14:paraId="555940B8" w14:textId="77777777" w:rsidR="0008467F" w:rsidRPr="00525F95" w:rsidRDefault="0008467F" w:rsidP="00B205BA">
      <w:pPr>
        <w:spacing w:after="120" w:line="240" w:lineRule="auto"/>
        <w:rPr>
          <w:rFonts w:cs="Arial"/>
        </w:rPr>
      </w:pPr>
      <w:r w:rsidRPr="00525F95">
        <w:rPr>
          <w:rFonts w:cs="Arial"/>
          <w:b/>
          <w:bCs/>
        </w:rPr>
        <w:t>Frente 2: Hermosillo sostenible e innovador</w:t>
      </w:r>
      <w:r w:rsidRPr="00525F95">
        <w:rPr>
          <w:rFonts w:cs="Arial"/>
        </w:rPr>
        <w:t xml:space="preserve">: Hermosillo crece cada día y, con ello, sus necesidades. Este frente se enfoca en gestionar el desarrollo urbano y territorial a través de una planeación e infraestructura urbana resiliente que asegure un crecimiento sostenible </w:t>
      </w:r>
      <w:r w:rsidRPr="00525F95">
        <w:rPr>
          <w:rFonts w:cs="Arial"/>
        </w:rPr>
        <w:lastRenderedPageBreak/>
        <w:t>y ordenado. Para ello, continuaremos la mejora de los servicios municipales, la infraestructura vial, las áreas verdes y las áreas naturales protegidas del municipio, para alcanzar una movilidad sostenible y servicios públicos eficientes y de calidad en la ciudad y en sus áreas rurales.</w:t>
      </w:r>
    </w:p>
    <w:p w14:paraId="5C14C602" w14:textId="77777777" w:rsidR="0008467F" w:rsidRPr="00525F95" w:rsidRDefault="0008467F" w:rsidP="00B205BA">
      <w:pPr>
        <w:spacing w:after="120" w:line="240" w:lineRule="auto"/>
        <w:rPr>
          <w:rFonts w:cs="Arial"/>
        </w:rPr>
      </w:pPr>
      <w:r w:rsidRPr="00525F95">
        <w:rPr>
          <w:rFonts w:cs="Arial"/>
          <w:b/>
          <w:bCs/>
        </w:rPr>
        <w:t>Frente 3: Hermosillo activo y competitivo</w:t>
      </w:r>
      <w:r w:rsidRPr="00525F95">
        <w:rPr>
          <w:rFonts w:cs="Arial"/>
        </w:rPr>
        <w:t>: Un factor fundamental del desarrollo económico y social de cualquier municipio es su capital humano. En el marco de este frente, el gobierno municipal de Hermosillo reconoce que la promoción del talento y la innovación son claves para avanzar hacia una economía competitiva y dinámica, con un desarrollo ordenado y de vanguardia. Seguiremos impulsando proyectos orientados al crecimiento económico del municipio, así como a su capacidad de respuesta a los diversos retos que seguramente enfrentaremos juntos.</w:t>
      </w:r>
    </w:p>
    <w:p w14:paraId="23FD1B89" w14:textId="6B162C82" w:rsidR="0008467F" w:rsidRPr="00525F95" w:rsidRDefault="0008467F" w:rsidP="00B205BA">
      <w:pPr>
        <w:spacing w:after="120" w:line="240" w:lineRule="auto"/>
        <w:rPr>
          <w:rFonts w:cs="Arial"/>
        </w:rPr>
      </w:pPr>
      <w:r w:rsidRPr="00525F95">
        <w:rPr>
          <w:rFonts w:cs="Arial"/>
          <w:b/>
          <w:bCs/>
        </w:rPr>
        <w:t>Frente 4: Hermosillo vivo e incluyente</w:t>
      </w:r>
      <w:r w:rsidRPr="00525F95">
        <w:rPr>
          <w:rFonts w:cs="Arial"/>
        </w:rPr>
        <w:t>: Con este frente mantenemos el compromiso de reducir el rezago social y mejorar las condiciones de vida de las personas y comunidades más vulnerables del municipio. Continuaremos garantizando el acceso a servicios y derechos básicos, como la salud y la vivienda digna. Queremos que todos los habitantes del municipio, sin importar su condición, prosperen en una sociedad justa, inclusiva y participativa, con empoderamiento social, desarrollo integral y comunidades saludables.</w:t>
      </w:r>
    </w:p>
    <w:p w14:paraId="40162452" w14:textId="77777777" w:rsidR="0008467F" w:rsidRPr="00525F95" w:rsidRDefault="0008467F" w:rsidP="00B205BA">
      <w:pPr>
        <w:spacing w:after="120" w:line="240" w:lineRule="auto"/>
        <w:rPr>
          <w:rFonts w:cs="Arial"/>
        </w:rPr>
      </w:pPr>
      <w:r w:rsidRPr="00525F95">
        <w:rPr>
          <w:rFonts w:cs="Arial"/>
          <w:b/>
          <w:bCs/>
        </w:rPr>
        <w:t>Frente 5: Hermosillo ciudadano y transparente</w:t>
      </w:r>
      <w:r w:rsidRPr="00525F95">
        <w:rPr>
          <w:rFonts w:cs="Arial"/>
        </w:rPr>
        <w:t>: Este frente enfocará nuestros esfuerzos para optimizar la gestión pública y así responder a los retos de nuestro municipio. Continuaremos siendo un gobierno cercano, abierto y confiable, responsable en su gestión y transparente en su manejo de las finanzas públicas. Esto se logra solo en sintonía con la ciudadanía, en un marco de transparencia, acceso a la información y participación ciudadana. Aplicaremos las TIC para facilitar estos procesos y reforzaremos nuestras políticas de combate a la corrupción y discriminación.</w:t>
      </w:r>
    </w:p>
    <w:p w14:paraId="2C7C378E" w14:textId="77777777" w:rsidR="0008467F" w:rsidRPr="00525F95" w:rsidRDefault="0008467F" w:rsidP="00B205BA">
      <w:pPr>
        <w:spacing w:after="120" w:line="240" w:lineRule="auto"/>
        <w:rPr>
          <w:rFonts w:cs="Arial"/>
        </w:rPr>
      </w:pPr>
      <w:r w:rsidRPr="00525F95">
        <w:rPr>
          <w:rFonts w:cs="Arial"/>
        </w:rPr>
        <w:t>Este Plan Municipal de Desarrollo para 2025-2027 refleja nuestra visión y compromiso con un Hermosillo moderno, dinámico y en constante avance. A través de estos cinco frentes estratégicos, seguiremos trabajando para mejorar la calidad de vida de la ciudadanía, asegurar servicios públicos de excelencia y construir una ciudad moderna, segura y próspera.</w:t>
      </w:r>
    </w:p>
    <w:p w14:paraId="34913002" w14:textId="6EB96917" w:rsidR="00761D76" w:rsidRDefault="00761D76" w:rsidP="00B205BA">
      <w:pPr>
        <w:spacing w:after="120" w:line="240" w:lineRule="auto"/>
        <w:jc w:val="center"/>
        <w:rPr>
          <w:rFonts w:cs="Arial"/>
          <w:b/>
          <w:color w:val="000000" w:themeColor="text1"/>
          <w:sz w:val="24"/>
          <w:szCs w:val="24"/>
        </w:rPr>
      </w:pPr>
    </w:p>
    <w:p w14:paraId="5A018247" w14:textId="06EFBF6E" w:rsidR="0086589E" w:rsidRDefault="0086589E" w:rsidP="00B205BA">
      <w:pPr>
        <w:spacing w:after="120" w:line="240" w:lineRule="auto"/>
        <w:jc w:val="center"/>
        <w:rPr>
          <w:rFonts w:cs="Arial"/>
          <w:b/>
          <w:color w:val="000000" w:themeColor="text1"/>
          <w:sz w:val="24"/>
          <w:szCs w:val="24"/>
        </w:rPr>
      </w:pPr>
    </w:p>
    <w:p w14:paraId="368F8613" w14:textId="3B1759B3" w:rsidR="0086589E" w:rsidRDefault="0086589E" w:rsidP="00B205BA">
      <w:pPr>
        <w:spacing w:after="120" w:line="240" w:lineRule="auto"/>
        <w:jc w:val="center"/>
        <w:rPr>
          <w:rFonts w:cs="Arial"/>
          <w:b/>
          <w:color w:val="000000" w:themeColor="text1"/>
          <w:sz w:val="24"/>
          <w:szCs w:val="24"/>
        </w:rPr>
      </w:pPr>
    </w:p>
    <w:p w14:paraId="09D8F6DB" w14:textId="6382E654" w:rsidR="0086589E" w:rsidRDefault="0086589E" w:rsidP="00B205BA">
      <w:pPr>
        <w:spacing w:after="120" w:line="240" w:lineRule="auto"/>
        <w:jc w:val="center"/>
        <w:rPr>
          <w:rFonts w:cs="Arial"/>
          <w:b/>
          <w:color w:val="000000" w:themeColor="text1"/>
          <w:sz w:val="24"/>
          <w:szCs w:val="24"/>
        </w:rPr>
      </w:pPr>
    </w:p>
    <w:p w14:paraId="2FCB1C41" w14:textId="1E07A722" w:rsidR="0086589E" w:rsidRDefault="0086589E" w:rsidP="00B205BA">
      <w:pPr>
        <w:spacing w:after="120" w:line="240" w:lineRule="auto"/>
        <w:jc w:val="center"/>
        <w:rPr>
          <w:rFonts w:cs="Arial"/>
          <w:b/>
          <w:color w:val="000000" w:themeColor="text1"/>
          <w:sz w:val="24"/>
          <w:szCs w:val="24"/>
        </w:rPr>
      </w:pPr>
    </w:p>
    <w:p w14:paraId="26A37BB3" w14:textId="68CD4C47" w:rsidR="0086589E" w:rsidRDefault="0086589E" w:rsidP="00B205BA">
      <w:pPr>
        <w:spacing w:after="120" w:line="240" w:lineRule="auto"/>
        <w:jc w:val="center"/>
        <w:rPr>
          <w:rFonts w:cs="Arial"/>
          <w:b/>
          <w:color w:val="000000" w:themeColor="text1"/>
          <w:sz w:val="24"/>
          <w:szCs w:val="24"/>
        </w:rPr>
      </w:pPr>
    </w:p>
    <w:p w14:paraId="26F44039" w14:textId="03508AED" w:rsidR="0086589E" w:rsidRDefault="0086589E" w:rsidP="00B205BA">
      <w:pPr>
        <w:spacing w:after="120" w:line="240" w:lineRule="auto"/>
        <w:jc w:val="center"/>
        <w:rPr>
          <w:rFonts w:cs="Arial"/>
          <w:b/>
          <w:color w:val="000000" w:themeColor="text1"/>
          <w:sz w:val="24"/>
          <w:szCs w:val="24"/>
        </w:rPr>
      </w:pPr>
    </w:p>
    <w:p w14:paraId="193E7BDF" w14:textId="0D22D0B6" w:rsidR="0086589E" w:rsidRDefault="0086589E" w:rsidP="00B205BA">
      <w:pPr>
        <w:spacing w:after="120" w:line="240" w:lineRule="auto"/>
        <w:rPr>
          <w:rFonts w:cs="Arial"/>
          <w:b/>
          <w:color w:val="000000" w:themeColor="text1"/>
          <w:sz w:val="24"/>
          <w:szCs w:val="24"/>
        </w:rPr>
      </w:pPr>
    </w:p>
    <w:p w14:paraId="4013021D" w14:textId="77777777" w:rsidR="0008467F" w:rsidRDefault="0008467F" w:rsidP="00B205BA">
      <w:pPr>
        <w:spacing w:after="120" w:line="240" w:lineRule="auto"/>
        <w:rPr>
          <w:rFonts w:cs="Arial"/>
          <w:b/>
          <w:color w:val="000000" w:themeColor="text1"/>
          <w:sz w:val="24"/>
          <w:szCs w:val="24"/>
        </w:rPr>
      </w:pPr>
    </w:p>
    <w:p w14:paraId="53AB6ADB" w14:textId="77777777" w:rsidR="0008467F" w:rsidRDefault="0008467F" w:rsidP="00B205BA">
      <w:pPr>
        <w:spacing w:after="120" w:line="240" w:lineRule="auto"/>
        <w:rPr>
          <w:rFonts w:cs="Arial"/>
          <w:b/>
          <w:color w:val="000000" w:themeColor="text1"/>
          <w:sz w:val="24"/>
          <w:szCs w:val="24"/>
        </w:rPr>
      </w:pPr>
    </w:p>
    <w:p w14:paraId="0BADA086" w14:textId="1EF3F652" w:rsidR="0086589E" w:rsidRDefault="0086589E" w:rsidP="00B205BA">
      <w:pPr>
        <w:spacing w:after="120" w:line="240" w:lineRule="auto"/>
        <w:jc w:val="center"/>
        <w:rPr>
          <w:rFonts w:cs="Arial"/>
          <w:b/>
          <w:color w:val="000000" w:themeColor="text1"/>
          <w:sz w:val="24"/>
          <w:szCs w:val="24"/>
        </w:rPr>
      </w:pPr>
    </w:p>
    <w:p w14:paraId="103D5FC4" w14:textId="1D8F899E" w:rsidR="0086589E" w:rsidRDefault="0086589E" w:rsidP="00B205BA">
      <w:pPr>
        <w:spacing w:after="120" w:line="240" w:lineRule="auto"/>
        <w:jc w:val="center"/>
        <w:rPr>
          <w:rFonts w:cs="Arial"/>
          <w:b/>
          <w:color w:val="000000" w:themeColor="text1"/>
          <w:sz w:val="24"/>
          <w:szCs w:val="24"/>
        </w:rPr>
      </w:pPr>
    </w:p>
    <w:p w14:paraId="269F3AB5" w14:textId="77777777" w:rsidR="0086589E" w:rsidRDefault="0086589E" w:rsidP="00B205BA">
      <w:pPr>
        <w:spacing w:after="120" w:line="240" w:lineRule="auto"/>
        <w:jc w:val="center"/>
        <w:rPr>
          <w:rFonts w:cs="Arial"/>
          <w:b/>
          <w:color w:val="000000" w:themeColor="text1"/>
          <w:sz w:val="24"/>
          <w:szCs w:val="24"/>
        </w:rPr>
      </w:pPr>
    </w:p>
    <w:p w14:paraId="26A9051F" w14:textId="3D36325B" w:rsidR="00761D76" w:rsidRDefault="00761D76" w:rsidP="00B205BA">
      <w:pPr>
        <w:spacing w:after="120" w:line="240" w:lineRule="auto"/>
        <w:jc w:val="center"/>
        <w:rPr>
          <w:rFonts w:cs="Arial"/>
          <w:b/>
          <w:color w:val="000000" w:themeColor="text1"/>
          <w:sz w:val="24"/>
          <w:szCs w:val="24"/>
        </w:rPr>
      </w:pPr>
    </w:p>
    <w:p w14:paraId="63369A75" w14:textId="40D06CB2" w:rsidR="00761D76" w:rsidRDefault="00761D76" w:rsidP="00B205BA">
      <w:pPr>
        <w:spacing w:after="120" w:line="240" w:lineRule="auto"/>
        <w:jc w:val="center"/>
        <w:rPr>
          <w:rFonts w:cs="Arial"/>
          <w:b/>
          <w:color w:val="000000" w:themeColor="text1"/>
          <w:sz w:val="24"/>
          <w:szCs w:val="24"/>
        </w:rPr>
      </w:pPr>
    </w:p>
    <w:p w14:paraId="16E6BB9D" w14:textId="2CB82C6F" w:rsidR="00761D76" w:rsidRDefault="00761D76" w:rsidP="00B205BA">
      <w:pPr>
        <w:spacing w:after="120" w:line="240" w:lineRule="auto"/>
        <w:jc w:val="center"/>
        <w:rPr>
          <w:rFonts w:cs="Arial"/>
          <w:b/>
          <w:color w:val="000000" w:themeColor="text1"/>
          <w:sz w:val="24"/>
          <w:szCs w:val="24"/>
        </w:rPr>
      </w:pPr>
    </w:p>
    <w:p w14:paraId="308D7338" w14:textId="3D89FD77" w:rsidR="00761D76" w:rsidRDefault="00761D76" w:rsidP="00B205BA">
      <w:pPr>
        <w:spacing w:after="120" w:line="240" w:lineRule="auto"/>
        <w:jc w:val="center"/>
        <w:rPr>
          <w:rFonts w:cs="Arial"/>
          <w:b/>
          <w:color w:val="000000" w:themeColor="text1"/>
          <w:sz w:val="24"/>
          <w:szCs w:val="24"/>
        </w:rPr>
      </w:pPr>
    </w:p>
    <w:p w14:paraId="71CD9B10" w14:textId="77777777" w:rsidR="00761D76" w:rsidRDefault="00761D76" w:rsidP="00B205BA">
      <w:pPr>
        <w:spacing w:after="120" w:line="240" w:lineRule="auto"/>
        <w:jc w:val="center"/>
        <w:rPr>
          <w:rFonts w:cs="Arial"/>
          <w:b/>
          <w:color w:val="000000" w:themeColor="text1"/>
          <w:sz w:val="24"/>
          <w:szCs w:val="24"/>
        </w:rPr>
      </w:pPr>
    </w:p>
    <w:p w14:paraId="7B14C471" w14:textId="66C128B9" w:rsidR="00D503D0" w:rsidRDefault="00D503D0" w:rsidP="00B205BA">
      <w:pPr>
        <w:spacing w:after="120" w:line="240" w:lineRule="auto"/>
        <w:jc w:val="center"/>
        <w:rPr>
          <w:rFonts w:cs="Arial"/>
          <w:b/>
          <w:color w:val="000000" w:themeColor="text1"/>
          <w:sz w:val="24"/>
          <w:szCs w:val="24"/>
        </w:rPr>
      </w:pPr>
    </w:p>
    <w:p w14:paraId="0E70CDA6" w14:textId="5455E6DC" w:rsidR="00D503D0" w:rsidRDefault="00D503D0" w:rsidP="00B205BA">
      <w:pPr>
        <w:spacing w:after="120" w:line="240" w:lineRule="auto"/>
        <w:jc w:val="center"/>
        <w:rPr>
          <w:rFonts w:cs="Arial"/>
          <w:b/>
          <w:color w:val="000000" w:themeColor="text1"/>
          <w:sz w:val="24"/>
          <w:szCs w:val="24"/>
        </w:rPr>
      </w:pPr>
    </w:p>
    <w:p w14:paraId="7E86611B" w14:textId="04484B30" w:rsidR="00272DED" w:rsidRDefault="00272DED" w:rsidP="00B205BA">
      <w:pPr>
        <w:spacing w:after="120" w:line="240" w:lineRule="auto"/>
        <w:jc w:val="center"/>
        <w:rPr>
          <w:rFonts w:cs="Arial"/>
          <w:b/>
          <w:color w:val="000000" w:themeColor="text1"/>
          <w:sz w:val="24"/>
          <w:szCs w:val="24"/>
        </w:rPr>
      </w:pPr>
    </w:p>
    <w:p w14:paraId="64792602" w14:textId="16B41610" w:rsidR="00272DED" w:rsidRDefault="00272DED" w:rsidP="00B205BA">
      <w:pPr>
        <w:spacing w:after="120" w:line="240" w:lineRule="auto"/>
        <w:jc w:val="center"/>
        <w:rPr>
          <w:rFonts w:cs="Arial"/>
          <w:b/>
          <w:color w:val="000000" w:themeColor="text1"/>
          <w:sz w:val="24"/>
          <w:szCs w:val="24"/>
        </w:rPr>
      </w:pPr>
    </w:p>
    <w:p w14:paraId="3BD79338" w14:textId="77777777" w:rsidR="00D503D0" w:rsidRPr="00D503D0" w:rsidRDefault="00D503D0" w:rsidP="00B205BA">
      <w:pPr>
        <w:spacing w:after="120" w:line="240" w:lineRule="auto"/>
        <w:jc w:val="center"/>
        <w:rPr>
          <w:rFonts w:cs="Arial"/>
          <w:b/>
          <w:color w:val="000000" w:themeColor="text1"/>
          <w:sz w:val="24"/>
          <w:szCs w:val="24"/>
        </w:rPr>
      </w:pPr>
    </w:p>
    <w:p w14:paraId="18EB51B7" w14:textId="15A3EB12" w:rsidR="008C0AEC" w:rsidRPr="00D503D0" w:rsidRDefault="008C0AEC" w:rsidP="00B205BA">
      <w:pPr>
        <w:spacing w:after="120" w:line="240" w:lineRule="auto"/>
        <w:jc w:val="center"/>
        <w:rPr>
          <w:rFonts w:eastAsia="Times New Roman" w:cs="Arial"/>
          <w:sz w:val="56"/>
          <w:szCs w:val="56"/>
          <w:lang w:val="es-MX" w:eastAsia="es-ES_tradnl" w:bidi="ar-SA"/>
        </w:rPr>
      </w:pPr>
      <w:r w:rsidRPr="00D503D0">
        <w:rPr>
          <w:rFonts w:eastAsia="Times New Roman" w:cs="Arial"/>
          <w:sz w:val="56"/>
          <w:szCs w:val="56"/>
          <w:lang w:val="es-MX" w:eastAsia="es-ES_tradnl" w:bidi="ar-SA"/>
        </w:rPr>
        <w:t xml:space="preserve">Plan </w:t>
      </w:r>
      <w:r w:rsidR="001F6751">
        <w:rPr>
          <w:rFonts w:eastAsia="Times New Roman" w:cs="Arial"/>
          <w:sz w:val="56"/>
          <w:szCs w:val="56"/>
          <w:lang w:val="es-MX" w:eastAsia="es-ES_tradnl" w:bidi="ar-SA"/>
        </w:rPr>
        <w:t>Municipal de Desarrollo</w:t>
      </w:r>
      <w:r w:rsidRPr="00D503D0">
        <w:rPr>
          <w:rFonts w:eastAsia="Times New Roman" w:cs="Arial"/>
          <w:sz w:val="56"/>
          <w:szCs w:val="56"/>
          <w:lang w:val="es-MX" w:eastAsia="es-ES_tradnl" w:bidi="ar-SA"/>
        </w:rPr>
        <w:t xml:space="preserve"> </w:t>
      </w:r>
    </w:p>
    <w:p w14:paraId="28AC1C24" w14:textId="77777777" w:rsidR="008C0AEC" w:rsidRPr="00D503D0" w:rsidRDefault="008C0AEC" w:rsidP="00B205BA">
      <w:pPr>
        <w:spacing w:after="120" w:line="240" w:lineRule="auto"/>
        <w:jc w:val="center"/>
        <w:rPr>
          <w:rFonts w:eastAsia="Times New Roman" w:cs="Arial"/>
          <w:sz w:val="56"/>
          <w:szCs w:val="56"/>
          <w:lang w:val="es-MX" w:eastAsia="es-ES_tradnl" w:bidi="ar-SA"/>
        </w:rPr>
      </w:pPr>
      <w:r w:rsidRPr="00D503D0">
        <w:rPr>
          <w:rFonts w:eastAsia="Times New Roman" w:cs="Arial"/>
          <w:sz w:val="56"/>
          <w:szCs w:val="56"/>
          <w:lang w:val="es-MX" w:eastAsia="es-ES_tradnl" w:bidi="ar-SA"/>
        </w:rPr>
        <w:t xml:space="preserve">de Hermosillo </w:t>
      </w:r>
    </w:p>
    <w:p w14:paraId="6B81B3D8" w14:textId="0FF1258B" w:rsidR="008C0AEC" w:rsidRPr="00D503D0" w:rsidRDefault="008C0AEC" w:rsidP="00B205BA">
      <w:pPr>
        <w:spacing w:after="120" w:line="240" w:lineRule="auto"/>
        <w:jc w:val="center"/>
        <w:rPr>
          <w:rFonts w:cs="Arial"/>
          <w:b/>
          <w:color w:val="000000" w:themeColor="text1"/>
          <w:sz w:val="56"/>
          <w:szCs w:val="56"/>
        </w:rPr>
      </w:pPr>
      <w:r w:rsidRPr="00D503D0">
        <w:rPr>
          <w:rFonts w:eastAsia="Times New Roman" w:cs="Arial"/>
          <w:sz w:val="56"/>
          <w:szCs w:val="56"/>
          <w:lang w:val="es-MX" w:eastAsia="es-ES_tradnl" w:bidi="ar-SA"/>
        </w:rPr>
        <w:t>202</w:t>
      </w:r>
      <w:r w:rsidR="0005046A">
        <w:rPr>
          <w:rFonts w:eastAsia="Times New Roman" w:cs="Arial"/>
          <w:sz w:val="56"/>
          <w:szCs w:val="56"/>
          <w:lang w:val="es-MX" w:eastAsia="es-ES_tradnl" w:bidi="ar-SA"/>
        </w:rPr>
        <w:t>5</w:t>
      </w:r>
      <w:r w:rsidRPr="00D503D0">
        <w:rPr>
          <w:rFonts w:eastAsia="Times New Roman" w:cs="Arial"/>
          <w:sz w:val="56"/>
          <w:szCs w:val="56"/>
          <w:lang w:val="es-MX" w:eastAsia="es-ES_tradnl" w:bidi="ar-SA"/>
        </w:rPr>
        <w:t>-202</w:t>
      </w:r>
      <w:r w:rsidR="0005046A">
        <w:rPr>
          <w:rFonts w:eastAsia="Times New Roman" w:cs="Arial"/>
          <w:sz w:val="56"/>
          <w:szCs w:val="56"/>
          <w:lang w:val="es-MX" w:eastAsia="es-ES_tradnl" w:bidi="ar-SA"/>
        </w:rPr>
        <w:t>7</w:t>
      </w:r>
    </w:p>
    <w:p w14:paraId="6C983468" w14:textId="77777777" w:rsidR="008C0AEC" w:rsidRPr="00D503D0" w:rsidRDefault="008C0AEC" w:rsidP="00B205BA">
      <w:pPr>
        <w:spacing w:after="120" w:line="240" w:lineRule="auto"/>
        <w:jc w:val="center"/>
        <w:rPr>
          <w:rFonts w:cs="Arial"/>
          <w:b/>
          <w:color w:val="000000" w:themeColor="text1"/>
          <w:sz w:val="48"/>
          <w:szCs w:val="48"/>
        </w:rPr>
      </w:pPr>
    </w:p>
    <w:p w14:paraId="2A88808A" w14:textId="7B64727D" w:rsidR="008C0AEC" w:rsidRDefault="008C0AEC" w:rsidP="00B205BA">
      <w:pPr>
        <w:spacing w:after="120" w:line="240" w:lineRule="auto"/>
        <w:rPr>
          <w:rFonts w:cs="Arial"/>
          <w:b/>
          <w:color w:val="000000" w:themeColor="text1"/>
          <w:sz w:val="24"/>
          <w:szCs w:val="24"/>
        </w:rPr>
      </w:pPr>
    </w:p>
    <w:p w14:paraId="578923BD" w14:textId="77C2B709" w:rsidR="00D503D0" w:rsidRDefault="00D503D0" w:rsidP="00B205BA">
      <w:pPr>
        <w:spacing w:after="120" w:line="240" w:lineRule="auto"/>
        <w:rPr>
          <w:rFonts w:cs="Arial"/>
          <w:b/>
          <w:color w:val="000000" w:themeColor="text1"/>
          <w:sz w:val="24"/>
          <w:szCs w:val="24"/>
        </w:rPr>
      </w:pPr>
    </w:p>
    <w:p w14:paraId="03F4C8C9" w14:textId="60C78BE1" w:rsidR="00761D76" w:rsidRDefault="00761D76" w:rsidP="00B205BA">
      <w:pPr>
        <w:spacing w:after="120" w:line="240" w:lineRule="auto"/>
        <w:rPr>
          <w:rFonts w:cs="Arial"/>
          <w:b/>
          <w:color w:val="000000" w:themeColor="text1"/>
          <w:sz w:val="24"/>
          <w:szCs w:val="24"/>
        </w:rPr>
      </w:pPr>
    </w:p>
    <w:p w14:paraId="624E0DCE" w14:textId="67747438" w:rsidR="00761D76" w:rsidRDefault="00761D76" w:rsidP="00B205BA">
      <w:pPr>
        <w:spacing w:after="120" w:line="240" w:lineRule="auto"/>
        <w:rPr>
          <w:rFonts w:cs="Arial"/>
          <w:b/>
          <w:color w:val="000000" w:themeColor="text1"/>
          <w:sz w:val="24"/>
          <w:szCs w:val="24"/>
        </w:rPr>
      </w:pPr>
    </w:p>
    <w:p w14:paraId="799B871F" w14:textId="5E9B96FD" w:rsidR="00761D76" w:rsidRDefault="00761D76" w:rsidP="00B205BA">
      <w:pPr>
        <w:spacing w:after="120" w:line="240" w:lineRule="auto"/>
        <w:rPr>
          <w:rFonts w:cs="Arial"/>
          <w:b/>
          <w:color w:val="000000" w:themeColor="text1"/>
          <w:sz w:val="24"/>
          <w:szCs w:val="24"/>
        </w:rPr>
      </w:pPr>
    </w:p>
    <w:p w14:paraId="11FC42F3" w14:textId="15A1325B" w:rsidR="00761D76" w:rsidRDefault="00761D76" w:rsidP="00B205BA">
      <w:pPr>
        <w:spacing w:after="120" w:line="240" w:lineRule="auto"/>
        <w:rPr>
          <w:rFonts w:cs="Arial"/>
          <w:b/>
          <w:color w:val="000000" w:themeColor="text1"/>
          <w:sz w:val="24"/>
          <w:szCs w:val="24"/>
        </w:rPr>
      </w:pPr>
    </w:p>
    <w:p w14:paraId="64158ADF" w14:textId="297D8799" w:rsidR="00761D76" w:rsidRDefault="00761D76" w:rsidP="00B205BA">
      <w:pPr>
        <w:spacing w:after="120" w:line="240" w:lineRule="auto"/>
        <w:rPr>
          <w:rFonts w:cs="Arial"/>
          <w:b/>
          <w:color w:val="000000" w:themeColor="text1"/>
          <w:sz w:val="24"/>
          <w:szCs w:val="24"/>
        </w:rPr>
      </w:pPr>
    </w:p>
    <w:p w14:paraId="4FC7B25A" w14:textId="3B120242" w:rsidR="00761D76" w:rsidRDefault="00761D76" w:rsidP="00B205BA">
      <w:pPr>
        <w:spacing w:after="120" w:line="240" w:lineRule="auto"/>
        <w:rPr>
          <w:rFonts w:cs="Arial"/>
          <w:b/>
          <w:color w:val="000000" w:themeColor="text1"/>
          <w:sz w:val="24"/>
          <w:szCs w:val="24"/>
        </w:rPr>
      </w:pPr>
    </w:p>
    <w:p w14:paraId="3CED7678" w14:textId="7CE6A0EC" w:rsidR="00761D76" w:rsidRDefault="00761D76" w:rsidP="00B205BA">
      <w:pPr>
        <w:spacing w:after="120" w:line="240" w:lineRule="auto"/>
        <w:rPr>
          <w:rFonts w:cs="Arial"/>
          <w:b/>
          <w:color w:val="000000" w:themeColor="text1"/>
          <w:sz w:val="24"/>
          <w:szCs w:val="24"/>
        </w:rPr>
      </w:pPr>
    </w:p>
    <w:p w14:paraId="36B87AF1" w14:textId="5E51371B" w:rsidR="00761D76" w:rsidRDefault="00761D76" w:rsidP="00B205BA">
      <w:pPr>
        <w:spacing w:after="120" w:line="240" w:lineRule="auto"/>
        <w:rPr>
          <w:rFonts w:cs="Arial"/>
          <w:b/>
          <w:color w:val="000000" w:themeColor="text1"/>
          <w:sz w:val="24"/>
          <w:szCs w:val="24"/>
        </w:rPr>
      </w:pPr>
    </w:p>
    <w:p w14:paraId="6CBBF28E" w14:textId="01551312" w:rsidR="00761D76" w:rsidRDefault="00761D76" w:rsidP="00B205BA">
      <w:pPr>
        <w:spacing w:after="120" w:line="240" w:lineRule="auto"/>
        <w:rPr>
          <w:rFonts w:cs="Arial"/>
          <w:b/>
          <w:color w:val="000000" w:themeColor="text1"/>
          <w:sz w:val="24"/>
          <w:szCs w:val="24"/>
        </w:rPr>
      </w:pPr>
    </w:p>
    <w:p w14:paraId="37C95927" w14:textId="426E0F2D" w:rsidR="00761D76" w:rsidRDefault="00761D76" w:rsidP="00B205BA">
      <w:pPr>
        <w:spacing w:after="120" w:line="240" w:lineRule="auto"/>
        <w:rPr>
          <w:rFonts w:cs="Arial"/>
          <w:b/>
          <w:color w:val="000000" w:themeColor="text1"/>
          <w:sz w:val="24"/>
          <w:szCs w:val="24"/>
        </w:rPr>
      </w:pPr>
    </w:p>
    <w:p w14:paraId="134906C5" w14:textId="739569BD" w:rsidR="00761D76" w:rsidRDefault="00761D76" w:rsidP="00B205BA">
      <w:pPr>
        <w:spacing w:after="120" w:line="240" w:lineRule="auto"/>
        <w:rPr>
          <w:rFonts w:cs="Arial"/>
          <w:b/>
          <w:color w:val="000000" w:themeColor="text1"/>
          <w:sz w:val="24"/>
          <w:szCs w:val="24"/>
        </w:rPr>
      </w:pPr>
    </w:p>
    <w:p w14:paraId="5A815C61" w14:textId="77777777" w:rsidR="00DB74E0" w:rsidRPr="00D503D0" w:rsidRDefault="00DB74E0" w:rsidP="00B205BA">
      <w:pPr>
        <w:spacing w:after="120" w:line="240" w:lineRule="auto"/>
        <w:rPr>
          <w:rFonts w:cs="Arial"/>
          <w:b/>
          <w:color w:val="000000" w:themeColor="text1"/>
          <w:sz w:val="24"/>
          <w:szCs w:val="24"/>
        </w:rPr>
      </w:pPr>
    </w:p>
    <w:sdt>
      <w:sdtPr>
        <w:rPr>
          <w:rFonts w:ascii="Arial" w:eastAsiaTheme="minorEastAsia" w:hAnsi="Arial" w:cs="Arial"/>
          <w:color w:val="auto"/>
          <w:sz w:val="22"/>
          <w:szCs w:val="22"/>
          <w:lang w:val="es-ES" w:eastAsia="en-US" w:bidi="en-US"/>
        </w:rPr>
        <w:id w:val="-362663800"/>
        <w:docPartObj>
          <w:docPartGallery w:val="Table of Contents"/>
          <w:docPartUnique/>
        </w:docPartObj>
      </w:sdtPr>
      <w:sdtEndPr>
        <w:rPr>
          <w:rFonts w:cstheme="minorBidi"/>
          <w:b/>
          <w:bCs/>
        </w:rPr>
      </w:sdtEndPr>
      <w:sdtContent>
        <w:p w14:paraId="330FA01F" w14:textId="617721BC" w:rsidR="00F35847" w:rsidRPr="00AE0DCA" w:rsidRDefault="00AE0DCA">
          <w:pPr>
            <w:pStyle w:val="TtuloTDC"/>
            <w:rPr>
              <w:rFonts w:ascii="Arial" w:hAnsi="Arial" w:cs="Arial"/>
              <w:color w:val="auto"/>
            </w:rPr>
          </w:pPr>
          <w:r w:rsidRPr="00AE0DCA">
            <w:rPr>
              <w:rFonts w:ascii="Arial" w:hAnsi="Arial" w:cs="Arial"/>
              <w:color w:val="auto"/>
              <w:lang w:val="es-ES"/>
            </w:rPr>
            <w:t>Índice</w:t>
          </w:r>
        </w:p>
        <w:p w14:paraId="7561A335" w14:textId="5ECDDC6A" w:rsidR="00713A5F" w:rsidRDefault="00F35847">
          <w:pPr>
            <w:pStyle w:val="TDC1"/>
            <w:tabs>
              <w:tab w:val="left" w:pos="1760"/>
            </w:tabs>
            <w:rPr>
              <w:rFonts w:asciiTheme="minorHAnsi" w:eastAsiaTheme="minorEastAsia" w:hAnsiTheme="minorHAnsi" w:cstheme="minorBidi"/>
              <w:b w:val="0"/>
              <w:noProof/>
              <w:color w:val="auto"/>
              <w:kern w:val="2"/>
              <w:sz w:val="22"/>
              <w:szCs w:val="22"/>
              <w:lang w:val="es-MX" w:eastAsia="es-MX" w:bidi="ar-SA"/>
              <w14:ligatures w14:val="standardContextual"/>
            </w:rPr>
          </w:pPr>
          <w:r>
            <w:fldChar w:fldCharType="begin"/>
          </w:r>
          <w:r>
            <w:instrText xml:space="preserve"> TOC \o "1-3" \h \z \u </w:instrText>
          </w:r>
          <w:r>
            <w:fldChar w:fldCharType="separate"/>
          </w:r>
          <w:hyperlink w:anchor="_Toc187396113" w:history="1">
            <w:r w:rsidR="00713A5F" w:rsidRPr="004058AE">
              <w:rPr>
                <w:rStyle w:val="Hipervnculo"/>
                <w:noProof/>
              </w:rPr>
              <w:t>I.</w:t>
            </w:r>
            <w:r w:rsidR="00713A5F">
              <w:rPr>
                <w:rFonts w:asciiTheme="minorHAnsi" w:eastAsiaTheme="minorEastAsia" w:hAnsiTheme="minorHAnsi" w:cstheme="minorBidi"/>
                <w:b w:val="0"/>
                <w:noProof/>
                <w:color w:val="auto"/>
                <w:kern w:val="2"/>
                <w:sz w:val="22"/>
                <w:szCs w:val="22"/>
                <w:lang w:val="es-MX" w:eastAsia="es-MX" w:bidi="ar-SA"/>
                <w14:ligatures w14:val="standardContextual"/>
              </w:rPr>
              <w:tab/>
            </w:r>
            <w:r w:rsidR="00713A5F" w:rsidRPr="004058AE">
              <w:rPr>
                <w:rStyle w:val="Hipervnculo"/>
                <w:noProof/>
              </w:rPr>
              <w:t>MARCO LEGAL</w:t>
            </w:r>
            <w:r w:rsidR="00713A5F">
              <w:rPr>
                <w:noProof/>
                <w:webHidden/>
              </w:rPr>
              <w:tab/>
            </w:r>
            <w:r w:rsidR="00713A5F">
              <w:rPr>
                <w:noProof/>
                <w:webHidden/>
              </w:rPr>
              <w:fldChar w:fldCharType="begin"/>
            </w:r>
            <w:r w:rsidR="00713A5F">
              <w:rPr>
                <w:noProof/>
                <w:webHidden/>
              </w:rPr>
              <w:instrText xml:space="preserve"> PAGEREF _Toc187396113 \h </w:instrText>
            </w:r>
            <w:r w:rsidR="00713A5F">
              <w:rPr>
                <w:noProof/>
                <w:webHidden/>
              </w:rPr>
            </w:r>
            <w:r w:rsidR="00713A5F">
              <w:rPr>
                <w:noProof/>
                <w:webHidden/>
              </w:rPr>
              <w:fldChar w:fldCharType="separate"/>
            </w:r>
            <w:r w:rsidR="00713A5F">
              <w:rPr>
                <w:noProof/>
                <w:webHidden/>
              </w:rPr>
              <w:t>8</w:t>
            </w:r>
            <w:r w:rsidR="00713A5F">
              <w:rPr>
                <w:noProof/>
                <w:webHidden/>
              </w:rPr>
              <w:fldChar w:fldCharType="end"/>
            </w:r>
          </w:hyperlink>
        </w:p>
        <w:p w14:paraId="3DBF20AA" w14:textId="4923DD1F" w:rsidR="00713A5F" w:rsidRDefault="008A271D">
          <w:pPr>
            <w:pStyle w:val="TDC1"/>
            <w:tabs>
              <w:tab w:val="left" w:pos="1760"/>
            </w:tabs>
            <w:rPr>
              <w:rFonts w:asciiTheme="minorHAnsi" w:eastAsiaTheme="minorEastAsia" w:hAnsiTheme="minorHAnsi" w:cstheme="minorBidi"/>
              <w:b w:val="0"/>
              <w:noProof/>
              <w:color w:val="auto"/>
              <w:kern w:val="2"/>
              <w:sz w:val="22"/>
              <w:szCs w:val="22"/>
              <w:lang w:val="es-MX" w:eastAsia="es-MX" w:bidi="ar-SA"/>
              <w14:ligatures w14:val="standardContextual"/>
            </w:rPr>
          </w:pPr>
          <w:hyperlink w:anchor="_Toc187396114" w:history="1">
            <w:r w:rsidR="00713A5F" w:rsidRPr="004058AE">
              <w:rPr>
                <w:rStyle w:val="Hipervnculo"/>
                <w:noProof/>
              </w:rPr>
              <w:t>II.</w:t>
            </w:r>
            <w:r w:rsidR="00713A5F">
              <w:rPr>
                <w:rFonts w:asciiTheme="minorHAnsi" w:eastAsiaTheme="minorEastAsia" w:hAnsiTheme="minorHAnsi" w:cstheme="minorBidi"/>
                <w:b w:val="0"/>
                <w:noProof/>
                <w:color w:val="auto"/>
                <w:kern w:val="2"/>
                <w:sz w:val="22"/>
                <w:szCs w:val="22"/>
                <w:lang w:val="es-MX" w:eastAsia="es-MX" w:bidi="ar-SA"/>
                <w14:ligatures w14:val="standardContextual"/>
              </w:rPr>
              <w:tab/>
            </w:r>
            <w:r w:rsidR="00713A5F" w:rsidRPr="004058AE">
              <w:rPr>
                <w:rStyle w:val="Hipervnculo"/>
                <w:noProof/>
              </w:rPr>
              <w:t>DIAGNÓSTICO GENERAL DEL MUNICIPIO DE HERMOSILLO</w:t>
            </w:r>
            <w:r w:rsidR="00713A5F">
              <w:rPr>
                <w:noProof/>
                <w:webHidden/>
              </w:rPr>
              <w:tab/>
            </w:r>
            <w:r w:rsidR="00713A5F">
              <w:rPr>
                <w:noProof/>
                <w:webHidden/>
              </w:rPr>
              <w:fldChar w:fldCharType="begin"/>
            </w:r>
            <w:r w:rsidR="00713A5F">
              <w:rPr>
                <w:noProof/>
                <w:webHidden/>
              </w:rPr>
              <w:instrText xml:space="preserve"> PAGEREF _Toc187396114 \h </w:instrText>
            </w:r>
            <w:r w:rsidR="00713A5F">
              <w:rPr>
                <w:noProof/>
                <w:webHidden/>
              </w:rPr>
            </w:r>
            <w:r w:rsidR="00713A5F">
              <w:rPr>
                <w:noProof/>
                <w:webHidden/>
              </w:rPr>
              <w:fldChar w:fldCharType="separate"/>
            </w:r>
            <w:r w:rsidR="00713A5F">
              <w:rPr>
                <w:noProof/>
                <w:webHidden/>
              </w:rPr>
              <w:t>9</w:t>
            </w:r>
            <w:r w:rsidR="00713A5F">
              <w:rPr>
                <w:noProof/>
                <w:webHidden/>
              </w:rPr>
              <w:fldChar w:fldCharType="end"/>
            </w:r>
          </w:hyperlink>
        </w:p>
        <w:p w14:paraId="6854EFB3" w14:textId="5557CAF1" w:rsidR="00713A5F" w:rsidRDefault="008A271D">
          <w:pPr>
            <w:pStyle w:val="TDC1"/>
            <w:tabs>
              <w:tab w:val="left" w:pos="1818"/>
            </w:tabs>
            <w:rPr>
              <w:rFonts w:asciiTheme="minorHAnsi" w:eastAsiaTheme="minorEastAsia" w:hAnsiTheme="minorHAnsi" w:cstheme="minorBidi"/>
              <w:b w:val="0"/>
              <w:noProof/>
              <w:color w:val="auto"/>
              <w:kern w:val="2"/>
              <w:sz w:val="22"/>
              <w:szCs w:val="22"/>
              <w:lang w:val="es-MX" w:eastAsia="es-MX" w:bidi="ar-SA"/>
              <w14:ligatures w14:val="standardContextual"/>
            </w:rPr>
          </w:pPr>
          <w:hyperlink w:anchor="_Toc187396115" w:history="1">
            <w:r w:rsidR="00713A5F" w:rsidRPr="004058AE">
              <w:rPr>
                <w:rStyle w:val="Hipervnculo"/>
                <w:noProof/>
              </w:rPr>
              <w:t>III.</w:t>
            </w:r>
            <w:r w:rsidR="00713A5F">
              <w:rPr>
                <w:rFonts w:asciiTheme="minorHAnsi" w:eastAsiaTheme="minorEastAsia" w:hAnsiTheme="minorHAnsi" w:cstheme="minorBidi"/>
                <w:b w:val="0"/>
                <w:noProof/>
                <w:color w:val="auto"/>
                <w:kern w:val="2"/>
                <w:sz w:val="22"/>
                <w:szCs w:val="22"/>
                <w:lang w:val="es-MX" w:eastAsia="es-MX" w:bidi="ar-SA"/>
                <w14:ligatures w14:val="standardContextual"/>
              </w:rPr>
              <w:tab/>
            </w:r>
            <w:r w:rsidR="00713A5F" w:rsidRPr="004058AE">
              <w:rPr>
                <w:rStyle w:val="Hipervnculo"/>
                <w:noProof/>
              </w:rPr>
              <w:t>CULTURA INSTITUCIONAL</w:t>
            </w:r>
            <w:r w:rsidR="00713A5F">
              <w:rPr>
                <w:noProof/>
                <w:webHidden/>
              </w:rPr>
              <w:tab/>
            </w:r>
            <w:r w:rsidR="00713A5F">
              <w:rPr>
                <w:noProof/>
                <w:webHidden/>
              </w:rPr>
              <w:fldChar w:fldCharType="begin"/>
            </w:r>
            <w:r w:rsidR="00713A5F">
              <w:rPr>
                <w:noProof/>
                <w:webHidden/>
              </w:rPr>
              <w:instrText xml:space="preserve"> PAGEREF _Toc187396115 \h </w:instrText>
            </w:r>
            <w:r w:rsidR="00713A5F">
              <w:rPr>
                <w:noProof/>
                <w:webHidden/>
              </w:rPr>
            </w:r>
            <w:r w:rsidR="00713A5F">
              <w:rPr>
                <w:noProof/>
                <w:webHidden/>
              </w:rPr>
              <w:fldChar w:fldCharType="separate"/>
            </w:r>
            <w:r w:rsidR="00713A5F">
              <w:rPr>
                <w:noProof/>
                <w:webHidden/>
              </w:rPr>
              <w:t>17</w:t>
            </w:r>
            <w:r w:rsidR="00713A5F">
              <w:rPr>
                <w:noProof/>
                <w:webHidden/>
              </w:rPr>
              <w:fldChar w:fldCharType="end"/>
            </w:r>
          </w:hyperlink>
        </w:p>
        <w:p w14:paraId="1D7C8CFB" w14:textId="49F8137B" w:rsidR="00713A5F" w:rsidRDefault="008A271D">
          <w:pPr>
            <w:pStyle w:val="TDC1"/>
            <w:tabs>
              <w:tab w:val="left" w:pos="1849"/>
            </w:tabs>
            <w:rPr>
              <w:rFonts w:asciiTheme="minorHAnsi" w:eastAsiaTheme="minorEastAsia" w:hAnsiTheme="minorHAnsi" w:cstheme="minorBidi"/>
              <w:b w:val="0"/>
              <w:noProof/>
              <w:color w:val="auto"/>
              <w:kern w:val="2"/>
              <w:sz w:val="22"/>
              <w:szCs w:val="22"/>
              <w:lang w:val="es-MX" w:eastAsia="es-MX" w:bidi="ar-SA"/>
              <w14:ligatures w14:val="standardContextual"/>
            </w:rPr>
          </w:pPr>
          <w:hyperlink w:anchor="_Toc187396116" w:history="1">
            <w:r w:rsidR="00713A5F" w:rsidRPr="004058AE">
              <w:rPr>
                <w:rStyle w:val="Hipervnculo"/>
                <w:noProof/>
              </w:rPr>
              <w:t>IV.</w:t>
            </w:r>
            <w:r w:rsidR="00713A5F">
              <w:rPr>
                <w:rFonts w:asciiTheme="minorHAnsi" w:eastAsiaTheme="minorEastAsia" w:hAnsiTheme="minorHAnsi" w:cstheme="minorBidi"/>
                <w:b w:val="0"/>
                <w:noProof/>
                <w:color w:val="auto"/>
                <w:kern w:val="2"/>
                <w:sz w:val="22"/>
                <w:szCs w:val="22"/>
                <w:lang w:val="es-MX" w:eastAsia="es-MX" w:bidi="ar-SA"/>
                <w14:ligatures w14:val="standardContextual"/>
              </w:rPr>
              <w:tab/>
            </w:r>
            <w:r w:rsidR="00713A5F" w:rsidRPr="004058AE">
              <w:rPr>
                <w:rStyle w:val="Hipervnculo"/>
                <w:noProof/>
              </w:rPr>
              <w:t>SISTEMA MUNICIPAL DE PLANEACIÓN DEMOCRÁTICA</w:t>
            </w:r>
            <w:r w:rsidR="00713A5F">
              <w:rPr>
                <w:noProof/>
                <w:webHidden/>
              </w:rPr>
              <w:tab/>
            </w:r>
            <w:r w:rsidR="00713A5F">
              <w:rPr>
                <w:noProof/>
                <w:webHidden/>
              </w:rPr>
              <w:fldChar w:fldCharType="begin"/>
            </w:r>
            <w:r w:rsidR="00713A5F">
              <w:rPr>
                <w:noProof/>
                <w:webHidden/>
              </w:rPr>
              <w:instrText xml:space="preserve"> PAGEREF _Toc187396116 \h </w:instrText>
            </w:r>
            <w:r w:rsidR="00713A5F">
              <w:rPr>
                <w:noProof/>
                <w:webHidden/>
              </w:rPr>
            </w:r>
            <w:r w:rsidR="00713A5F">
              <w:rPr>
                <w:noProof/>
                <w:webHidden/>
              </w:rPr>
              <w:fldChar w:fldCharType="separate"/>
            </w:r>
            <w:r w:rsidR="00713A5F">
              <w:rPr>
                <w:noProof/>
                <w:webHidden/>
              </w:rPr>
              <w:t>21</w:t>
            </w:r>
            <w:r w:rsidR="00713A5F">
              <w:rPr>
                <w:noProof/>
                <w:webHidden/>
              </w:rPr>
              <w:fldChar w:fldCharType="end"/>
            </w:r>
          </w:hyperlink>
        </w:p>
        <w:p w14:paraId="4E3942B0" w14:textId="018BB2E4" w:rsidR="00713A5F" w:rsidRDefault="008A271D">
          <w:pPr>
            <w:pStyle w:val="TDC1"/>
            <w:tabs>
              <w:tab w:val="left" w:pos="1772"/>
            </w:tabs>
            <w:rPr>
              <w:rFonts w:asciiTheme="minorHAnsi" w:eastAsiaTheme="minorEastAsia" w:hAnsiTheme="minorHAnsi" w:cstheme="minorBidi"/>
              <w:b w:val="0"/>
              <w:noProof/>
              <w:color w:val="auto"/>
              <w:kern w:val="2"/>
              <w:sz w:val="22"/>
              <w:szCs w:val="22"/>
              <w:lang w:val="es-MX" w:eastAsia="es-MX" w:bidi="ar-SA"/>
              <w14:ligatures w14:val="standardContextual"/>
            </w:rPr>
          </w:pPr>
          <w:hyperlink w:anchor="_Toc187396117" w:history="1">
            <w:r w:rsidR="00713A5F" w:rsidRPr="004058AE">
              <w:rPr>
                <w:rStyle w:val="Hipervnculo"/>
                <w:noProof/>
              </w:rPr>
              <w:t>V.</w:t>
            </w:r>
            <w:r w:rsidR="00713A5F">
              <w:rPr>
                <w:rFonts w:asciiTheme="minorHAnsi" w:eastAsiaTheme="minorEastAsia" w:hAnsiTheme="minorHAnsi" w:cstheme="minorBidi"/>
                <w:b w:val="0"/>
                <w:noProof/>
                <w:color w:val="auto"/>
                <w:kern w:val="2"/>
                <w:sz w:val="22"/>
                <w:szCs w:val="22"/>
                <w:lang w:val="es-MX" w:eastAsia="es-MX" w:bidi="ar-SA"/>
                <w14:ligatures w14:val="standardContextual"/>
              </w:rPr>
              <w:tab/>
            </w:r>
            <w:r w:rsidR="00713A5F" w:rsidRPr="004058AE">
              <w:rPr>
                <w:rStyle w:val="Hipervnculo"/>
                <w:noProof/>
              </w:rPr>
              <w:t>ESCENARIOS</w:t>
            </w:r>
            <w:r w:rsidR="00713A5F">
              <w:rPr>
                <w:noProof/>
                <w:webHidden/>
              </w:rPr>
              <w:tab/>
            </w:r>
            <w:r w:rsidR="00713A5F">
              <w:rPr>
                <w:noProof/>
                <w:webHidden/>
              </w:rPr>
              <w:fldChar w:fldCharType="begin"/>
            </w:r>
            <w:r w:rsidR="00713A5F">
              <w:rPr>
                <w:noProof/>
                <w:webHidden/>
              </w:rPr>
              <w:instrText xml:space="preserve"> PAGEREF _Toc187396117 \h </w:instrText>
            </w:r>
            <w:r w:rsidR="00713A5F">
              <w:rPr>
                <w:noProof/>
                <w:webHidden/>
              </w:rPr>
            </w:r>
            <w:r w:rsidR="00713A5F">
              <w:rPr>
                <w:noProof/>
                <w:webHidden/>
              </w:rPr>
              <w:fldChar w:fldCharType="separate"/>
            </w:r>
            <w:r w:rsidR="00713A5F">
              <w:rPr>
                <w:noProof/>
                <w:webHidden/>
              </w:rPr>
              <w:t>26</w:t>
            </w:r>
            <w:r w:rsidR="00713A5F">
              <w:rPr>
                <w:noProof/>
                <w:webHidden/>
              </w:rPr>
              <w:fldChar w:fldCharType="end"/>
            </w:r>
          </w:hyperlink>
        </w:p>
        <w:p w14:paraId="05C03B0C" w14:textId="14F8835C" w:rsidR="00713A5F" w:rsidRDefault="008A271D">
          <w:pPr>
            <w:pStyle w:val="TDC1"/>
            <w:tabs>
              <w:tab w:val="left" w:pos="1849"/>
            </w:tabs>
            <w:rPr>
              <w:rFonts w:asciiTheme="minorHAnsi" w:eastAsiaTheme="minorEastAsia" w:hAnsiTheme="minorHAnsi" w:cstheme="minorBidi"/>
              <w:b w:val="0"/>
              <w:noProof/>
              <w:color w:val="auto"/>
              <w:kern w:val="2"/>
              <w:sz w:val="22"/>
              <w:szCs w:val="22"/>
              <w:lang w:val="es-MX" w:eastAsia="es-MX" w:bidi="ar-SA"/>
              <w14:ligatures w14:val="standardContextual"/>
            </w:rPr>
          </w:pPr>
          <w:hyperlink w:anchor="_Toc187396118" w:history="1">
            <w:r w:rsidR="00713A5F" w:rsidRPr="004058AE">
              <w:rPr>
                <w:rStyle w:val="Hipervnculo"/>
                <w:noProof/>
              </w:rPr>
              <w:t>VI.</w:t>
            </w:r>
            <w:r w:rsidR="00713A5F">
              <w:rPr>
                <w:rFonts w:asciiTheme="minorHAnsi" w:eastAsiaTheme="minorEastAsia" w:hAnsiTheme="minorHAnsi" w:cstheme="minorBidi"/>
                <w:b w:val="0"/>
                <w:noProof/>
                <w:color w:val="auto"/>
                <w:kern w:val="2"/>
                <w:sz w:val="22"/>
                <w:szCs w:val="22"/>
                <w:lang w:val="es-MX" w:eastAsia="es-MX" w:bidi="ar-SA"/>
                <w14:ligatures w14:val="standardContextual"/>
              </w:rPr>
              <w:tab/>
            </w:r>
            <w:r w:rsidR="00713A5F" w:rsidRPr="004058AE">
              <w:rPr>
                <w:rStyle w:val="Hipervnculo"/>
                <w:noProof/>
              </w:rPr>
              <w:t>FRENTES RECTORES</w:t>
            </w:r>
            <w:r w:rsidR="00713A5F">
              <w:rPr>
                <w:noProof/>
                <w:webHidden/>
              </w:rPr>
              <w:tab/>
            </w:r>
            <w:r w:rsidR="00713A5F">
              <w:rPr>
                <w:noProof/>
                <w:webHidden/>
              </w:rPr>
              <w:fldChar w:fldCharType="begin"/>
            </w:r>
            <w:r w:rsidR="00713A5F">
              <w:rPr>
                <w:noProof/>
                <w:webHidden/>
              </w:rPr>
              <w:instrText xml:space="preserve"> PAGEREF _Toc187396118 \h </w:instrText>
            </w:r>
            <w:r w:rsidR="00713A5F">
              <w:rPr>
                <w:noProof/>
                <w:webHidden/>
              </w:rPr>
            </w:r>
            <w:r w:rsidR="00713A5F">
              <w:rPr>
                <w:noProof/>
                <w:webHidden/>
              </w:rPr>
              <w:fldChar w:fldCharType="separate"/>
            </w:r>
            <w:r w:rsidR="00713A5F">
              <w:rPr>
                <w:noProof/>
                <w:webHidden/>
              </w:rPr>
              <w:t>38</w:t>
            </w:r>
            <w:r w:rsidR="00713A5F">
              <w:rPr>
                <w:noProof/>
                <w:webHidden/>
              </w:rPr>
              <w:fldChar w:fldCharType="end"/>
            </w:r>
          </w:hyperlink>
        </w:p>
        <w:p w14:paraId="3AA5FE6C" w14:textId="11033999" w:rsidR="00713A5F" w:rsidRDefault="008A271D">
          <w:pPr>
            <w:pStyle w:val="TDC2"/>
            <w:tabs>
              <w:tab w:val="right" w:leader="dot" w:pos="8828"/>
            </w:tabs>
            <w:rPr>
              <w:rFonts w:asciiTheme="minorHAnsi" w:hAnsiTheme="minorHAnsi"/>
              <w:noProof/>
              <w:kern w:val="2"/>
              <w:lang w:val="es-MX" w:eastAsia="es-MX" w:bidi="ar-SA"/>
              <w14:ligatures w14:val="standardContextual"/>
            </w:rPr>
          </w:pPr>
          <w:hyperlink w:anchor="_Toc187396119" w:history="1">
            <w:r w:rsidR="00713A5F" w:rsidRPr="004058AE">
              <w:rPr>
                <w:rStyle w:val="Hipervnculo"/>
                <w:noProof/>
              </w:rPr>
              <w:t>Frente 1. Hermosillo en Paz y Conectado</w:t>
            </w:r>
            <w:r w:rsidR="00713A5F">
              <w:rPr>
                <w:noProof/>
                <w:webHidden/>
              </w:rPr>
              <w:tab/>
            </w:r>
            <w:r w:rsidR="00713A5F">
              <w:rPr>
                <w:noProof/>
                <w:webHidden/>
              </w:rPr>
              <w:fldChar w:fldCharType="begin"/>
            </w:r>
            <w:r w:rsidR="00713A5F">
              <w:rPr>
                <w:noProof/>
                <w:webHidden/>
              </w:rPr>
              <w:instrText xml:space="preserve"> PAGEREF _Toc187396119 \h </w:instrText>
            </w:r>
            <w:r w:rsidR="00713A5F">
              <w:rPr>
                <w:noProof/>
                <w:webHidden/>
              </w:rPr>
            </w:r>
            <w:r w:rsidR="00713A5F">
              <w:rPr>
                <w:noProof/>
                <w:webHidden/>
              </w:rPr>
              <w:fldChar w:fldCharType="separate"/>
            </w:r>
            <w:r w:rsidR="00713A5F">
              <w:rPr>
                <w:noProof/>
                <w:webHidden/>
              </w:rPr>
              <w:t>39</w:t>
            </w:r>
            <w:r w:rsidR="00713A5F">
              <w:rPr>
                <w:noProof/>
                <w:webHidden/>
              </w:rPr>
              <w:fldChar w:fldCharType="end"/>
            </w:r>
          </w:hyperlink>
        </w:p>
        <w:p w14:paraId="0D1E3E85" w14:textId="059A2295" w:rsidR="00713A5F" w:rsidRDefault="008A271D">
          <w:pPr>
            <w:pStyle w:val="TDC2"/>
            <w:tabs>
              <w:tab w:val="right" w:leader="dot" w:pos="8828"/>
            </w:tabs>
            <w:rPr>
              <w:rFonts w:asciiTheme="minorHAnsi" w:hAnsiTheme="minorHAnsi"/>
              <w:noProof/>
              <w:kern w:val="2"/>
              <w:lang w:val="es-MX" w:eastAsia="es-MX" w:bidi="ar-SA"/>
              <w14:ligatures w14:val="standardContextual"/>
            </w:rPr>
          </w:pPr>
          <w:hyperlink w:anchor="_Toc187396120" w:history="1">
            <w:r w:rsidR="00713A5F" w:rsidRPr="004058AE">
              <w:rPr>
                <w:rStyle w:val="Hipervnculo"/>
                <w:noProof/>
              </w:rPr>
              <w:t>Frente 2. Hermosillo Sostenible e Innovador</w:t>
            </w:r>
            <w:r w:rsidR="00713A5F">
              <w:rPr>
                <w:noProof/>
                <w:webHidden/>
              </w:rPr>
              <w:tab/>
            </w:r>
            <w:r w:rsidR="00713A5F">
              <w:rPr>
                <w:noProof/>
                <w:webHidden/>
              </w:rPr>
              <w:fldChar w:fldCharType="begin"/>
            </w:r>
            <w:r w:rsidR="00713A5F">
              <w:rPr>
                <w:noProof/>
                <w:webHidden/>
              </w:rPr>
              <w:instrText xml:space="preserve"> PAGEREF _Toc187396120 \h </w:instrText>
            </w:r>
            <w:r w:rsidR="00713A5F">
              <w:rPr>
                <w:noProof/>
                <w:webHidden/>
              </w:rPr>
            </w:r>
            <w:r w:rsidR="00713A5F">
              <w:rPr>
                <w:noProof/>
                <w:webHidden/>
              </w:rPr>
              <w:fldChar w:fldCharType="separate"/>
            </w:r>
            <w:r w:rsidR="00713A5F">
              <w:rPr>
                <w:noProof/>
                <w:webHidden/>
              </w:rPr>
              <w:t>63</w:t>
            </w:r>
            <w:r w:rsidR="00713A5F">
              <w:rPr>
                <w:noProof/>
                <w:webHidden/>
              </w:rPr>
              <w:fldChar w:fldCharType="end"/>
            </w:r>
          </w:hyperlink>
        </w:p>
        <w:p w14:paraId="5C511A27" w14:textId="368B0590" w:rsidR="00713A5F" w:rsidRDefault="008A271D">
          <w:pPr>
            <w:pStyle w:val="TDC2"/>
            <w:tabs>
              <w:tab w:val="right" w:leader="dot" w:pos="8828"/>
            </w:tabs>
            <w:rPr>
              <w:rFonts w:asciiTheme="minorHAnsi" w:hAnsiTheme="minorHAnsi"/>
              <w:noProof/>
              <w:kern w:val="2"/>
              <w:lang w:val="es-MX" w:eastAsia="es-MX" w:bidi="ar-SA"/>
              <w14:ligatures w14:val="standardContextual"/>
            </w:rPr>
          </w:pPr>
          <w:hyperlink w:anchor="_Toc187396121" w:history="1">
            <w:r w:rsidR="00713A5F" w:rsidRPr="004058AE">
              <w:rPr>
                <w:rStyle w:val="Hipervnculo"/>
                <w:noProof/>
              </w:rPr>
              <w:t>Frente 3. Hermosillo Activo y Competitivo</w:t>
            </w:r>
            <w:r w:rsidR="00713A5F">
              <w:rPr>
                <w:noProof/>
                <w:webHidden/>
              </w:rPr>
              <w:tab/>
            </w:r>
            <w:r w:rsidR="00713A5F">
              <w:rPr>
                <w:noProof/>
                <w:webHidden/>
              </w:rPr>
              <w:fldChar w:fldCharType="begin"/>
            </w:r>
            <w:r w:rsidR="00713A5F">
              <w:rPr>
                <w:noProof/>
                <w:webHidden/>
              </w:rPr>
              <w:instrText xml:space="preserve"> PAGEREF _Toc187396121 \h </w:instrText>
            </w:r>
            <w:r w:rsidR="00713A5F">
              <w:rPr>
                <w:noProof/>
                <w:webHidden/>
              </w:rPr>
            </w:r>
            <w:r w:rsidR="00713A5F">
              <w:rPr>
                <w:noProof/>
                <w:webHidden/>
              </w:rPr>
              <w:fldChar w:fldCharType="separate"/>
            </w:r>
            <w:r w:rsidR="00713A5F">
              <w:rPr>
                <w:noProof/>
                <w:webHidden/>
              </w:rPr>
              <w:t>100</w:t>
            </w:r>
            <w:r w:rsidR="00713A5F">
              <w:rPr>
                <w:noProof/>
                <w:webHidden/>
              </w:rPr>
              <w:fldChar w:fldCharType="end"/>
            </w:r>
          </w:hyperlink>
        </w:p>
        <w:p w14:paraId="2E653FF5" w14:textId="4230FED1" w:rsidR="00713A5F" w:rsidRDefault="008A271D">
          <w:pPr>
            <w:pStyle w:val="TDC2"/>
            <w:tabs>
              <w:tab w:val="right" w:leader="dot" w:pos="8828"/>
            </w:tabs>
            <w:rPr>
              <w:rFonts w:asciiTheme="minorHAnsi" w:hAnsiTheme="minorHAnsi"/>
              <w:noProof/>
              <w:kern w:val="2"/>
              <w:lang w:val="es-MX" w:eastAsia="es-MX" w:bidi="ar-SA"/>
              <w14:ligatures w14:val="standardContextual"/>
            </w:rPr>
          </w:pPr>
          <w:hyperlink w:anchor="_Toc187396122" w:history="1">
            <w:r w:rsidR="00713A5F" w:rsidRPr="004058AE">
              <w:rPr>
                <w:rStyle w:val="Hipervnculo"/>
                <w:noProof/>
              </w:rPr>
              <w:t>Frente 4. Hermosillo Vivo e Incluyente</w:t>
            </w:r>
            <w:r w:rsidR="00713A5F">
              <w:rPr>
                <w:noProof/>
                <w:webHidden/>
              </w:rPr>
              <w:tab/>
            </w:r>
            <w:r w:rsidR="00713A5F">
              <w:rPr>
                <w:noProof/>
                <w:webHidden/>
              </w:rPr>
              <w:fldChar w:fldCharType="begin"/>
            </w:r>
            <w:r w:rsidR="00713A5F">
              <w:rPr>
                <w:noProof/>
                <w:webHidden/>
              </w:rPr>
              <w:instrText xml:space="preserve"> PAGEREF _Toc187396122 \h </w:instrText>
            </w:r>
            <w:r w:rsidR="00713A5F">
              <w:rPr>
                <w:noProof/>
                <w:webHidden/>
              </w:rPr>
            </w:r>
            <w:r w:rsidR="00713A5F">
              <w:rPr>
                <w:noProof/>
                <w:webHidden/>
              </w:rPr>
              <w:fldChar w:fldCharType="separate"/>
            </w:r>
            <w:r w:rsidR="00713A5F">
              <w:rPr>
                <w:noProof/>
                <w:webHidden/>
              </w:rPr>
              <w:t>120</w:t>
            </w:r>
            <w:r w:rsidR="00713A5F">
              <w:rPr>
                <w:noProof/>
                <w:webHidden/>
              </w:rPr>
              <w:fldChar w:fldCharType="end"/>
            </w:r>
          </w:hyperlink>
        </w:p>
        <w:p w14:paraId="7D536228" w14:textId="2E1F632E" w:rsidR="00713A5F" w:rsidRDefault="008A271D">
          <w:pPr>
            <w:pStyle w:val="TDC2"/>
            <w:tabs>
              <w:tab w:val="right" w:leader="dot" w:pos="8828"/>
            </w:tabs>
            <w:rPr>
              <w:rFonts w:asciiTheme="minorHAnsi" w:hAnsiTheme="minorHAnsi"/>
              <w:noProof/>
              <w:kern w:val="2"/>
              <w:lang w:val="es-MX" w:eastAsia="es-MX" w:bidi="ar-SA"/>
              <w14:ligatures w14:val="standardContextual"/>
            </w:rPr>
          </w:pPr>
          <w:hyperlink w:anchor="_Toc187396123" w:history="1">
            <w:r w:rsidR="00713A5F" w:rsidRPr="004058AE">
              <w:rPr>
                <w:rStyle w:val="Hipervnculo"/>
                <w:noProof/>
              </w:rPr>
              <w:t>Frente 5. Hermosillo Ciudadano y Transparente</w:t>
            </w:r>
            <w:r w:rsidR="00713A5F">
              <w:rPr>
                <w:noProof/>
                <w:webHidden/>
              </w:rPr>
              <w:tab/>
            </w:r>
            <w:r w:rsidR="00713A5F">
              <w:rPr>
                <w:noProof/>
                <w:webHidden/>
              </w:rPr>
              <w:fldChar w:fldCharType="begin"/>
            </w:r>
            <w:r w:rsidR="00713A5F">
              <w:rPr>
                <w:noProof/>
                <w:webHidden/>
              </w:rPr>
              <w:instrText xml:space="preserve"> PAGEREF _Toc187396123 \h </w:instrText>
            </w:r>
            <w:r w:rsidR="00713A5F">
              <w:rPr>
                <w:noProof/>
                <w:webHidden/>
              </w:rPr>
            </w:r>
            <w:r w:rsidR="00713A5F">
              <w:rPr>
                <w:noProof/>
                <w:webHidden/>
              </w:rPr>
              <w:fldChar w:fldCharType="separate"/>
            </w:r>
            <w:r w:rsidR="00713A5F">
              <w:rPr>
                <w:noProof/>
                <w:webHidden/>
              </w:rPr>
              <w:t>142</w:t>
            </w:r>
            <w:r w:rsidR="00713A5F">
              <w:rPr>
                <w:noProof/>
                <w:webHidden/>
              </w:rPr>
              <w:fldChar w:fldCharType="end"/>
            </w:r>
          </w:hyperlink>
        </w:p>
        <w:p w14:paraId="02E995AA" w14:textId="1BC29BFD" w:rsidR="00713A5F" w:rsidRDefault="008A271D">
          <w:pPr>
            <w:pStyle w:val="TDC1"/>
            <w:tabs>
              <w:tab w:val="left" w:pos="1927"/>
            </w:tabs>
            <w:rPr>
              <w:rFonts w:asciiTheme="minorHAnsi" w:eastAsiaTheme="minorEastAsia" w:hAnsiTheme="minorHAnsi" w:cstheme="minorBidi"/>
              <w:b w:val="0"/>
              <w:noProof/>
              <w:color w:val="auto"/>
              <w:kern w:val="2"/>
              <w:sz w:val="22"/>
              <w:szCs w:val="22"/>
              <w:lang w:val="es-MX" w:eastAsia="es-MX" w:bidi="ar-SA"/>
              <w14:ligatures w14:val="standardContextual"/>
            </w:rPr>
          </w:pPr>
          <w:hyperlink w:anchor="_Toc187396124" w:history="1">
            <w:r w:rsidR="00713A5F" w:rsidRPr="004058AE">
              <w:rPr>
                <w:rStyle w:val="Hipervnculo"/>
                <w:noProof/>
              </w:rPr>
              <w:t>VII.</w:t>
            </w:r>
            <w:r w:rsidR="00713A5F">
              <w:rPr>
                <w:rFonts w:asciiTheme="minorHAnsi" w:eastAsiaTheme="minorEastAsia" w:hAnsiTheme="minorHAnsi" w:cstheme="minorBidi"/>
                <w:b w:val="0"/>
                <w:noProof/>
                <w:color w:val="auto"/>
                <w:kern w:val="2"/>
                <w:sz w:val="22"/>
                <w:szCs w:val="22"/>
                <w:lang w:val="es-MX" w:eastAsia="es-MX" w:bidi="ar-SA"/>
                <w14:ligatures w14:val="standardContextual"/>
              </w:rPr>
              <w:tab/>
            </w:r>
            <w:r w:rsidR="00713A5F" w:rsidRPr="004058AE">
              <w:rPr>
                <w:rStyle w:val="Hipervnculo"/>
                <w:noProof/>
              </w:rPr>
              <w:t>SEGUIMIENTO Y EVALUACIÓN DEL DESEMPEÑO MUNICIPAL</w:t>
            </w:r>
            <w:r w:rsidR="00713A5F">
              <w:rPr>
                <w:noProof/>
                <w:webHidden/>
              </w:rPr>
              <w:tab/>
            </w:r>
            <w:r w:rsidR="00713A5F">
              <w:rPr>
                <w:noProof/>
                <w:webHidden/>
              </w:rPr>
              <w:fldChar w:fldCharType="begin"/>
            </w:r>
            <w:r w:rsidR="00713A5F">
              <w:rPr>
                <w:noProof/>
                <w:webHidden/>
              </w:rPr>
              <w:instrText xml:space="preserve"> PAGEREF _Toc187396124 \h </w:instrText>
            </w:r>
            <w:r w:rsidR="00713A5F">
              <w:rPr>
                <w:noProof/>
                <w:webHidden/>
              </w:rPr>
            </w:r>
            <w:r w:rsidR="00713A5F">
              <w:rPr>
                <w:noProof/>
                <w:webHidden/>
              </w:rPr>
              <w:fldChar w:fldCharType="separate"/>
            </w:r>
            <w:r w:rsidR="00713A5F">
              <w:rPr>
                <w:noProof/>
                <w:webHidden/>
              </w:rPr>
              <w:t>173</w:t>
            </w:r>
            <w:r w:rsidR="00713A5F">
              <w:rPr>
                <w:noProof/>
                <w:webHidden/>
              </w:rPr>
              <w:fldChar w:fldCharType="end"/>
            </w:r>
          </w:hyperlink>
        </w:p>
        <w:p w14:paraId="561F5B6B" w14:textId="1EB0D080" w:rsidR="00713A5F" w:rsidRDefault="008A271D">
          <w:pPr>
            <w:pStyle w:val="TDC1"/>
            <w:tabs>
              <w:tab w:val="left" w:pos="2005"/>
            </w:tabs>
            <w:rPr>
              <w:rFonts w:asciiTheme="minorHAnsi" w:eastAsiaTheme="minorEastAsia" w:hAnsiTheme="minorHAnsi" w:cstheme="minorBidi"/>
              <w:b w:val="0"/>
              <w:noProof/>
              <w:color w:val="auto"/>
              <w:kern w:val="2"/>
              <w:sz w:val="22"/>
              <w:szCs w:val="22"/>
              <w:lang w:val="es-MX" w:eastAsia="es-MX" w:bidi="ar-SA"/>
              <w14:ligatures w14:val="standardContextual"/>
            </w:rPr>
          </w:pPr>
          <w:hyperlink w:anchor="_Toc187396125" w:history="1">
            <w:r w:rsidR="00713A5F" w:rsidRPr="004058AE">
              <w:rPr>
                <w:rStyle w:val="Hipervnculo"/>
                <w:noProof/>
              </w:rPr>
              <w:t>VIII.</w:t>
            </w:r>
            <w:r w:rsidR="00713A5F">
              <w:rPr>
                <w:rFonts w:asciiTheme="minorHAnsi" w:eastAsiaTheme="minorEastAsia" w:hAnsiTheme="minorHAnsi" w:cstheme="minorBidi"/>
                <w:b w:val="0"/>
                <w:noProof/>
                <w:color w:val="auto"/>
                <w:kern w:val="2"/>
                <w:sz w:val="22"/>
                <w:szCs w:val="22"/>
                <w:lang w:val="es-MX" w:eastAsia="es-MX" w:bidi="ar-SA"/>
                <w14:ligatures w14:val="standardContextual"/>
              </w:rPr>
              <w:tab/>
            </w:r>
            <w:r w:rsidR="00713A5F" w:rsidRPr="004058AE">
              <w:rPr>
                <w:rStyle w:val="Hipervnculo"/>
                <w:noProof/>
              </w:rPr>
              <w:t>PROGRAMAS PRESUPUESTARIOS DERIVADOS DEL PLAN MUNICIPAL DE DESARROLLO DE HERMOSILLO 2025-2027</w:t>
            </w:r>
            <w:r w:rsidR="00713A5F">
              <w:rPr>
                <w:noProof/>
                <w:webHidden/>
              </w:rPr>
              <w:tab/>
            </w:r>
            <w:r w:rsidR="00713A5F">
              <w:rPr>
                <w:noProof/>
                <w:webHidden/>
              </w:rPr>
              <w:fldChar w:fldCharType="begin"/>
            </w:r>
            <w:r w:rsidR="00713A5F">
              <w:rPr>
                <w:noProof/>
                <w:webHidden/>
              </w:rPr>
              <w:instrText xml:space="preserve"> PAGEREF _Toc187396125 \h </w:instrText>
            </w:r>
            <w:r w:rsidR="00713A5F">
              <w:rPr>
                <w:noProof/>
                <w:webHidden/>
              </w:rPr>
            </w:r>
            <w:r w:rsidR="00713A5F">
              <w:rPr>
                <w:noProof/>
                <w:webHidden/>
              </w:rPr>
              <w:fldChar w:fldCharType="separate"/>
            </w:r>
            <w:r w:rsidR="00713A5F">
              <w:rPr>
                <w:noProof/>
                <w:webHidden/>
              </w:rPr>
              <w:t>180</w:t>
            </w:r>
            <w:r w:rsidR="00713A5F">
              <w:rPr>
                <w:noProof/>
                <w:webHidden/>
              </w:rPr>
              <w:fldChar w:fldCharType="end"/>
            </w:r>
          </w:hyperlink>
        </w:p>
        <w:p w14:paraId="0C030EB7" w14:textId="04148F8C" w:rsidR="00713A5F" w:rsidRDefault="008A271D">
          <w:pPr>
            <w:pStyle w:val="TDC1"/>
            <w:tabs>
              <w:tab w:val="left" w:pos="1849"/>
            </w:tabs>
            <w:rPr>
              <w:rFonts w:asciiTheme="minorHAnsi" w:eastAsiaTheme="minorEastAsia" w:hAnsiTheme="minorHAnsi" w:cstheme="minorBidi"/>
              <w:b w:val="0"/>
              <w:noProof/>
              <w:color w:val="auto"/>
              <w:kern w:val="2"/>
              <w:sz w:val="22"/>
              <w:szCs w:val="22"/>
              <w:lang w:val="es-MX" w:eastAsia="es-MX" w:bidi="ar-SA"/>
              <w14:ligatures w14:val="standardContextual"/>
            </w:rPr>
          </w:pPr>
          <w:hyperlink w:anchor="_Toc187396126" w:history="1">
            <w:r w:rsidR="00713A5F" w:rsidRPr="004058AE">
              <w:rPr>
                <w:rStyle w:val="Hipervnculo"/>
                <w:noProof/>
              </w:rPr>
              <w:t>IX.</w:t>
            </w:r>
            <w:r w:rsidR="00713A5F">
              <w:rPr>
                <w:rFonts w:asciiTheme="minorHAnsi" w:eastAsiaTheme="minorEastAsia" w:hAnsiTheme="minorHAnsi" w:cstheme="minorBidi"/>
                <w:b w:val="0"/>
                <w:noProof/>
                <w:color w:val="auto"/>
                <w:kern w:val="2"/>
                <w:sz w:val="22"/>
                <w:szCs w:val="22"/>
                <w:lang w:val="es-MX" w:eastAsia="es-MX" w:bidi="ar-SA"/>
                <w14:ligatures w14:val="standardContextual"/>
              </w:rPr>
              <w:tab/>
            </w:r>
            <w:r w:rsidR="00713A5F" w:rsidRPr="004058AE">
              <w:rPr>
                <w:rStyle w:val="Hipervnculo"/>
                <w:noProof/>
              </w:rPr>
              <w:t>GLOSARIO</w:t>
            </w:r>
            <w:r w:rsidR="00713A5F">
              <w:rPr>
                <w:noProof/>
                <w:webHidden/>
              </w:rPr>
              <w:tab/>
            </w:r>
            <w:r w:rsidR="00713A5F">
              <w:rPr>
                <w:noProof/>
                <w:webHidden/>
              </w:rPr>
              <w:fldChar w:fldCharType="begin"/>
            </w:r>
            <w:r w:rsidR="00713A5F">
              <w:rPr>
                <w:noProof/>
                <w:webHidden/>
              </w:rPr>
              <w:instrText xml:space="preserve"> PAGEREF _Toc187396126 \h </w:instrText>
            </w:r>
            <w:r w:rsidR="00713A5F">
              <w:rPr>
                <w:noProof/>
                <w:webHidden/>
              </w:rPr>
            </w:r>
            <w:r w:rsidR="00713A5F">
              <w:rPr>
                <w:noProof/>
                <w:webHidden/>
              </w:rPr>
              <w:fldChar w:fldCharType="separate"/>
            </w:r>
            <w:r w:rsidR="00713A5F">
              <w:rPr>
                <w:noProof/>
                <w:webHidden/>
              </w:rPr>
              <w:t>185</w:t>
            </w:r>
            <w:r w:rsidR="00713A5F">
              <w:rPr>
                <w:noProof/>
                <w:webHidden/>
              </w:rPr>
              <w:fldChar w:fldCharType="end"/>
            </w:r>
          </w:hyperlink>
        </w:p>
        <w:p w14:paraId="6C5829BE" w14:textId="09263D30" w:rsidR="00713A5F" w:rsidRDefault="008A271D">
          <w:pPr>
            <w:pStyle w:val="TDC2"/>
            <w:tabs>
              <w:tab w:val="right" w:leader="dot" w:pos="8828"/>
            </w:tabs>
            <w:rPr>
              <w:rFonts w:asciiTheme="minorHAnsi" w:hAnsiTheme="minorHAnsi"/>
              <w:noProof/>
              <w:kern w:val="2"/>
              <w:lang w:val="es-MX" w:eastAsia="es-MX" w:bidi="ar-SA"/>
              <w14:ligatures w14:val="standardContextual"/>
            </w:rPr>
          </w:pPr>
          <w:hyperlink w:anchor="_Toc187396127" w:history="1">
            <w:r w:rsidR="00713A5F" w:rsidRPr="004058AE">
              <w:rPr>
                <w:rStyle w:val="Hipervnculo"/>
                <w:noProof/>
              </w:rPr>
              <w:t>REFERENCIAS</w:t>
            </w:r>
            <w:r w:rsidR="00713A5F">
              <w:rPr>
                <w:noProof/>
                <w:webHidden/>
              </w:rPr>
              <w:tab/>
            </w:r>
            <w:r w:rsidR="00713A5F">
              <w:rPr>
                <w:noProof/>
                <w:webHidden/>
              </w:rPr>
              <w:fldChar w:fldCharType="begin"/>
            </w:r>
            <w:r w:rsidR="00713A5F">
              <w:rPr>
                <w:noProof/>
                <w:webHidden/>
              </w:rPr>
              <w:instrText xml:space="preserve"> PAGEREF _Toc187396127 \h </w:instrText>
            </w:r>
            <w:r w:rsidR="00713A5F">
              <w:rPr>
                <w:noProof/>
                <w:webHidden/>
              </w:rPr>
            </w:r>
            <w:r w:rsidR="00713A5F">
              <w:rPr>
                <w:noProof/>
                <w:webHidden/>
              </w:rPr>
              <w:fldChar w:fldCharType="separate"/>
            </w:r>
            <w:r w:rsidR="00713A5F">
              <w:rPr>
                <w:noProof/>
                <w:webHidden/>
              </w:rPr>
              <w:t>189</w:t>
            </w:r>
            <w:r w:rsidR="00713A5F">
              <w:rPr>
                <w:noProof/>
                <w:webHidden/>
              </w:rPr>
              <w:fldChar w:fldCharType="end"/>
            </w:r>
          </w:hyperlink>
        </w:p>
        <w:p w14:paraId="0D463EC2" w14:textId="5086204E" w:rsidR="00713A5F" w:rsidRDefault="008A271D">
          <w:pPr>
            <w:pStyle w:val="TDC2"/>
            <w:tabs>
              <w:tab w:val="right" w:leader="dot" w:pos="8828"/>
            </w:tabs>
            <w:rPr>
              <w:rFonts w:asciiTheme="minorHAnsi" w:hAnsiTheme="minorHAnsi"/>
              <w:noProof/>
              <w:kern w:val="2"/>
              <w:lang w:val="es-MX" w:eastAsia="es-MX" w:bidi="ar-SA"/>
              <w14:ligatures w14:val="standardContextual"/>
            </w:rPr>
          </w:pPr>
          <w:hyperlink w:anchor="_Toc187396128" w:history="1">
            <w:r w:rsidR="00713A5F" w:rsidRPr="004058AE">
              <w:rPr>
                <w:rStyle w:val="Hipervnculo"/>
                <w:rFonts w:eastAsiaTheme="minorHAnsi"/>
                <w:noProof/>
              </w:rPr>
              <w:t>ANEXO 1. INDICADORES ESTRATÉGICOS DEL PLAN MUNICIPAL DE DESARROLLO DE HERMOSILLO 2025-2027.</w:t>
            </w:r>
            <w:r w:rsidR="00713A5F">
              <w:rPr>
                <w:noProof/>
                <w:webHidden/>
              </w:rPr>
              <w:tab/>
            </w:r>
            <w:r w:rsidR="00713A5F">
              <w:rPr>
                <w:noProof/>
                <w:webHidden/>
              </w:rPr>
              <w:fldChar w:fldCharType="begin"/>
            </w:r>
            <w:r w:rsidR="00713A5F">
              <w:rPr>
                <w:noProof/>
                <w:webHidden/>
              </w:rPr>
              <w:instrText xml:space="preserve"> PAGEREF _Toc187396128 \h </w:instrText>
            </w:r>
            <w:r w:rsidR="00713A5F">
              <w:rPr>
                <w:noProof/>
                <w:webHidden/>
              </w:rPr>
            </w:r>
            <w:r w:rsidR="00713A5F">
              <w:rPr>
                <w:noProof/>
                <w:webHidden/>
              </w:rPr>
              <w:fldChar w:fldCharType="separate"/>
            </w:r>
            <w:r w:rsidR="00713A5F">
              <w:rPr>
                <w:noProof/>
                <w:webHidden/>
              </w:rPr>
              <w:t>194</w:t>
            </w:r>
            <w:r w:rsidR="00713A5F">
              <w:rPr>
                <w:noProof/>
                <w:webHidden/>
              </w:rPr>
              <w:fldChar w:fldCharType="end"/>
            </w:r>
          </w:hyperlink>
        </w:p>
        <w:p w14:paraId="5AE25F22" w14:textId="39FC58CB" w:rsidR="00713A5F" w:rsidRDefault="008A271D">
          <w:pPr>
            <w:pStyle w:val="TDC2"/>
            <w:tabs>
              <w:tab w:val="right" w:leader="dot" w:pos="8828"/>
            </w:tabs>
            <w:rPr>
              <w:rFonts w:asciiTheme="minorHAnsi" w:hAnsiTheme="minorHAnsi"/>
              <w:noProof/>
              <w:kern w:val="2"/>
              <w:lang w:val="es-MX" w:eastAsia="es-MX" w:bidi="ar-SA"/>
              <w14:ligatures w14:val="standardContextual"/>
            </w:rPr>
          </w:pPr>
          <w:hyperlink w:anchor="_Toc187396129" w:history="1">
            <w:r w:rsidR="00713A5F" w:rsidRPr="004058AE">
              <w:rPr>
                <w:rStyle w:val="Hipervnculo"/>
                <w:rFonts w:eastAsia="Times New Roman"/>
                <w:noProof/>
                <w:lang w:eastAsia="es-ES_tradnl"/>
              </w:rPr>
              <w:t>ANEXO 2. ALINEACIÓN DEL PLAN MUNICIPAL DE DESARROLLO Y LOS OBJETIVOS DE DESARROLLO SOSTENIBLE</w:t>
            </w:r>
            <w:r w:rsidR="00713A5F">
              <w:rPr>
                <w:noProof/>
                <w:webHidden/>
              </w:rPr>
              <w:tab/>
            </w:r>
            <w:r w:rsidR="00713A5F">
              <w:rPr>
                <w:noProof/>
                <w:webHidden/>
              </w:rPr>
              <w:fldChar w:fldCharType="begin"/>
            </w:r>
            <w:r w:rsidR="00713A5F">
              <w:rPr>
                <w:noProof/>
                <w:webHidden/>
              </w:rPr>
              <w:instrText xml:space="preserve"> PAGEREF _Toc187396129 \h </w:instrText>
            </w:r>
            <w:r w:rsidR="00713A5F">
              <w:rPr>
                <w:noProof/>
                <w:webHidden/>
              </w:rPr>
            </w:r>
            <w:r w:rsidR="00713A5F">
              <w:rPr>
                <w:noProof/>
                <w:webHidden/>
              </w:rPr>
              <w:fldChar w:fldCharType="separate"/>
            </w:r>
            <w:r w:rsidR="00713A5F">
              <w:rPr>
                <w:noProof/>
                <w:webHidden/>
              </w:rPr>
              <w:t>203</w:t>
            </w:r>
            <w:r w:rsidR="00713A5F">
              <w:rPr>
                <w:noProof/>
                <w:webHidden/>
              </w:rPr>
              <w:fldChar w:fldCharType="end"/>
            </w:r>
          </w:hyperlink>
        </w:p>
        <w:p w14:paraId="39688035" w14:textId="6060CA1D" w:rsidR="00713A5F" w:rsidRDefault="008A271D">
          <w:pPr>
            <w:pStyle w:val="TDC2"/>
            <w:tabs>
              <w:tab w:val="right" w:leader="dot" w:pos="8828"/>
            </w:tabs>
            <w:rPr>
              <w:rFonts w:asciiTheme="minorHAnsi" w:hAnsiTheme="minorHAnsi"/>
              <w:noProof/>
              <w:kern w:val="2"/>
              <w:lang w:val="es-MX" w:eastAsia="es-MX" w:bidi="ar-SA"/>
              <w14:ligatures w14:val="standardContextual"/>
            </w:rPr>
          </w:pPr>
          <w:hyperlink w:anchor="_Toc187396130" w:history="1">
            <w:r w:rsidR="00713A5F" w:rsidRPr="004058AE">
              <w:rPr>
                <w:rStyle w:val="Hipervnculo"/>
                <w:noProof/>
              </w:rPr>
              <w:t>ANEXO 3. ALINEACIÓN DEL PLAN MUNICIPAL DE DESARROLLO 2025-2027 CON EL PLAN ESTATAL DE DESARROLLO 2021-2027</w:t>
            </w:r>
            <w:r w:rsidR="00713A5F">
              <w:rPr>
                <w:noProof/>
                <w:webHidden/>
              </w:rPr>
              <w:tab/>
            </w:r>
            <w:r w:rsidR="00713A5F">
              <w:rPr>
                <w:noProof/>
                <w:webHidden/>
              </w:rPr>
              <w:fldChar w:fldCharType="begin"/>
            </w:r>
            <w:r w:rsidR="00713A5F">
              <w:rPr>
                <w:noProof/>
                <w:webHidden/>
              </w:rPr>
              <w:instrText xml:space="preserve"> PAGEREF _Toc187396130 \h </w:instrText>
            </w:r>
            <w:r w:rsidR="00713A5F">
              <w:rPr>
                <w:noProof/>
                <w:webHidden/>
              </w:rPr>
            </w:r>
            <w:r w:rsidR="00713A5F">
              <w:rPr>
                <w:noProof/>
                <w:webHidden/>
              </w:rPr>
              <w:fldChar w:fldCharType="separate"/>
            </w:r>
            <w:r w:rsidR="00713A5F">
              <w:rPr>
                <w:noProof/>
                <w:webHidden/>
              </w:rPr>
              <w:t>211</w:t>
            </w:r>
            <w:r w:rsidR="00713A5F">
              <w:rPr>
                <w:noProof/>
                <w:webHidden/>
              </w:rPr>
              <w:fldChar w:fldCharType="end"/>
            </w:r>
          </w:hyperlink>
        </w:p>
        <w:p w14:paraId="2F9CB985" w14:textId="1A3B2440" w:rsidR="00AE0DCA" w:rsidRPr="00713A5F" w:rsidRDefault="00F35847" w:rsidP="00713A5F">
          <w:r>
            <w:rPr>
              <w:b/>
              <w:bCs/>
            </w:rPr>
            <w:fldChar w:fldCharType="end"/>
          </w:r>
        </w:p>
      </w:sdtContent>
    </w:sdt>
    <w:p w14:paraId="3CE6FEFA" w14:textId="5D3924FB" w:rsidR="0044071E" w:rsidRPr="00516DB0" w:rsidRDefault="0044071E" w:rsidP="00B205BA">
      <w:pPr>
        <w:pStyle w:val="Ttulo1"/>
        <w:spacing w:after="120" w:line="240" w:lineRule="auto"/>
      </w:pPr>
      <w:bookmarkStart w:id="0" w:name="_Toc187396113"/>
      <w:r w:rsidRPr="00516DB0">
        <w:lastRenderedPageBreak/>
        <w:t>MARCO LEGAL</w:t>
      </w:r>
      <w:bookmarkEnd w:id="0"/>
    </w:p>
    <w:p w14:paraId="744CA7F1" w14:textId="77777777" w:rsidR="00144935" w:rsidRPr="00C028AC" w:rsidRDefault="00144935" w:rsidP="00B205BA">
      <w:pPr>
        <w:spacing w:after="120" w:line="240" w:lineRule="auto"/>
        <w:ind w:left="780"/>
        <w:rPr>
          <w:rFonts w:cs="Arial"/>
          <w:b/>
          <w:color w:val="000000" w:themeColor="text1"/>
          <w:sz w:val="24"/>
          <w:szCs w:val="24"/>
        </w:rPr>
      </w:pPr>
    </w:p>
    <w:p w14:paraId="04D08CC6" w14:textId="621E4B92" w:rsidR="0044071E" w:rsidRPr="0062376D" w:rsidRDefault="0044071E" w:rsidP="00B205BA">
      <w:pPr>
        <w:spacing w:after="120" w:line="240" w:lineRule="auto"/>
        <w:rPr>
          <w:rFonts w:cs="Arial"/>
          <w:color w:val="000000" w:themeColor="text1"/>
        </w:rPr>
      </w:pPr>
      <w:r w:rsidRPr="0062376D">
        <w:rPr>
          <w:rFonts w:cs="Arial"/>
          <w:color w:val="000000" w:themeColor="text1"/>
        </w:rPr>
        <w:t xml:space="preserve">El Plan </w:t>
      </w:r>
      <w:r w:rsidR="001F6751" w:rsidRPr="0062376D">
        <w:rPr>
          <w:rFonts w:cs="Arial"/>
          <w:color w:val="000000" w:themeColor="text1"/>
        </w:rPr>
        <w:t xml:space="preserve">Municipal de Desarrollo </w:t>
      </w:r>
      <w:r w:rsidR="00303A8B" w:rsidRPr="0062376D">
        <w:rPr>
          <w:rFonts w:cs="Arial"/>
          <w:color w:val="000000" w:themeColor="text1"/>
        </w:rPr>
        <w:t xml:space="preserve">de Hermosillo </w:t>
      </w:r>
      <w:r w:rsidRPr="0062376D">
        <w:rPr>
          <w:rFonts w:cs="Arial"/>
          <w:color w:val="000000" w:themeColor="text1"/>
        </w:rPr>
        <w:t>20</w:t>
      </w:r>
      <w:r w:rsidR="00303A8B" w:rsidRPr="0062376D">
        <w:rPr>
          <w:rFonts w:cs="Arial"/>
          <w:color w:val="000000" w:themeColor="text1"/>
        </w:rPr>
        <w:t>2</w:t>
      </w:r>
      <w:r w:rsidR="00C028AC" w:rsidRPr="0062376D">
        <w:rPr>
          <w:rFonts w:cs="Arial"/>
          <w:color w:val="000000" w:themeColor="text1"/>
        </w:rPr>
        <w:t>5</w:t>
      </w:r>
      <w:r w:rsidR="00303A8B" w:rsidRPr="0062376D">
        <w:rPr>
          <w:rFonts w:cs="Arial"/>
          <w:color w:val="000000" w:themeColor="text1"/>
        </w:rPr>
        <w:t>-</w:t>
      </w:r>
      <w:r w:rsidRPr="0062376D">
        <w:rPr>
          <w:rFonts w:cs="Arial"/>
          <w:color w:val="000000" w:themeColor="text1"/>
        </w:rPr>
        <w:t>202</w:t>
      </w:r>
      <w:r w:rsidR="00C028AC" w:rsidRPr="0062376D">
        <w:rPr>
          <w:rFonts w:cs="Arial"/>
          <w:color w:val="000000" w:themeColor="text1"/>
        </w:rPr>
        <w:t>7</w:t>
      </w:r>
      <w:r w:rsidRPr="0062376D">
        <w:rPr>
          <w:rFonts w:cs="Arial"/>
          <w:color w:val="000000" w:themeColor="text1"/>
        </w:rPr>
        <w:t xml:space="preserve"> (P</w:t>
      </w:r>
      <w:r w:rsidR="00303A8B" w:rsidRPr="0062376D">
        <w:rPr>
          <w:rFonts w:cs="Arial"/>
          <w:color w:val="000000" w:themeColor="text1"/>
        </w:rPr>
        <w:t>M</w:t>
      </w:r>
      <w:r w:rsidR="00EF28C7" w:rsidRPr="0062376D">
        <w:rPr>
          <w:rFonts w:cs="Arial"/>
          <w:color w:val="000000" w:themeColor="text1"/>
        </w:rPr>
        <w:t>D</w:t>
      </w:r>
      <w:r w:rsidRPr="0062376D">
        <w:rPr>
          <w:rFonts w:cs="Arial"/>
          <w:color w:val="000000" w:themeColor="text1"/>
        </w:rPr>
        <w:t xml:space="preserve"> 20</w:t>
      </w:r>
      <w:r w:rsidR="00303A8B" w:rsidRPr="0062376D">
        <w:rPr>
          <w:rFonts w:cs="Arial"/>
          <w:color w:val="000000" w:themeColor="text1"/>
        </w:rPr>
        <w:t>2</w:t>
      </w:r>
      <w:r w:rsidR="00C028AC" w:rsidRPr="0062376D">
        <w:rPr>
          <w:rFonts w:cs="Arial"/>
          <w:color w:val="000000" w:themeColor="text1"/>
        </w:rPr>
        <w:t>5</w:t>
      </w:r>
      <w:r w:rsidRPr="0062376D">
        <w:rPr>
          <w:rFonts w:cs="Arial"/>
          <w:color w:val="000000" w:themeColor="text1"/>
        </w:rPr>
        <w:t>-20</w:t>
      </w:r>
      <w:r w:rsidR="00303A8B" w:rsidRPr="0062376D">
        <w:rPr>
          <w:rFonts w:cs="Arial"/>
          <w:color w:val="000000" w:themeColor="text1"/>
        </w:rPr>
        <w:t>2</w:t>
      </w:r>
      <w:r w:rsidR="00C028AC" w:rsidRPr="0062376D">
        <w:rPr>
          <w:rFonts w:cs="Arial"/>
          <w:color w:val="000000" w:themeColor="text1"/>
        </w:rPr>
        <w:t>7</w:t>
      </w:r>
      <w:r w:rsidRPr="0062376D">
        <w:rPr>
          <w:rFonts w:cs="Arial"/>
          <w:color w:val="000000" w:themeColor="text1"/>
        </w:rPr>
        <w:t xml:space="preserve">) está apegado al marco normativo aplicable en materia de planeación, presupuesto y evaluación municipal que comprende leyes y reglamentos de orden federal, estatal y municipal: </w:t>
      </w:r>
    </w:p>
    <w:p w14:paraId="4FB53423" w14:textId="0C0C52CD" w:rsidR="0044071E" w:rsidRPr="0062376D" w:rsidRDefault="0044071E"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Constitución Política de los Estados Unidos Mexicanos</w:t>
      </w:r>
    </w:p>
    <w:p w14:paraId="57DB9CF9" w14:textId="7BB62D1E" w:rsidR="00D4113D" w:rsidRPr="0062376D" w:rsidRDefault="00D4113D"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Constitución Política del Estado Libre y Soberano de Sonora</w:t>
      </w:r>
    </w:p>
    <w:p w14:paraId="49E5DA23" w14:textId="5DEEEDAE" w:rsidR="0044071E" w:rsidRPr="0062376D" w:rsidRDefault="0044071E"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Ley General de Contabilidad Gubernamental</w:t>
      </w:r>
    </w:p>
    <w:p w14:paraId="7DA7DE27" w14:textId="7ED9DFC2" w:rsidR="00D4113D" w:rsidRPr="0062376D" w:rsidRDefault="00D4113D"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Ley de Planeación del Estado de Sonora</w:t>
      </w:r>
    </w:p>
    <w:p w14:paraId="11EE40F7" w14:textId="3C4A99E8" w:rsidR="0044071E" w:rsidRPr="0062376D" w:rsidRDefault="0044071E"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Ley Federal de Presupuesto y Responsabilidad Hacendaria</w:t>
      </w:r>
    </w:p>
    <w:p w14:paraId="50DE4B29" w14:textId="31050B60" w:rsidR="00D4113D" w:rsidRPr="0062376D" w:rsidRDefault="00D4113D"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Ley de Acceso a la Información Pública y de Protección de Datos Personales del Estado de Sonora</w:t>
      </w:r>
    </w:p>
    <w:p w14:paraId="6920BE83" w14:textId="601961F8" w:rsidR="00D4113D" w:rsidRPr="0062376D" w:rsidRDefault="00D4113D"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Ley de Participación Ciudadana del Estado de Sonora</w:t>
      </w:r>
    </w:p>
    <w:p w14:paraId="19B4FA5D" w14:textId="5716A949" w:rsidR="0044071E" w:rsidRPr="0062376D" w:rsidRDefault="0044071E"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Ley de Gobierno y Administración Municipal</w:t>
      </w:r>
    </w:p>
    <w:p w14:paraId="655DEC8B" w14:textId="1BAB3033" w:rsidR="0044071E" w:rsidRPr="0062376D" w:rsidRDefault="0044071E"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 xml:space="preserve">Reglamento Interior de la Administración Pública Municipal Directa del H. Ayuntamiento de Hermosillo </w:t>
      </w:r>
    </w:p>
    <w:p w14:paraId="5F487E6A" w14:textId="0AC5C019" w:rsidR="0044071E" w:rsidRPr="0062376D" w:rsidRDefault="0044071E"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Reglamento de Planeación Municipal de Hermosillo</w:t>
      </w:r>
    </w:p>
    <w:p w14:paraId="0F703DC9" w14:textId="52D1DE86" w:rsidR="00304D45" w:rsidRPr="0062376D" w:rsidRDefault="00304D45"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 xml:space="preserve">Ley General de Responsabilidades Administrativas </w:t>
      </w:r>
    </w:p>
    <w:p w14:paraId="5852A454" w14:textId="3652D34B" w:rsidR="00304D45" w:rsidRPr="0062376D" w:rsidRDefault="00304D45"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Ley Estatal de Responsabilidades</w:t>
      </w:r>
    </w:p>
    <w:p w14:paraId="2B623502" w14:textId="2FCE6026" w:rsidR="00304D45" w:rsidRPr="0062376D" w:rsidRDefault="00304D45"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Ley de Hacienda Municipal</w:t>
      </w:r>
    </w:p>
    <w:p w14:paraId="1B4B594A" w14:textId="2F524DBA" w:rsidR="00304D45" w:rsidRPr="0062376D" w:rsidRDefault="00304D45" w:rsidP="00B205BA">
      <w:pPr>
        <w:pStyle w:val="Prrafodelista"/>
        <w:numPr>
          <w:ilvl w:val="0"/>
          <w:numId w:val="7"/>
        </w:numPr>
        <w:spacing w:after="120" w:line="240" w:lineRule="auto"/>
        <w:contextualSpacing w:val="0"/>
        <w:rPr>
          <w:rFonts w:cs="Arial"/>
          <w:color w:val="000000" w:themeColor="text1"/>
        </w:rPr>
      </w:pPr>
      <w:r w:rsidRPr="0062376D">
        <w:rPr>
          <w:rFonts w:cs="Arial"/>
          <w:color w:val="000000" w:themeColor="text1"/>
        </w:rPr>
        <w:t>Ley de Fiscalización Superior para el Estado de Sonora</w:t>
      </w:r>
    </w:p>
    <w:p w14:paraId="27328FE1" w14:textId="3AC9DDAA" w:rsidR="00804202" w:rsidRPr="0062376D" w:rsidRDefault="00804202" w:rsidP="00B205BA">
      <w:pPr>
        <w:spacing w:after="120" w:line="240" w:lineRule="auto"/>
        <w:rPr>
          <w:rFonts w:cs="Arial"/>
          <w:b/>
          <w:bCs/>
          <w:highlight w:val="yellow"/>
        </w:rPr>
      </w:pPr>
    </w:p>
    <w:p w14:paraId="6D49964D" w14:textId="3B17F61E" w:rsidR="00BB0F02" w:rsidRDefault="00BB0F02" w:rsidP="00B205BA">
      <w:pPr>
        <w:spacing w:after="120" w:line="240" w:lineRule="auto"/>
        <w:rPr>
          <w:rFonts w:cs="Arial"/>
          <w:b/>
          <w:bCs/>
          <w:sz w:val="24"/>
          <w:szCs w:val="24"/>
          <w:highlight w:val="yellow"/>
        </w:rPr>
      </w:pPr>
    </w:p>
    <w:p w14:paraId="2149B757" w14:textId="240B414D" w:rsidR="00BB0F02" w:rsidRDefault="00BB0F02" w:rsidP="00B205BA">
      <w:pPr>
        <w:spacing w:after="120" w:line="240" w:lineRule="auto"/>
        <w:rPr>
          <w:rFonts w:cs="Arial"/>
          <w:b/>
          <w:bCs/>
          <w:sz w:val="24"/>
          <w:szCs w:val="24"/>
          <w:highlight w:val="yellow"/>
        </w:rPr>
      </w:pPr>
    </w:p>
    <w:p w14:paraId="5ED4DF64" w14:textId="278AF6EA" w:rsidR="00BB0F02" w:rsidRDefault="00BB0F02" w:rsidP="00B205BA">
      <w:pPr>
        <w:spacing w:after="120" w:line="240" w:lineRule="auto"/>
        <w:rPr>
          <w:rFonts w:cs="Arial"/>
          <w:b/>
          <w:bCs/>
          <w:sz w:val="24"/>
          <w:szCs w:val="24"/>
          <w:highlight w:val="yellow"/>
        </w:rPr>
      </w:pPr>
    </w:p>
    <w:p w14:paraId="046677ED" w14:textId="77777777" w:rsidR="00C32544" w:rsidRDefault="00C32544" w:rsidP="00B205BA">
      <w:pPr>
        <w:spacing w:after="120" w:line="240" w:lineRule="auto"/>
        <w:rPr>
          <w:rFonts w:cs="Arial"/>
          <w:b/>
          <w:bCs/>
          <w:sz w:val="24"/>
          <w:szCs w:val="24"/>
          <w:highlight w:val="yellow"/>
        </w:rPr>
      </w:pPr>
    </w:p>
    <w:p w14:paraId="0442440E" w14:textId="77777777" w:rsidR="00C32544" w:rsidRDefault="00C32544" w:rsidP="00B205BA">
      <w:pPr>
        <w:spacing w:after="120" w:line="240" w:lineRule="auto"/>
        <w:rPr>
          <w:rFonts w:cs="Arial"/>
          <w:b/>
          <w:bCs/>
          <w:sz w:val="24"/>
          <w:szCs w:val="24"/>
          <w:highlight w:val="yellow"/>
        </w:rPr>
      </w:pPr>
    </w:p>
    <w:p w14:paraId="24366CC5" w14:textId="77777777" w:rsidR="00C32544" w:rsidRDefault="00C32544" w:rsidP="00B205BA">
      <w:pPr>
        <w:spacing w:after="120" w:line="240" w:lineRule="auto"/>
        <w:rPr>
          <w:rFonts w:cs="Arial"/>
          <w:b/>
          <w:bCs/>
          <w:sz w:val="24"/>
          <w:szCs w:val="24"/>
          <w:highlight w:val="yellow"/>
        </w:rPr>
      </w:pPr>
    </w:p>
    <w:p w14:paraId="67637626" w14:textId="77777777" w:rsidR="0062376D" w:rsidRDefault="0062376D" w:rsidP="00B205BA">
      <w:pPr>
        <w:spacing w:after="120" w:line="240" w:lineRule="auto"/>
        <w:rPr>
          <w:rFonts w:cs="Arial"/>
          <w:b/>
          <w:bCs/>
          <w:sz w:val="24"/>
          <w:szCs w:val="24"/>
          <w:highlight w:val="yellow"/>
        </w:rPr>
      </w:pPr>
    </w:p>
    <w:p w14:paraId="593D93A5" w14:textId="77777777" w:rsidR="0062376D" w:rsidRDefault="0062376D" w:rsidP="00B205BA">
      <w:pPr>
        <w:spacing w:after="120" w:line="240" w:lineRule="auto"/>
        <w:rPr>
          <w:rFonts w:cs="Arial"/>
          <w:b/>
          <w:bCs/>
          <w:sz w:val="24"/>
          <w:szCs w:val="24"/>
          <w:highlight w:val="yellow"/>
        </w:rPr>
      </w:pPr>
    </w:p>
    <w:p w14:paraId="3F1B20FC" w14:textId="77777777" w:rsidR="0062376D" w:rsidRDefault="0062376D" w:rsidP="00B205BA">
      <w:pPr>
        <w:spacing w:after="120" w:line="240" w:lineRule="auto"/>
        <w:rPr>
          <w:rFonts w:cs="Arial"/>
          <w:b/>
          <w:bCs/>
          <w:sz w:val="24"/>
          <w:szCs w:val="24"/>
          <w:highlight w:val="yellow"/>
        </w:rPr>
      </w:pPr>
    </w:p>
    <w:p w14:paraId="6C0B4937" w14:textId="77777777" w:rsidR="00B205BA" w:rsidRDefault="00B205BA" w:rsidP="00B205BA">
      <w:pPr>
        <w:spacing w:after="120" w:line="240" w:lineRule="auto"/>
        <w:rPr>
          <w:rFonts w:cs="Arial"/>
          <w:b/>
          <w:bCs/>
          <w:sz w:val="24"/>
          <w:szCs w:val="24"/>
          <w:highlight w:val="yellow"/>
        </w:rPr>
      </w:pPr>
    </w:p>
    <w:p w14:paraId="6E9135D2" w14:textId="77777777" w:rsidR="00C32544" w:rsidRPr="00D503D0" w:rsidRDefault="00C32544" w:rsidP="00B205BA">
      <w:pPr>
        <w:spacing w:after="120" w:line="240" w:lineRule="auto"/>
        <w:rPr>
          <w:rFonts w:cs="Arial"/>
          <w:b/>
          <w:bCs/>
          <w:sz w:val="24"/>
          <w:szCs w:val="24"/>
          <w:highlight w:val="yellow"/>
        </w:rPr>
      </w:pPr>
    </w:p>
    <w:p w14:paraId="371648FB" w14:textId="6ECB5D90" w:rsidR="00202049" w:rsidRPr="00C32544" w:rsidRDefault="008A271D" w:rsidP="00B205BA">
      <w:pPr>
        <w:pStyle w:val="Ttulo1"/>
        <w:spacing w:after="120" w:line="240" w:lineRule="auto"/>
      </w:pPr>
      <w:hyperlink w:anchor="_Toc341987674" w:history="1">
        <w:bookmarkStart w:id="1" w:name="_Toc187396114"/>
        <w:r w:rsidR="0044071E" w:rsidRPr="00C32544">
          <w:t>DIAGNÓSTICO</w:t>
        </w:r>
      </w:hyperlink>
      <w:r w:rsidR="00583B06" w:rsidRPr="00C32544">
        <w:t xml:space="preserve"> GENERAL DEL MUNICIPIO DE HERMOSILLO</w:t>
      </w:r>
      <w:bookmarkEnd w:id="1"/>
    </w:p>
    <w:p w14:paraId="316AE57A" w14:textId="6F47F887" w:rsidR="00202049" w:rsidRPr="00F43258" w:rsidRDefault="00202049" w:rsidP="00B205BA">
      <w:pPr>
        <w:spacing w:after="120" w:line="240" w:lineRule="auto"/>
        <w:rPr>
          <w:rFonts w:cs="Arial"/>
        </w:rPr>
      </w:pPr>
      <w:r w:rsidRPr="00F43258">
        <w:rPr>
          <w:rFonts w:cs="Arial"/>
        </w:rPr>
        <w:t>Hermosillo, capital del estado de Sonora, combina sus tradiciones con un enfoque innovador y receptivo. Como ciudad capital, impulsa el desarrollo empresarial y turístico, ofreciendo todos los servicios esenciales y destacando por la calidad de su gastronomía.</w:t>
      </w:r>
    </w:p>
    <w:p w14:paraId="6CF2358F" w14:textId="3CD0D072" w:rsidR="00202049" w:rsidRPr="00AE0DCA" w:rsidRDefault="00202049" w:rsidP="00B205BA">
      <w:pPr>
        <w:spacing w:after="120" w:line="240" w:lineRule="auto"/>
        <w:rPr>
          <w:rFonts w:cs="Arial"/>
          <w:b/>
          <w:bCs/>
        </w:rPr>
      </w:pPr>
      <w:r w:rsidRPr="00AE0DCA">
        <w:rPr>
          <w:rFonts w:cs="Arial"/>
          <w:b/>
          <w:bCs/>
        </w:rPr>
        <w:t>Reseña histórica</w:t>
      </w:r>
      <w:r w:rsidR="00AE0DCA">
        <w:rPr>
          <w:rFonts w:cs="Arial"/>
          <w:b/>
          <w:bCs/>
        </w:rPr>
        <w:t>.</w:t>
      </w:r>
    </w:p>
    <w:p w14:paraId="22FDB0A7" w14:textId="77777777" w:rsidR="00202049" w:rsidRPr="00F43258" w:rsidRDefault="00202049" w:rsidP="00B205BA">
      <w:pPr>
        <w:spacing w:after="120" w:line="240" w:lineRule="auto"/>
        <w:rPr>
          <w:rFonts w:cs="Arial"/>
        </w:rPr>
      </w:pPr>
      <w:r w:rsidRPr="00F43258">
        <w:rPr>
          <w:rFonts w:cs="Arial"/>
        </w:rPr>
        <w:t>Los orígenes del municipio de Hermosillo se remontan al año 1700, cuando se fundaron los pueblos de La Santísima Trinidad del Pitic (en pima, "lugar donde se unen dos ríos") y Nuestra Señora del Pópulo, habitados principalmente por indígenas comca’ac, tepocas y pimas bajos.</w:t>
      </w:r>
    </w:p>
    <w:p w14:paraId="796EBA53" w14:textId="77777777" w:rsidR="00202049" w:rsidRPr="00F43258" w:rsidRDefault="00202049" w:rsidP="00B205BA">
      <w:pPr>
        <w:spacing w:after="120" w:line="240" w:lineRule="auto"/>
        <w:rPr>
          <w:rFonts w:cs="Arial"/>
        </w:rPr>
      </w:pPr>
      <w:r w:rsidRPr="00F43258">
        <w:rPr>
          <w:rFonts w:cs="Arial"/>
        </w:rPr>
        <w:t>En 1718, el gobernador Manuel de San Juan y Santa Cruz ordenó repoblar La Santísima Trinidad del Pitic, de donde la gente se había retirado debido a los constantes ataques indígenas, especialmente por parte de los seris que residían en Pópulo.</w:t>
      </w:r>
    </w:p>
    <w:p w14:paraId="27EF032E" w14:textId="77777777" w:rsidR="00202049" w:rsidRPr="00F43258" w:rsidRDefault="00202049" w:rsidP="00B205BA">
      <w:pPr>
        <w:spacing w:after="120" w:line="240" w:lineRule="auto"/>
        <w:rPr>
          <w:rFonts w:cs="Arial"/>
        </w:rPr>
      </w:pPr>
      <w:r w:rsidRPr="00F43258">
        <w:rPr>
          <w:rFonts w:cs="Arial"/>
        </w:rPr>
        <w:t>En 1741, el capitán y gobernador de Sonora y Sinaloa, Agustín de Vildósola, estableció el presidio de San Pedro de la Conquista del Pitic, que posteriormente se renombró como San Miguel de Horcasitas. En 1772, Pedro de Corbalán mandó construir la primera acequia para aprovechar el agua del Río Sonora y así cultivar las tierras.</w:t>
      </w:r>
    </w:p>
    <w:p w14:paraId="1759CD76" w14:textId="77777777" w:rsidR="00202049" w:rsidRPr="00F43258" w:rsidRDefault="00202049" w:rsidP="00B205BA">
      <w:pPr>
        <w:spacing w:after="120" w:line="240" w:lineRule="auto"/>
        <w:rPr>
          <w:rFonts w:cs="Arial"/>
        </w:rPr>
      </w:pPr>
      <w:r w:rsidRPr="00F43258">
        <w:rPr>
          <w:rFonts w:cs="Arial"/>
        </w:rPr>
        <w:t>Siguiendo instrucciones del gobernador Teodoro de Croix, el 29 de agosto de 1783 el presidio de San Pedro de la Conquista del Pitic se convirtió en la Villa del Pitic.</w:t>
      </w:r>
    </w:p>
    <w:p w14:paraId="6B2BE1DC" w14:textId="77777777" w:rsidR="00202049" w:rsidRPr="00F43258" w:rsidRDefault="00202049" w:rsidP="00B205BA">
      <w:pPr>
        <w:spacing w:after="120" w:line="240" w:lineRule="auto"/>
        <w:rPr>
          <w:rFonts w:cs="Arial"/>
        </w:rPr>
      </w:pPr>
      <w:r w:rsidRPr="00F43258">
        <w:rPr>
          <w:rFonts w:cs="Arial"/>
        </w:rPr>
        <w:t>El 9 de febrero de 1825, la Villa del Pitic fue designada como cabecera del departamento de Horcasitas.</w:t>
      </w:r>
    </w:p>
    <w:p w14:paraId="0D84A565" w14:textId="77777777" w:rsidR="00202049" w:rsidRPr="00F43258" w:rsidRDefault="00202049" w:rsidP="00B205BA">
      <w:pPr>
        <w:spacing w:after="120" w:line="240" w:lineRule="auto"/>
        <w:rPr>
          <w:rFonts w:cs="Arial"/>
        </w:rPr>
      </w:pPr>
      <w:r w:rsidRPr="00F43258">
        <w:rPr>
          <w:rFonts w:cs="Arial"/>
        </w:rPr>
        <w:t>El 5 de septiembre de 1828, mediante el decreto 77 de la Legislatura del Estado de Occidente, la Villa del Pitic cambió su nombre a Ciudad de Hermosillo, en honor al general José María González de Hermosillo, quien en 1810 llevó la causa independentista a Sinaloa.</w:t>
      </w:r>
    </w:p>
    <w:p w14:paraId="34C9B988" w14:textId="77777777" w:rsidR="00202049" w:rsidRPr="00F43258" w:rsidRDefault="00202049" w:rsidP="00B205BA">
      <w:pPr>
        <w:spacing w:after="120" w:line="240" w:lineRule="auto"/>
        <w:rPr>
          <w:rFonts w:cs="Arial"/>
        </w:rPr>
      </w:pPr>
      <w:r w:rsidRPr="00F43258">
        <w:rPr>
          <w:rFonts w:cs="Arial"/>
        </w:rPr>
        <w:t>El estado de Sonora fue fundado el 13 de marzo de 1831, y Hermosillo fue su primera capital desde el 14 de mayo de ese año hasta el 25 de mayo de 1832, cuando los poderes se trasladaron a Arizpe. En 1879, Hermosillo recuperó su estatus de capital mediante el decreto 57, durante el mandato interino del gobernador Francisco Serna.</w:t>
      </w:r>
    </w:p>
    <w:p w14:paraId="39DF65D5" w14:textId="77777777" w:rsidR="00202049" w:rsidRPr="00F43258" w:rsidRDefault="00202049" w:rsidP="00B205BA">
      <w:pPr>
        <w:spacing w:after="120" w:line="240" w:lineRule="auto"/>
        <w:rPr>
          <w:rFonts w:cs="Arial"/>
        </w:rPr>
      </w:pPr>
      <w:r w:rsidRPr="00F43258">
        <w:rPr>
          <w:rFonts w:cs="Arial"/>
        </w:rPr>
        <w:t>A finales de 1881, se completó la construcción del ferrocarril, conectando Hermosillo con Guaymas y Nogales, así como con la frontera estadounidense. Esto impulsó el desarrollo económico de la región a través de la minería, el comercio y la agricultura.</w:t>
      </w:r>
    </w:p>
    <w:p w14:paraId="4A526489" w14:textId="77777777" w:rsidR="00202049" w:rsidRPr="00F43258" w:rsidRDefault="00202049" w:rsidP="00B205BA">
      <w:pPr>
        <w:spacing w:after="120" w:line="240" w:lineRule="auto"/>
        <w:rPr>
          <w:rFonts w:cs="Arial"/>
        </w:rPr>
      </w:pPr>
      <w:r w:rsidRPr="00F43258">
        <w:rPr>
          <w:rFonts w:cs="Arial"/>
        </w:rPr>
        <w:t>En 1899, Hermosillo implementó su primer sistema de agua potable, con tuberías, bombas y cañerías, bajo la administración del gobernador Ramón Corral Verdugo.</w:t>
      </w:r>
    </w:p>
    <w:p w14:paraId="55E7B289" w14:textId="77777777" w:rsidR="00202049" w:rsidRPr="00F43258" w:rsidRDefault="00202049" w:rsidP="00B205BA">
      <w:pPr>
        <w:spacing w:after="120" w:line="240" w:lineRule="auto"/>
        <w:rPr>
          <w:rFonts w:cs="Arial"/>
        </w:rPr>
      </w:pPr>
      <w:r w:rsidRPr="00F43258">
        <w:rPr>
          <w:rFonts w:cs="Arial"/>
        </w:rPr>
        <w:t>A principios de 1900, el transporte público comenzó a operar con los "Tranvías de Hermosillo", regulados por el Reglamento de Ferrocarriles Urbanos emitido el 28 de noviembre de 1899.</w:t>
      </w:r>
    </w:p>
    <w:p w14:paraId="34B918A6" w14:textId="77777777" w:rsidR="00202049" w:rsidRPr="00F43258" w:rsidRDefault="00202049" w:rsidP="00B205BA">
      <w:pPr>
        <w:spacing w:after="120" w:line="240" w:lineRule="auto"/>
        <w:rPr>
          <w:rFonts w:cs="Arial"/>
        </w:rPr>
      </w:pPr>
      <w:r w:rsidRPr="00F43258">
        <w:rPr>
          <w:rFonts w:cs="Arial"/>
        </w:rPr>
        <w:t>Durante más de cinco meses en 1913, Hermosillo fue la capital de la Revolución Mexicana, ya que Venustiano Carranza instaló allí su gabinete de guerra, trasladándolo luego a la Ciudad de México.</w:t>
      </w:r>
    </w:p>
    <w:p w14:paraId="3BF35AD7" w14:textId="4CB674BB" w:rsidR="00202049" w:rsidRDefault="00202049" w:rsidP="00B205BA">
      <w:pPr>
        <w:spacing w:after="120" w:line="240" w:lineRule="auto"/>
        <w:rPr>
          <w:rFonts w:cs="Arial"/>
        </w:rPr>
      </w:pPr>
      <w:r w:rsidRPr="00F43258">
        <w:rPr>
          <w:rFonts w:cs="Arial"/>
        </w:rPr>
        <w:t>Finalmente, el 15 de septiembre de 1917, la Constitución Política del Estado de Sonora confirmó a Hermosillo como la capital oficial del estado, como se estipula en el artículo 28 de dicha Constitución.</w:t>
      </w:r>
    </w:p>
    <w:p w14:paraId="0EA90D5E" w14:textId="77777777" w:rsidR="00F760B0" w:rsidRPr="00F43258" w:rsidRDefault="00F760B0" w:rsidP="00B205BA">
      <w:pPr>
        <w:spacing w:after="120" w:line="240" w:lineRule="auto"/>
        <w:rPr>
          <w:rFonts w:cs="Arial"/>
        </w:rPr>
      </w:pPr>
    </w:p>
    <w:p w14:paraId="01F0CF56" w14:textId="015BE0EF" w:rsidR="00202049" w:rsidRPr="00AE0DCA" w:rsidRDefault="00202049" w:rsidP="00B205BA">
      <w:pPr>
        <w:spacing w:after="120" w:line="240" w:lineRule="auto"/>
        <w:rPr>
          <w:rFonts w:cs="Arial"/>
          <w:b/>
          <w:bCs/>
        </w:rPr>
      </w:pPr>
      <w:r w:rsidRPr="00AE0DCA">
        <w:rPr>
          <w:rFonts w:cs="Arial"/>
          <w:b/>
          <w:bCs/>
        </w:rPr>
        <w:lastRenderedPageBreak/>
        <w:t>Escudo</w:t>
      </w:r>
      <w:r w:rsidR="00AE0DCA">
        <w:rPr>
          <w:rFonts w:cs="Arial"/>
          <w:b/>
          <w:bCs/>
        </w:rPr>
        <w:t>.</w:t>
      </w:r>
    </w:p>
    <w:p w14:paraId="0E4ED8EF" w14:textId="77777777" w:rsidR="00202049" w:rsidRPr="00F43258" w:rsidRDefault="00202049" w:rsidP="00B205BA">
      <w:pPr>
        <w:spacing w:after="120" w:line="240" w:lineRule="auto"/>
        <w:rPr>
          <w:rFonts w:cs="Arial"/>
        </w:rPr>
      </w:pPr>
      <w:r w:rsidRPr="00F43258">
        <w:rPr>
          <w:rFonts w:cs="Arial"/>
        </w:rPr>
        <w:t>El escudo oficial de Hermosillo fue diseñado en 1961 por el arquitecto Felipe N. Ortega y el Dr. José Jiménez Cervantes. Este símbolo representa la identidad de los habitantes de Hermosillo, proyectando aspectos clave de su pasado y presente hacia el futuro. En la parte superior, se muestra la confluencia de los ríos San Miguel y Sonora, cuyas aguas desembocan en la presa Abelardo L. Rodríguez. Esta unión de ríos dio origen al nombre original de la ciudad, Pitic, que en la lengua pima significa "junta de dos ríos".</w:t>
      </w:r>
    </w:p>
    <w:p w14:paraId="01E4EF45" w14:textId="77777777" w:rsidR="00202049" w:rsidRPr="00F43258" w:rsidRDefault="00202049" w:rsidP="00B205BA">
      <w:pPr>
        <w:spacing w:after="120" w:line="240" w:lineRule="auto"/>
        <w:rPr>
          <w:rFonts w:cs="Arial"/>
        </w:rPr>
      </w:pPr>
      <w:r w:rsidRPr="00F43258">
        <w:rPr>
          <w:rFonts w:cs="Arial"/>
        </w:rPr>
        <w:t>En la sección media superior, se ilustra el Palacio de Gobierno, con el cerro de la Campana al fondo, y las iniciales "J. G." en la parte superior, en honor a Jesús García, el héroe de Nacozari, nacido en Hermosillo. A la derecha se representa la Catedral, y a la izquierda, el Museo y Biblioteca de la Universidad de Sonora, simbolizando la religión, el poder civil y la cultura.</w:t>
      </w:r>
    </w:p>
    <w:p w14:paraId="46BBD526" w14:textId="77777777" w:rsidR="00202049" w:rsidRPr="00F43258" w:rsidRDefault="00202049" w:rsidP="00B205BA">
      <w:pPr>
        <w:spacing w:after="120" w:line="240" w:lineRule="auto"/>
        <w:rPr>
          <w:rFonts w:cs="Arial"/>
        </w:rPr>
      </w:pPr>
      <w:r w:rsidRPr="00F43258">
        <w:rPr>
          <w:rFonts w:cs="Arial"/>
        </w:rPr>
        <w:t>En la parte inferior, a la derecha, se muestran siete espigas de trigo, simbolizando la agricultura, y a la izquierda, siete naranjas, haciendo referencia al apodo de Hermosillo como la "Ciudad de los Naranjos", gracias a sus condiciones ideales para el cultivo de este cítrico.</w:t>
      </w:r>
    </w:p>
    <w:p w14:paraId="4CC9DD49" w14:textId="1E501093" w:rsidR="00202049" w:rsidRPr="00F43258" w:rsidRDefault="00202049" w:rsidP="00B205BA">
      <w:pPr>
        <w:spacing w:after="120" w:line="240" w:lineRule="auto"/>
        <w:rPr>
          <w:rFonts w:cs="Arial"/>
        </w:rPr>
      </w:pPr>
      <w:r w:rsidRPr="00F43258">
        <w:rPr>
          <w:rFonts w:cs="Arial"/>
          <w:b/>
          <w:noProof/>
        </w:rPr>
        <w:drawing>
          <wp:anchor distT="0" distB="0" distL="114300" distR="114300" simplePos="0" relativeHeight="251687936" behindDoc="1" locked="0" layoutInCell="1" allowOverlap="1" wp14:anchorId="40BDAA43" wp14:editId="4739A68E">
            <wp:simplePos x="0" y="0"/>
            <wp:positionH relativeFrom="column">
              <wp:posOffset>-5715</wp:posOffset>
            </wp:positionH>
            <wp:positionV relativeFrom="paragraph">
              <wp:posOffset>469900</wp:posOffset>
            </wp:positionV>
            <wp:extent cx="2946400" cy="3192145"/>
            <wp:effectExtent l="0" t="0" r="6350" b="8255"/>
            <wp:wrapTopAndBottom/>
            <wp:docPr id="465228920" name="Imagen 46522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400" cy="3192145"/>
                    </a:xfrm>
                    <a:prstGeom prst="rect">
                      <a:avLst/>
                    </a:prstGeom>
                    <a:noFill/>
                  </pic:spPr>
                </pic:pic>
              </a:graphicData>
            </a:graphic>
            <wp14:sizeRelH relativeFrom="margin">
              <wp14:pctWidth>0</wp14:pctWidth>
            </wp14:sizeRelH>
            <wp14:sizeRelV relativeFrom="margin">
              <wp14:pctHeight>0</wp14:pctHeight>
            </wp14:sizeRelV>
          </wp:anchor>
        </w:drawing>
      </w:r>
      <w:r w:rsidRPr="00F43258">
        <w:rPr>
          <w:rFonts w:cs="Arial"/>
        </w:rPr>
        <w:t>El escudo fue adoptado oficialmente en diciembre de 1961 y desde entonces adorna la fachada principal del Ayuntamiento de Hermosillo.</w:t>
      </w:r>
    </w:p>
    <w:p w14:paraId="773B0B6A" w14:textId="78FF8E8B" w:rsidR="00202049" w:rsidRPr="00261A27" w:rsidRDefault="00202049" w:rsidP="00B205BA">
      <w:pPr>
        <w:spacing w:after="120" w:line="240" w:lineRule="auto"/>
        <w:rPr>
          <w:rFonts w:cs="Arial"/>
          <w:b/>
          <w:bCs/>
        </w:rPr>
      </w:pPr>
      <w:r w:rsidRPr="00261A27">
        <w:rPr>
          <w:rFonts w:cs="Arial"/>
          <w:b/>
          <w:bCs/>
        </w:rPr>
        <w:t>Estructura política</w:t>
      </w:r>
      <w:r w:rsidR="00261A27">
        <w:rPr>
          <w:rFonts w:cs="Arial"/>
          <w:b/>
          <w:bCs/>
        </w:rPr>
        <w:t>.</w:t>
      </w:r>
    </w:p>
    <w:p w14:paraId="45F8E896" w14:textId="77777777" w:rsidR="00261A27" w:rsidRPr="00C15D49" w:rsidRDefault="00261A27" w:rsidP="00B205BA">
      <w:pPr>
        <w:spacing w:after="120" w:line="240" w:lineRule="auto"/>
        <w:rPr>
          <w:rFonts w:cs="Arial"/>
        </w:rPr>
      </w:pPr>
    </w:p>
    <w:p w14:paraId="2F31CFCE" w14:textId="77777777" w:rsidR="00202049" w:rsidRDefault="00202049" w:rsidP="00B205BA">
      <w:pPr>
        <w:spacing w:after="120" w:line="240" w:lineRule="auto"/>
        <w:rPr>
          <w:rFonts w:cs="Arial"/>
        </w:rPr>
      </w:pPr>
      <w:r w:rsidRPr="00F43258">
        <w:rPr>
          <w:rFonts w:cs="Arial"/>
        </w:rPr>
        <w:t>Según la Constitución Política del Estado Libre y Soberano de Sonora y la Ley de Gobierno y Administración Municipal, el gobierno del municipio de Hermosillo está a cargo del Honorable Ayuntamiento, que es elegido por votación popular. Este está compuesto por el Presidente Municipal, un Síndico, y un Cabildo integrado por 21 regidores: 12 electos por mayoría relativa, ocho por representación proporcional, y un regidor étnico que representa a la comunidad comca’ac.</w:t>
      </w:r>
    </w:p>
    <w:p w14:paraId="24FDD3B3" w14:textId="77777777" w:rsidR="00202049" w:rsidRPr="00C15D49" w:rsidRDefault="00202049" w:rsidP="00B205BA">
      <w:pPr>
        <w:spacing w:after="120" w:line="240" w:lineRule="auto"/>
        <w:rPr>
          <w:rFonts w:cs="Arial"/>
        </w:rPr>
      </w:pPr>
    </w:p>
    <w:p w14:paraId="38AF46E8" w14:textId="5C88CBC4" w:rsidR="00202049" w:rsidRDefault="00202049" w:rsidP="00B205BA">
      <w:pPr>
        <w:spacing w:after="120" w:line="240" w:lineRule="auto"/>
        <w:rPr>
          <w:rFonts w:cs="Arial"/>
          <w:b/>
          <w:bCs/>
        </w:rPr>
      </w:pPr>
      <w:r w:rsidRPr="00261A27">
        <w:rPr>
          <w:rFonts w:cs="Arial"/>
          <w:b/>
          <w:bCs/>
        </w:rPr>
        <w:t>Representación legislativa</w:t>
      </w:r>
      <w:r w:rsidR="00261A27">
        <w:rPr>
          <w:rFonts w:cs="Arial"/>
          <w:b/>
          <w:bCs/>
        </w:rPr>
        <w:t>.</w:t>
      </w:r>
    </w:p>
    <w:p w14:paraId="373FF3B2" w14:textId="77777777" w:rsidR="00202049" w:rsidRPr="00F43258" w:rsidRDefault="00202049" w:rsidP="00B205BA">
      <w:pPr>
        <w:spacing w:after="120" w:line="240" w:lineRule="auto"/>
        <w:rPr>
          <w:rFonts w:cs="Arial"/>
        </w:rPr>
      </w:pPr>
      <w:r w:rsidRPr="00F43258">
        <w:rPr>
          <w:rFonts w:cs="Arial"/>
        </w:rPr>
        <w:t xml:space="preserve">Los distritos electorales para la elección de diputados de mayoría relativa con cabecera en el Municipio de Hermosillo son los siguientes: </w:t>
      </w:r>
    </w:p>
    <w:p w14:paraId="2B74BD18" w14:textId="77777777" w:rsidR="00202049" w:rsidRPr="00F43258" w:rsidRDefault="00202049" w:rsidP="00B205BA">
      <w:pPr>
        <w:spacing w:after="120" w:line="240" w:lineRule="auto"/>
        <w:rPr>
          <w:rFonts w:cs="Arial"/>
        </w:rPr>
      </w:pPr>
      <w:r w:rsidRPr="00F43258">
        <w:rPr>
          <w:rFonts w:cs="Arial"/>
        </w:rPr>
        <w:t xml:space="preserve">Para integrar el Congreso del Estado de Sonora: </w:t>
      </w:r>
    </w:p>
    <w:p w14:paraId="38871BDC" w14:textId="77777777" w:rsidR="00202049" w:rsidRPr="00F43258" w:rsidRDefault="00202049" w:rsidP="00B205BA">
      <w:pPr>
        <w:spacing w:after="120" w:line="240" w:lineRule="auto"/>
        <w:rPr>
          <w:rFonts w:cs="Arial"/>
        </w:rPr>
      </w:pPr>
      <w:r w:rsidRPr="00F43258">
        <w:rPr>
          <w:rFonts w:cs="Arial"/>
        </w:rPr>
        <w:t>•</w:t>
      </w:r>
      <w:r w:rsidRPr="00F43258">
        <w:rPr>
          <w:rFonts w:cs="Arial"/>
        </w:rPr>
        <w:tab/>
        <w:t>Distrito VIII</w:t>
      </w:r>
      <w:r w:rsidRPr="00F43258">
        <w:rPr>
          <w:rFonts w:cs="Arial"/>
        </w:rPr>
        <w:tab/>
        <w:t xml:space="preserve">Hermosillo Noroeste </w:t>
      </w:r>
    </w:p>
    <w:p w14:paraId="32448E1B" w14:textId="77777777" w:rsidR="00202049" w:rsidRPr="00F43258" w:rsidRDefault="00202049" w:rsidP="00B205BA">
      <w:pPr>
        <w:spacing w:after="120" w:line="240" w:lineRule="auto"/>
        <w:rPr>
          <w:rFonts w:cs="Arial"/>
        </w:rPr>
      </w:pPr>
      <w:r w:rsidRPr="00F43258">
        <w:rPr>
          <w:rFonts w:cs="Arial"/>
        </w:rPr>
        <w:t>•</w:t>
      </w:r>
      <w:r w:rsidRPr="00F43258">
        <w:rPr>
          <w:rFonts w:cs="Arial"/>
        </w:rPr>
        <w:tab/>
        <w:t>Distrito IX</w:t>
      </w:r>
      <w:r w:rsidRPr="00F43258">
        <w:rPr>
          <w:rFonts w:cs="Arial"/>
        </w:rPr>
        <w:tab/>
        <w:t xml:space="preserve">Hermosillo Centro </w:t>
      </w:r>
    </w:p>
    <w:p w14:paraId="0B0C6AB8" w14:textId="77777777" w:rsidR="00202049" w:rsidRPr="00F43258" w:rsidRDefault="00202049" w:rsidP="00B205BA">
      <w:pPr>
        <w:spacing w:after="120" w:line="240" w:lineRule="auto"/>
        <w:rPr>
          <w:rFonts w:cs="Arial"/>
        </w:rPr>
      </w:pPr>
      <w:r w:rsidRPr="00F43258">
        <w:rPr>
          <w:rFonts w:cs="Arial"/>
        </w:rPr>
        <w:t>•</w:t>
      </w:r>
      <w:r w:rsidRPr="00F43258">
        <w:rPr>
          <w:rFonts w:cs="Arial"/>
        </w:rPr>
        <w:tab/>
        <w:t>Distrito X</w:t>
      </w:r>
      <w:r w:rsidRPr="00F43258">
        <w:rPr>
          <w:rFonts w:cs="Arial"/>
        </w:rPr>
        <w:tab/>
        <w:t>Hermosillo Noreste</w:t>
      </w:r>
    </w:p>
    <w:p w14:paraId="7666BE34" w14:textId="77777777" w:rsidR="00202049" w:rsidRPr="00F43258" w:rsidRDefault="00202049" w:rsidP="00B205BA">
      <w:pPr>
        <w:spacing w:after="120" w:line="240" w:lineRule="auto"/>
        <w:rPr>
          <w:rFonts w:cs="Arial"/>
        </w:rPr>
      </w:pPr>
      <w:r w:rsidRPr="00F43258">
        <w:rPr>
          <w:rFonts w:cs="Arial"/>
        </w:rPr>
        <w:t>•</w:t>
      </w:r>
      <w:r w:rsidRPr="00F43258">
        <w:rPr>
          <w:rFonts w:cs="Arial"/>
        </w:rPr>
        <w:tab/>
        <w:t>Distrito XI</w:t>
      </w:r>
      <w:r w:rsidRPr="00F43258">
        <w:rPr>
          <w:rFonts w:cs="Arial"/>
        </w:rPr>
        <w:tab/>
        <w:t>Hermosillo Costa</w:t>
      </w:r>
    </w:p>
    <w:p w14:paraId="5E9BB4EB" w14:textId="77777777" w:rsidR="00202049" w:rsidRPr="00F43258" w:rsidRDefault="00202049" w:rsidP="00B205BA">
      <w:pPr>
        <w:spacing w:after="120" w:line="240" w:lineRule="auto"/>
        <w:rPr>
          <w:rFonts w:cs="Arial"/>
        </w:rPr>
      </w:pPr>
      <w:r w:rsidRPr="00F43258">
        <w:rPr>
          <w:rFonts w:cs="Arial"/>
        </w:rPr>
        <w:t>•</w:t>
      </w:r>
      <w:r w:rsidRPr="00F43258">
        <w:rPr>
          <w:rFonts w:cs="Arial"/>
        </w:rPr>
        <w:tab/>
        <w:t>Distrito XII</w:t>
      </w:r>
      <w:r w:rsidRPr="00F43258">
        <w:rPr>
          <w:rFonts w:cs="Arial"/>
        </w:rPr>
        <w:tab/>
        <w:t>Hermosillo Sur</w:t>
      </w:r>
    </w:p>
    <w:p w14:paraId="16788818" w14:textId="77777777" w:rsidR="00202049" w:rsidRPr="00F43258" w:rsidRDefault="00202049" w:rsidP="00B205BA">
      <w:pPr>
        <w:spacing w:after="120" w:line="240" w:lineRule="auto"/>
        <w:rPr>
          <w:rFonts w:cs="Arial"/>
        </w:rPr>
      </w:pPr>
      <w:r w:rsidRPr="00F43258">
        <w:rPr>
          <w:rFonts w:cs="Arial"/>
        </w:rPr>
        <w:t>Para integrar la Cámara de Diputados del Congreso Federal:</w:t>
      </w:r>
    </w:p>
    <w:p w14:paraId="2909C9B3" w14:textId="77777777" w:rsidR="00202049" w:rsidRPr="00F43258" w:rsidRDefault="00202049" w:rsidP="00B205BA">
      <w:pPr>
        <w:spacing w:after="120" w:line="240" w:lineRule="auto"/>
        <w:rPr>
          <w:rFonts w:cs="Arial"/>
        </w:rPr>
      </w:pPr>
      <w:r w:rsidRPr="00F43258">
        <w:rPr>
          <w:rFonts w:cs="Arial"/>
        </w:rPr>
        <w:t>•</w:t>
      </w:r>
      <w:r w:rsidRPr="00F43258">
        <w:rPr>
          <w:rFonts w:cs="Arial"/>
        </w:rPr>
        <w:tab/>
        <w:t>Distrito III Electoral Federal de Sonora</w:t>
      </w:r>
    </w:p>
    <w:p w14:paraId="778BAEB7" w14:textId="77777777" w:rsidR="00202049" w:rsidRPr="00F43258" w:rsidRDefault="00202049" w:rsidP="00B205BA">
      <w:pPr>
        <w:spacing w:after="120" w:line="240" w:lineRule="auto"/>
        <w:rPr>
          <w:rFonts w:cs="Arial"/>
        </w:rPr>
      </w:pPr>
      <w:r w:rsidRPr="00F43258">
        <w:rPr>
          <w:rFonts w:cs="Arial"/>
        </w:rPr>
        <w:t>•</w:t>
      </w:r>
      <w:r w:rsidRPr="00F43258">
        <w:rPr>
          <w:rFonts w:cs="Arial"/>
        </w:rPr>
        <w:tab/>
        <w:t>Distrito V Electoral Federal de Sonora</w:t>
      </w:r>
    </w:p>
    <w:p w14:paraId="44BAA8C1" w14:textId="77777777" w:rsidR="00202049" w:rsidRPr="00F43258" w:rsidRDefault="00202049" w:rsidP="00B205BA">
      <w:pPr>
        <w:spacing w:after="120" w:line="240" w:lineRule="auto"/>
        <w:rPr>
          <w:rFonts w:eastAsia="Calibri" w:cs="Arial"/>
          <w:b/>
        </w:rPr>
      </w:pPr>
    </w:p>
    <w:p w14:paraId="66B87288" w14:textId="37AFCB9E" w:rsidR="00261A27" w:rsidRPr="00B205BA" w:rsidRDefault="00202049" w:rsidP="00B205BA">
      <w:pPr>
        <w:spacing w:after="120" w:line="240" w:lineRule="auto"/>
        <w:rPr>
          <w:rFonts w:eastAsia="Calibri" w:cs="Arial"/>
          <w:b/>
        </w:rPr>
      </w:pPr>
      <w:r w:rsidRPr="00261A27">
        <w:rPr>
          <w:rFonts w:eastAsia="Calibri" w:cs="Arial"/>
          <w:b/>
        </w:rPr>
        <w:t>Características sociodemográficas del Municipio</w:t>
      </w:r>
      <w:r w:rsidR="00261A27">
        <w:rPr>
          <w:rFonts w:eastAsia="Calibri" w:cs="Arial"/>
          <w:b/>
        </w:rPr>
        <w:t>.</w:t>
      </w:r>
      <w:r w:rsidRPr="00261A27">
        <w:rPr>
          <w:rFonts w:eastAsia="Calibri" w:cs="Arial"/>
          <w:b/>
        </w:rPr>
        <w:t xml:space="preserve"> </w:t>
      </w:r>
    </w:p>
    <w:p w14:paraId="7983610E" w14:textId="0804B566" w:rsidR="00516DB0" w:rsidRPr="00F43258" w:rsidRDefault="00202049" w:rsidP="00B205BA">
      <w:pPr>
        <w:spacing w:after="120" w:line="240" w:lineRule="auto"/>
        <w:rPr>
          <w:rFonts w:cs="Arial"/>
        </w:rPr>
      </w:pPr>
      <w:r w:rsidRPr="00F43258">
        <w:rPr>
          <w:rFonts w:cs="Arial"/>
        </w:rPr>
        <w:t>De acuerdo con el Censo de Población y Vivienda 2020 realizado por el INEGI, Hermosillo tenía una población de 936,263 habitantes en ese año. Esto representa un crecimiento del 19.3% en comparación con 2010, cuando contaba con 784,342 habitantes, lo que implica una tasa de crecimiento anual del 1.8%. Hermosillo alberga el 31.8% de la población total de Sonora, que es de 2,944,840 personas. La edad promedio de los habitantes del municipio es de 30 años, lo que coincide con el promedio estatal.</w:t>
      </w:r>
    </w:p>
    <w:p w14:paraId="524D8171" w14:textId="0073486F" w:rsidR="00202049" w:rsidRPr="00F43258" w:rsidRDefault="0062376D" w:rsidP="00B205BA">
      <w:pPr>
        <w:spacing w:after="120" w:line="240" w:lineRule="auto"/>
        <w:rPr>
          <w:rFonts w:cs="Arial"/>
          <w:b/>
          <w:bCs/>
        </w:rPr>
      </w:pPr>
      <w:r w:rsidRPr="00F43258">
        <w:rPr>
          <w:rFonts w:cs="Arial"/>
          <w:b/>
          <w:bCs/>
        </w:rPr>
        <w:t>TABLA 1. POBLACIÓN DEL MUNICIPIO DE HERMOSILLO SEGÚN LAS PRINCIPALES LOCALIDADES</w:t>
      </w:r>
      <w:r>
        <w:rPr>
          <w:rFonts w:cs="Arial"/>
          <w:b/>
          <w:bCs/>
        </w:rPr>
        <w:t>.</w:t>
      </w:r>
    </w:p>
    <w:tbl>
      <w:tblPr>
        <w:tblW w:w="8685" w:type="dxa"/>
        <w:tblCellMar>
          <w:left w:w="70" w:type="dxa"/>
          <w:right w:w="70" w:type="dxa"/>
        </w:tblCellMar>
        <w:tblLook w:val="04A0" w:firstRow="1" w:lastRow="0" w:firstColumn="1" w:lastColumn="0" w:noHBand="0" w:noVBand="1"/>
      </w:tblPr>
      <w:tblGrid>
        <w:gridCol w:w="1980"/>
        <w:gridCol w:w="3860"/>
        <w:gridCol w:w="1580"/>
        <w:gridCol w:w="1265"/>
      </w:tblGrid>
      <w:tr w:rsidR="00202049" w:rsidRPr="00F43258" w14:paraId="195FCA5A" w14:textId="77777777" w:rsidTr="000635AB">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3DAE2B"/>
            <w:vAlign w:val="center"/>
          </w:tcPr>
          <w:p w14:paraId="026BAD76" w14:textId="77777777" w:rsidR="00202049" w:rsidRPr="00F43258" w:rsidRDefault="00202049" w:rsidP="00B205BA">
            <w:pPr>
              <w:spacing w:after="120" w:line="240" w:lineRule="auto"/>
              <w:rPr>
                <w:rFonts w:eastAsia="Times New Roman" w:cs="Arial"/>
                <w:b/>
                <w:bCs/>
                <w:color w:val="FFFFFF"/>
                <w:lang w:eastAsia="es-MX"/>
              </w:rPr>
            </w:pPr>
            <w:r w:rsidRPr="00F43258">
              <w:rPr>
                <w:rFonts w:eastAsia="Times New Roman" w:cs="Arial"/>
                <w:b/>
                <w:bCs/>
                <w:color w:val="FFFFFF"/>
                <w:lang w:eastAsia="es-MX"/>
              </w:rPr>
              <w:t>Código</w:t>
            </w:r>
          </w:p>
        </w:tc>
        <w:tc>
          <w:tcPr>
            <w:tcW w:w="3860" w:type="dxa"/>
            <w:tcBorders>
              <w:top w:val="single" w:sz="4" w:space="0" w:color="auto"/>
              <w:left w:val="single" w:sz="4" w:space="0" w:color="auto"/>
              <w:bottom w:val="single" w:sz="4" w:space="0" w:color="auto"/>
              <w:right w:val="single" w:sz="4" w:space="0" w:color="auto"/>
            </w:tcBorders>
            <w:shd w:val="clear" w:color="000000" w:fill="3DAE2B"/>
            <w:noWrap/>
            <w:vAlign w:val="center"/>
            <w:hideMark/>
          </w:tcPr>
          <w:p w14:paraId="77EA406F" w14:textId="77777777" w:rsidR="00202049" w:rsidRPr="00F43258" w:rsidRDefault="00202049" w:rsidP="00B205BA">
            <w:pPr>
              <w:spacing w:after="120" w:line="240" w:lineRule="auto"/>
              <w:rPr>
                <w:rFonts w:eastAsia="Times New Roman" w:cs="Arial"/>
                <w:b/>
                <w:bCs/>
                <w:color w:val="FFFFFF"/>
                <w:lang w:eastAsia="es-MX"/>
              </w:rPr>
            </w:pPr>
            <w:r w:rsidRPr="00F43258">
              <w:rPr>
                <w:rFonts w:eastAsia="Times New Roman" w:cs="Arial"/>
                <w:b/>
                <w:bCs/>
                <w:color w:val="FFFFFF"/>
                <w:lang w:eastAsia="es-MX"/>
              </w:rPr>
              <w:t>Localidad</w:t>
            </w:r>
          </w:p>
        </w:tc>
        <w:tc>
          <w:tcPr>
            <w:tcW w:w="1580" w:type="dxa"/>
            <w:tcBorders>
              <w:top w:val="single" w:sz="4" w:space="0" w:color="auto"/>
              <w:left w:val="nil"/>
              <w:bottom w:val="single" w:sz="4" w:space="0" w:color="auto"/>
              <w:right w:val="single" w:sz="4" w:space="0" w:color="auto"/>
            </w:tcBorders>
            <w:shd w:val="clear" w:color="000000" w:fill="3DAE2B"/>
            <w:noWrap/>
            <w:vAlign w:val="center"/>
            <w:hideMark/>
          </w:tcPr>
          <w:p w14:paraId="70B6E7D9" w14:textId="77777777" w:rsidR="00202049" w:rsidRPr="00F43258" w:rsidRDefault="00202049" w:rsidP="00B205BA">
            <w:pPr>
              <w:spacing w:after="120" w:line="240" w:lineRule="auto"/>
              <w:rPr>
                <w:rFonts w:eastAsia="Times New Roman" w:cs="Arial"/>
                <w:b/>
                <w:bCs/>
                <w:color w:val="FFFFFF"/>
                <w:lang w:eastAsia="es-MX"/>
              </w:rPr>
            </w:pPr>
            <w:r w:rsidRPr="00F43258">
              <w:rPr>
                <w:rFonts w:eastAsia="Times New Roman" w:cs="Arial"/>
                <w:b/>
                <w:bCs/>
                <w:color w:val="FFFFFF"/>
                <w:lang w:eastAsia="es-MX"/>
              </w:rPr>
              <w:t>Población total</w:t>
            </w:r>
          </w:p>
        </w:tc>
        <w:tc>
          <w:tcPr>
            <w:tcW w:w="1265" w:type="dxa"/>
            <w:tcBorders>
              <w:top w:val="single" w:sz="4" w:space="0" w:color="auto"/>
              <w:left w:val="nil"/>
              <w:bottom w:val="single" w:sz="4" w:space="0" w:color="auto"/>
              <w:right w:val="single" w:sz="4" w:space="0" w:color="auto"/>
            </w:tcBorders>
            <w:shd w:val="clear" w:color="000000" w:fill="3DAE2B"/>
            <w:noWrap/>
            <w:vAlign w:val="center"/>
            <w:hideMark/>
          </w:tcPr>
          <w:p w14:paraId="33E9549D" w14:textId="77777777" w:rsidR="00202049" w:rsidRPr="00F43258" w:rsidRDefault="00202049" w:rsidP="00B205BA">
            <w:pPr>
              <w:spacing w:after="120" w:line="240" w:lineRule="auto"/>
              <w:rPr>
                <w:rFonts w:eastAsia="Times New Roman" w:cs="Arial"/>
                <w:b/>
                <w:bCs/>
                <w:color w:val="FFFFFF"/>
                <w:lang w:eastAsia="es-MX"/>
              </w:rPr>
            </w:pPr>
            <w:r w:rsidRPr="00F43258">
              <w:rPr>
                <w:rFonts w:eastAsia="Times New Roman" w:cs="Arial"/>
                <w:b/>
                <w:bCs/>
                <w:color w:val="FFFFFF"/>
                <w:lang w:eastAsia="es-MX"/>
              </w:rPr>
              <w:t>Porcentaje</w:t>
            </w:r>
          </w:p>
        </w:tc>
      </w:tr>
      <w:tr w:rsidR="00202049" w:rsidRPr="00F43258" w14:paraId="1A0ED381" w14:textId="77777777" w:rsidTr="000635AB">
        <w:trPr>
          <w:trHeight w:val="288"/>
        </w:trPr>
        <w:tc>
          <w:tcPr>
            <w:tcW w:w="1980" w:type="dxa"/>
            <w:tcBorders>
              <w:top w:val="nil"/>
              <w:left w:val="single" w:sz="4" w:space="0" w:color="auto"/>
              <w:bottom w:val="single" w:sz="4" w:space="0" w:color="auto"/>
              <w:right w:val="single" w:sz="4" w:space="0" w:color="auto"/>
            </w:tcBorders>
            <w:vAlign w:val="center"/>
          </w:tcPr>
          <w:p w14:paraId="0AE2A4D5" w14:textId="77777777" w:rsidR="00202049" w:rsidRPr="00F43258" w:rsidRDefault="00202049" w:rsidP="00B205BA">
            <w:pPr>
              <w:spacing w:after="120" w:line="240" w:lineRule="auto"/>
              <w:rPr>
                <w:rFonts w:eastAsia="Times New Roman" w:cs="Arial"/>
                <w:b/>
                <w:bCs/>
                <w:color w:val="000000"/>
                <w:lang w:eastAsia="es-MX"/>
              </w:rPr>
            </w:pPr>
            <w:r w:rsidRPr="00F43258">
              <w:rPr>
                <w:rFonts w:eastAsia="Times New Roman" w:cs="Arial"/>
                <w:b/>
                <w:bCs/>
                <w:color w:val="000000"/>
                <w:lang w:eastAsia="es-MX"/>
              </w:rPr>
              <w:t>030</w:t>
            </w:r>
          </w:p>
        </w:tc>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33DA3375" w14:textId="77777777" w:rsidR="00202049" w:rsidRPr="00F43258" w:rsidRDefault="00202049" w:rsidP="00B205BA">
            <w:pPr>
              <w:spacing w:after="120" w:line="240" w:lineRule="auto"/>
              <w:rPr>
                <w:rFonts w:eastAsia="Times New Roman" w:cs="Arial"/>
                <w:b/>
                <w:bCs/>
                <w:color w:val="000000"/>
                <w:lang w:eastAsia="es-MX"/>
              </w:rPr>
            </w:pPr>
            <w:r w:rsidRPr="00F43258">
              <w:rPr>
                <w:rFonts w:eastAsia="Times New Roman" w:cs="Arial"/>
                <w:b/>
                <w:bCs/>
                <w:color w:val="000000"/>
                <w:lang w:eastAsia="es-MX"/>
              </w:rPr>
              <w:t>Total del Municipio</w:t>
            </w:r>
          </w:p>
        </w:tc>
        <w:tc>
          <w:tcPr>
            <w:tcW w:w="1580" w:type="dxa"/>
            <w:tcBorders>
              <w:top w:val="nil"/>
              <w:left w:val="nil"/>
              <w:bottom w:val="single" w:sz="4" w:space="0" w:color="auto"/>
              <w:right w:val="single" w:sz="4" w:space="0" w:color="auto"/>
            </w:tcBorders>
            <w:shd w:val="clear" w:color="auto" w:fill="auto"/>
            <w:noWrap/>
            <w:vAlign w:val="center"/>
            <w:hideMark/>
          </w:tcPr>
          <w:p w14:paraId="54F4CC32" w14:textId="77777777" w:rsidR="00202049" w:rsidRPr="00F43258" w:rsidRDefault="00202049" w:rsidP="00B205BA">
            <w:pPr>
              <w:spacing w:after="120" w:line="240" w:lineRule="auto"/>
              <w:rPr>
                <w:rFonts w:eastAsia="Times New Roman" w:cs="Arial"/>
                <w:b/>
                <w:bCs/>
                <w:color w:val="000000"/>
                <w:lang w:eastAsia="es-MX"/>
              </w:rPr>
            </w:pPr>
            <w:r w:rsidRPr="00F43258">
              <w:rPr>
                <w:rFonts w:eastAsia="Times New Roman" w:cs="Arial"/>
                <w:b/>
                <w:bCs/>
                <w:color w:val="000000"/>
                <w:lang w:eastAsia="es-MX"/>
              </w:rPr>
              <w:t>936,263</w:t>
            </w:r>
          </w:p>
        </w:tc>
        <w:tc>
          <w:tcPr>
            <w:tcW w:w="1265" w:type="dxa"/>
            <w:tcBorders>
              <w:top w:val="nil"/>
              <w:left w:val="nil"/>
              <w:bottom w:val="single" w:sz="4" w:space="0" w:color="auto"/>
              <w:right w:val="single" w:sz="4" w:space="0" w:color="auto"/>
            </w:tcBorders>
            <w:shd w:val="clear" w:color="auto" w:fill="auto"/>
            <w:noWrap/>
            <w:vAlign w:val="center"/>
            <w:hideMark/>
          </w:tcPr>
          <w:p w14:paraId="4E4A78F3" w14:textId="77777777" w:rsidR="00202049" w:rsidRPr="00F43258" w:rsidRDefault="00202049" w:rsidP="00B205BA">
            <w:pPr>
              <w:spacing w:after="120" w:line="240" w:lineRule="auto"/>
              <w:rPr>
                <w:rFonts w:eastAsia="Times New Roman" w:cs="Arial"/>
                <w:b/>
                <w:bCs/>
                <w:color w:val="000000"/>
                <w:lang w:eastAsia="es-MX"/>
              </w:rPr>
            </w:pPr>
            <w:r w:rsidRPr="00F43258">
              <w:rPr>
                <w:rFonts w:eastAsia="Times New Roman" w:cs="Arial"/>
                <w:b/>
                <w:bCs/>
                <w:color w:val="000000"/>
                <w:lang w:eastAsia="es-MX"/>
              </w:rPr>
              <w:t>100.0</w:t>
            </w:r>
          </w:p>
        </w:tc>
      </w:tr>
      <w:tr w:rsidR="00202049" w:rsidRPr="00F43258" w14:paraId="1B37B68A" w14:textId="77777777" w:rsidTr="000635AB">
        <w:trPr>
          <w:trHeight w:val="288"/>
        </w:trPr>
        <w:tc>
          <w:tcPr>
            <w:tcW w:w="1980" w:type="dxa"/>
            <w:tcBorders>
              <w:top w:val="nil"/>
              <w:left w:val="single" w:sz="4" w:space="0" w:color="auto"/>
              <w:bottom w:val="single" w:sz="4" w:space="0" w:color="auto"/>
              <w:right w:val="single" w:sz="4" w:space="0" w:color="auto"/>
            </w:tcBorders>
            <w:vAlign w:val="center"/>
          </w:tcPr>
          <w:p w14:paraId="45D4AB71"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0001</w:t>
            </w:r>
          </w:p>
        </w:tc>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AC1F501"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Hermosillo</w:t>
            </w:r>
          </w:p>
        </w:tc>
        <w:tc>
          <w:tcPr>
            <w:tcW w:w="1580" w:type="dxa"/>
            <w:tcBorders>
              <w:top w:val="nil"/>
              <w:left w:val="nil"/>
              <w:bottom w:val="single" w:sz="4" w:space="0" w:color="auto"/>
              <w:right w:val="single" w:sz="4" w:space="0" w:color="auto"/>
            </w:tcBorders>
            <w:shd w:val="clear" w:color="auto" w:fill="auto"/>
            <w:noWrap/>
            <w:vAlign w:val="center"/>
            <w:hideMark/>
          </w:tcPr>
          <w:p w14:paraId="4DE0F0DE"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855,563</w:t>
            </w:r>
          </w:p>
        </w:tc>
        <w:tc>
          <w:tcPr>
            <w:tcW w:w="1265" w:type="dxa"/>
            <w:tcBorders>
              <w:top w:val="nil"/>
              <w:left w:val="nil"/>
              <w:bottom w:val="single" w:sz="4" w:space="0" w:color="auto"/>
              <w:right w:val="single" w:sz="4" w:space="0" w:color="auto"/>
            </w:tcBorders>
            <w:shd w:val="clear" w:color="auto" w:fill="auto"/>
            <w:noWrap/>
            <w:vAlign w:val="center"/>
            <w:hideMark/>
          </w:tcPr>
          <w:p w14:paraId="498555C1"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91.4</w:t>
            </w:r>
          </w:p>
        </w:tc>
      </w:tr>
      <w:tr w:rsidR="00202049" w:rsidRPr="00F43258" w14:paraId="2F6B1170" w14:textId="77777777" w:rsidTr="000635AB">
        <w:trPr>
          <w:trHeight w:val="288"/>
        </w:trPr>
        <w:tc>
          <w:tcPr>
            <w:tcW w:w="1980" w:type="dxa"/>
            <w:tcBorders>
              <w:top w:val="nil"/>
              <w:left w:val="single" w:sz="4" w:space="0" w:color="auto"/>
              <w:bottom w:val="single" w:sz="4" w:space="0" w:color="auto"/>
              <w:right w:val="single" w:sz="4" w:space="0" w:color="auto"/>
            </w:tcBorders>
            <w:vAlign w:val="center"/>
          </w:tcPr>
          <w:p w14:paraId="4362956A"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0343</w:t>
            </w:r>
          </w:p>
        </w:tc>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380ACFB6"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Miguel Alemán (La Doce)</w:t>
            </w:r>
          </w:p>
        </w:tc>
        <w:tc>
          <w:tcPr>
            <w:tcW w:w="1580" w:type="dxa"/>
            <w:tcBorders>
              <w:top w:val="nil"/>
              <w:left w:val="nil"/>
              <w:bottom w:val="single" w:sz="4" w:space="0" w:color="auto"/>
              <w:right w:val="single" w:sz="4" w:space="0" w:color="auto"/>
            </w:tcBorders>
            <w:shd w:val="clear" w:color="auto" w:fill="auto"/>
            <w:noWrap/>
            <w:vAlign w:val="center"/>
            <w:hideMark/>
          </w:tcPr>
          <w:p w14:paraId="11CF488B"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39,474</w:t>
            </w:r>
          </w:p>
        </w:tc>
        <w:tc>
          <w:tcPr>
            <w:tcW w:w="1265" w:type="dxa"/>
            <w:tcBorders>
              <w:top w:val="nil"/>
              <w:left w:val="nil"/>
              <w:bottom w:val="single" w:sz="4" w:space="0" w:color="auto"/>
              <w:right w:val="single" w:sz="4" w:space="0" w:color="auto"/>
            </w:tcBorders>
            <w:shd w:val="clear" w:color="auto" w:fill="auto"/>
            <w:noWrap/>
            <w:vAlign w:val="center"/>
            <w:hideMark/>
          </w:tcPr>
          <w:p w14:paraId="581EC4A7"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4.2</w:t>
            </w:r>
          </w:p>
        </w:tc>
      </w:tr>
      <w:tr w:rsidR="00202049" w:rsidRPr="00F43258" w14:paraId="4088B231" w14:textId="77777777" w:rsidTr="000635AB">
        <w:trPr>
          <w:trHeight w:val="288"/>
        </w:trPr>
        <w:tc>
          <w:tcPr>
            <w:tcW w:w="1980" w:type="dxa"/>
            <w:tcBorders>
              <w:top w:val="nil"/>
              <w:left w:val="single" w:sz="4" w:space="0" w:color="auto"/>
              <w:bottom w:val="single" w:sz="4" w:space="0" w:color="auto"/>
              <w:right w:val="single" w:sz="4" w:space="0" w:color="auto"/>
            </w:tcBorders>
            <w:vAlign w:val="center"/>
          </w:tcPr>
          <w:p w14:paraId="3988B634"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0137</w:t>
            </w:r>
          </w:p>
        </w:tc>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4CC2AB6D"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Bahía de Kino</w:t>
            </w:r>
          </w:p>
        </w:tc>
        <w:tc>
          <w:tcPr>
            <w:tcW w:w="1580" w:type="dxa"/>
            <w:tcBorders>
              <w:top w:val="nil"/>
              <w:left w:val="nil"/>
              <w:bottom w:val="single" w:sz="4" w:space="0" w:color="auto"/>
              <w:right w:val="single" w:sz="4" w:space="0" w:color="auto"/>
            </w:tcBorders>
            <w:shd w:val="clear" w:color="auto" w:fill="auto"/>
            <w:noWrap/>
            <w:vAlign w:val="center"/>
            <w:hideMark/>
          </w:tcPr>
          <w:p w14:paraId="633759D3"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6,454</w:t>
            </w:r>
          </w:p>
        </w:tc>
        <w:tc>
          <w:tcPr>
            <w:tcW w:w="1265" w:type="dxa"/>
            <w:tcBorders>
              <w:top w:val="nil"/>
              <w:left w:val="nil"/>
              <w:bottom w:val="single" w:sz="4" w:space="0" w:color="auto"/>
              <w:right w:val="single" w:sz="4" w:space="0" w:color="auto"/>
            </w:tcBorders>
            <w:shd w:val="clear" w:color="auto" w:fill="auto"/>
            <w:noWrap/>
            <w:vAlign w:val="center"/>
            <w:hideMark/>
          </w:tcPr>
          <w:p w14:paraId="5D7DDCB3"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0.7</w:t>
            </w:r>
          </w:p>
        </w:tc>
      </w:tr>
      <w:tr w:rsidR="00202049" w:rsidRPr="00F43258" w14:paraId="47FCD8E8" w14:textId="77777777" w:rsidTr="000635AB">
        <w:trPr>
          <w:trHeight w:val="288"/>
        </w:trPr>
        <w:tc>
          <w:tcPr>
            <w:tcW w:w="1980" w:type="dxa"/>
            <w:tcBorders>
              <w:top w:val="nil"/>
              <w:left w:val="single" w:sz="4" w:space="0" w:color="auto"/>
              <w:bottom w:val="single" w:sz="4" w:space="0" w:color="auto"/>
              <w:right w:val="single" w:sz="4" w:space="0" w:color="auto"/>
            </w:tcBorders>
            <w:vAlign w:val="center"/>
          </w:tcPr>
          <w:p w14:paraId="5728E29B"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0535</w:t>
            </w:r>
          </w:p>
        </w:tc>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68A4839"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San Pedro el Saucito</w:t>
            </w:r>
          </w:p>
        </w:tc>
        <w:tc>
          <w:tcPr>
            <w:tcW w:w="1580" w:type="dxa"/>
            <w:tcBorders>
              <w:top w:val="nil"/>
              <w:left w:val="nil"/>
              <w:bottom w:val="single" w:sz="4" w:space="0" w:color="auto"/>
              <w:right w:val="single" w:sz="4" w:space="0" w:color="auto"/>
            </w:tcBorders>
            <w:shd w:val="clear" w:color="auto" w:fill="auto"/>
            <w:noWrap/>
            <w:vAlign w:val="center"/>
            <w:hideMark/>
          </w:tcPr>
          <w:p w14:paraId="12018C79"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3,366</w:t>
            </w:r>
          </w:p>
        </w:tc>
        <w:tc>
          <w:tcPr>
            <w:tcW w:w="1265" w:type="dxa"/>
            <w:tcBorders>
              <w:top w:val="nil"/>
              <w:left w:val="nil"/>
              <w:bottom w:val="single" w:sz="4" w:space="0" w:color="auto"/>
              <w:right w:val="single" w:sz="4" w:space="0" w:color="auto"/>
            </w:tcBorders>
            <w:shd w:val="clear" w:color="auto" w:fill="auto"/>
            <w:noWrap/>
            <w:vAlign w:val="center"/>
            <w:hideMark/>
          </w:tcPr>
          <w:p w14:paraId="6076C8A9"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0.4</w:t>
            </w:r>
          </w:p>
        </w:tc>
      </w:tr>
      <w:tr w:rsidR="00202049" w:rsidRPr="00F43258" w14:paraId="35603BF8" w14:textId="77777777" w:rsidTr="000635AB">
        <w:trPr>
          <w:trHeight w:val="288"/>
        </w:trPr>
        <w:tc>
          <w:tcPr>
            <w:tcW w:w="1980" w:type="dxa"/>
            <w:tcBorders>
              <w:top w:val="nil"/>
              <w:left w:val="single" w:sz="4" w:space="0" w:color="auto"/>
              <w:bottom w:val="single" w:sz="4" w:space="0" w:color="auto"/>
              <w:right w:val="single" w:sz="4" w:space="0" w:color="auto"/>
            </w:tcBorders>
            <w:vAlign w:val="center"/>
          </w:tcPr>
          <w:p w14:paraId="4A1A0A22"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0630</w:t>
            </w:r>
          </w:p>
        </w:tc>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640389A0"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El Tazajal</w:t>
            </w:r>
          </w:p>
        </w:tc>
        <w:tc>
          <w:tcPr>
            <w:tcW w:w="1580" w:type="dxa"/>
            <w:tcBorders>
              <w:top w:val="nil"/>
              <w:left w:val="nil"/>
              <w:bottom w:val="single" w:sz="4" w:space="0" w:color="auto"/>
              <w:right w:val="single" w:sz="4" w:space="0" w:color="auto"/>
            </w:tcBorders>
            <w:shd w:val="clear" w:color="auto" w:fill="auto"/>
            <w:noWrap/>
            <w:vAlign w:val="center"/>
            <w:hideMark/>
          </w:tcPr>
          <w:p w14:paraId="76C39FB4"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2,339</w:t>
            </w:r>
          </w:p>
        </w:tc>
        <w:tc>
          <w:tcPr>
            <w:tcW w:w="1265" w:type="dxa"/>
            <w:tcBorders>
              <w:top w:val="nil"/>
              <w:left w:val="nil"/>
              <w:bottom w:val="single" w:sz="4" w:space="0" w:color="auto"/>
              <w:right w:val="single" w:sz="4" w:space="0" w:color="auto"/>
            </w:tcBorders>
            <w:shd w:val="clear" w:color="auto" w:fill="auto"/>
            <w:noWrap/>
            <w:vAlign w:val="center"/>
            <w:hideMark/>
          </w:tcPr>
          <w:p w14:paraId="49D2C1C3" w14:textId="77777777" w:rsidR="00202049" w:rsidRPr="00F43258" w:rsidRDefault="00202049" w:rsidP="00B205BA">
            <w:pPr>
              <w:spacing w:after="120" w:line="240" w:lineRule="auto"/>
              <w:rPr>
                <w:rFonts w:eastAsia="Times New Roman" w:cs="Arial"/>
                <w:color w:val="000000"/>
                <w:lang w:eastAsia="es-MX"/>
              </w:rPr>
            </w:pPr>
            <w:r w:rsidRPr="00F43258">
              <w:rPr>
                <w:rFonts w:eastAsia="Times New Roman" w:cs="Arial"/>
                <w:color w:val="000000"/>
                <w:lang w:eastAsia="es-MX"/>
              </w:rPr>
              <w:t>0.2</w:t>
            </w:r>
          </w:p>
        </w:tc>
      </w:tr>
    </w:tbl>
    <w:p w14:paraId="47E962AC" w14:textId="77777777" w:rsidR="00202049" w:rsidRPr="00516DB0" w:rsidRDefault="00202049" w:rsidP="00B205BA">
      <w:pPr>
        <w:spacing w:after="120" w:line="240" w:lineRule="auto"/>
        <w:rPr>
          <w:rFonts w:cs="Arial"/>
          <w:sz w:val="18"/>
          <w:szCs w:val="18"/>
          <w:shd w:val="clear" w:color="auto" w:fill="FFFFFF"/>
        </w:rPr>
      </w:pPr>
      <w:r w:rsidRPr="00516DB0">
        <w:rPr>
          <w:rFonts w:cs="Arial"/>
          <w:sz w:val="18"/>
          <w:szCs w:val="18"/>
        </w:rPr>
        <w:t xml:space="preserve">Fuente: INEGI. </w:t>
      </w:r>
      <w:r w:rsidRPr="00516DB0">
        <w:rPr>
          <w:rFonts w:cs="Arial"/>
          <w:sz w:val="18"/>
          <w:szCs w:val="18"/>
          <w:shd w:val="clear" w:color="auto" w:fill="FFFFFF"/>
        </w:rPr>
        <w:t>Base de datos de Principales resultados por localidad (ITER) 2020.</w:t>
      </w:r>
    </w:p>
    <w:p w14:paraId="5F7B488F" w14:textId="77777777" w:rsidR="00202049" w:rsidRPr="00F43258" w:rsidRDefault="00202049" w:rsidP="00B205BA">
      <w:pPr>
        <w:spacing w:after="120" w:line="240" w:lineRule="auto"/>
        <w:rPr>
          <w:rFonts w:eastAsia="Calibri" w:cs="Arial"/>
          <w:bCs/>
        </w:rPr>
      </w:pPr>
      <w:r w:rsidRPr="00F43258">
        <w:rPr>
          <w:rFonts w:eastAsia="Calibri" w:cs="Arial"/>
          <w:bCs/>
        </w:rPr>
        <w:t>En la pirámide poblacional de Hermosillo se observa que la base ancha se encuentra entre los 5 y los 24 años; la población de 0 a 4 años se encuentra disminuida, lo por lo que nos habla de una caída de la natalidad. En 2019, se registraron 13,313 nacimientos en el municipio, lo que representa el 30.1 por ciento de los nacimientos en el estado (44,229). Se registraron 5,024 defunciones en Hermosillo, lo que equivale al 27.18 por ciento del total en el estado. Hay 56 unidades médicas en servicio de las instituciones del sector público de salud en Hermosillo en el 2019.</w:t>
      </w:r>
    </w:p>
    <w:p w14:paraId="179B7B41" w14:textId="77777777" w:rsidR="00202049" w:rsidRPr="00F43258" w:rsidRDefault="00202049" w:rsidP="00B205BA">
      <w:pPr>
        <w:spacing w:after="120" w:line="240" w:lineRule="auto"/>
        <w:rPr>
          <w:rFonts w:cs="Arial"/>
        </w:rPr>
      </w:pPr>
    </w:p>
    <w:p w14:paraId="42D43645" w14:textId="61AE69DE" w:rsidR="00202049" w:rsidRPr="00F43258" w:rsidRDefault="0062376D" w:rsidP="00B205BA">
      <w:pPr>
        <w:spacing w:after="120" w:line="240" w:lineRule="auto"/>
        <w:rPr>
          <w:rFonts w:eastAsia="Calibri" w:cs="Arial"/>
          <w:bCs/>
        </w:rPr>
      </w:pPr>
      <w:r w:rsidRPr="00F43258">
        <w:rPr>
          <w:rFonts w:eastAsia="Calibri" w:cs="Arial"/>
          <w:b/>
        </w:rPr>
        <w:t>GRÁFICA 1. DISTRIBUCIÓN DE LA PIRÁMIDE POBLACIONAL DE HERMOSILLO EN EL AÑO 2020</w:t>
      </w:r>
      <w:r>
        <w:rPr>
          <w:rFonts w:eastAsia="Calibri" w:cs="Arial"/>
          <w:b/>
        </w:rPr>
        <w:t>.</w:t>
      </w:r>
    </w:p>
    <w:p w14:paraId="375398D7" w14:textId="77777777" w:rsidR="00516DB0" w:rsidRDefault="00202049" w:rsidP="00B205BA">
      <w:pPr>
        <w:spacing w:after="120" w:line="240" w:lineRule="auto"/>
        <w:rPr>
          <w:rFonts w:cs="Arial"/>
        </w:rPr>
      </w:pPr>
      <w:r w:rsidRPr="00F43258">
        <w:rPr>
          <w:rFonts w:cs="Arial"/>
          <w:noProof/>
          <w:color w:val="FFC000" w:themeColor="accent4"/>
        </w:rPr>
        <w:drawing>
          <wp:inline distT="0" distB="0" distL="0" distR="0" wp14:anchorId="09B763BD" wp14:editId="5B7A0E71">
            <wp:extent cx="5612130" cy="4290060"/>
            <wp:effectExtent l="0" t="0" r="7620" b="15240"/>
            <wp:docPr id="1837252095" name="Gráfico 1">
              <a:extLst xmlns:a="http://schemas.openxmlformats.org/drawingml/2006/main">
                <a:ext uri="{FF2B5EF4-FFF2-40B4-BE49-F238E27FC236}">
                  <a16:creationId xmlns:a16="http://schemas.microsoft.com/office/drawing/2014/main" id="{4C5BD509-119A-35B5-8CD9-CB03A4F16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516DB0">
        <w:rPr>
          <w:rFonts w:cs="Arial"/>
          <w:sz w:val="18"/>
          <w:szCs w:val="18"/>
        </w:rPr>
        <w:t>Nota: El resultado de la suma de los porcentajes según sexo no coincide con el 100% debido a los no especificado.</w:t>
      </w:r>
    </w:p>
    <w:p w14:paraId="34959012" w14:textId="0CFBEA2E" w:rsidR="00202049" w:rsidRPr="00516DB0" w:rsidRDefault="00202049" w:rsidP="00B205BA">
      <w:pPr>
        <w:spacing w:after="120" w:line="240" w:lineRule="auto"/>
        <w:rPr>
          <w:rFonts w:cs="Arial"/>
        </w:rPr>
      </w:pPr>
      <w:r w:rsidRPr="00516DB0">
        <w:rPr>
          <w:rFonts w:cs="Arial"/>
          <w:sz w:val="18"/>
          <w:szCs w:val="18"/>
        </w:rPr>
        <w:t>Fuente: Elaboración propia con datos del Censo de Población y vivienda 2020 del INEGI.</w:t>
      </w:r>
    </w:p>
    <w:p w14:paraId="602DEA9A" w14:textId="6E2343C3" w:rsidR="00202049" w:rsidRPr="00F43258" w:rsidRDefault="00202049" w:rsidP="00B205BA">
      <w:pPr>
        <w:spacing w:after="120" w:line="240" w:lineRule="auto"/>
        <w:rPr>
          <w:rFonts w:eastAsia="Calibri" w:cs="Arial"/>
          <w:bCs/>
        </w:rPr>
      </w:pPr>
      <w:r w:rsidRPr="00F43258">
        <w:rPr>
          <w:rFonts w:eastAsia="Calibri" w:cs="Arial"/>
          <w:bCs/>
        </w:rPr>
        <w:t>El promedio de escolaridad del hermosillense en 2020 es de 11.3 años, lo que representa aproximadamente más de la mitad del bachillerato, siendo el primer lugar a nivel municipal. En el estado, el dato es de 10.4 años, y en el país es de 9.7 años. Es decir, los hermosillenses tienen 1.6 años más de estudio que el promedio nacional. El analfabetismo en el municipio es de 1.4 por ciento en la población de 15 años y más.</w:t>
      </w:r>
    </w:p>
    <w:p w14:paraId="4FDDD988" w14:textId="59EB8819" w:rsidR="00202049" w:rsidRPr="00F43258" w:rsidRDefault="00202049" w:rsidP="00B205BA">
      <w:pPr>
        <w:spacing w:after="120" w:line="240" w:lineRule="auto"/>
        <w:rPr>
          <w:rFonts w:eastAsia="Calibri" w:cs="Arial"/>
          <w:bCs/>
        </w:rPr>
      </w:pPr>
      <w:r w:rsidRPr="00F43258">
        <w:rPr>
          <w:rFonts w:eastAsia="Calibri" w:cs="Arial"/>
          <w:bCs/>
        </w:rPr>
        <w:t xml:space="preserve">Hermosillo cuenta con 278,215 viviendas particulares habitadas, las que representan el 31.8 por ciento del total del estado. El 99.3 por ciento de las viviendas particulares habitadas disponen de electricidad; el 99.2 por ciento tienen agua entubada y el 98.6 tienen servicio de drenaje. </w:t>
      </w:r>
    </w:p>
    <w:p w14:paraId="7DF7D764" w14:textId="39CE1A12" w:rsidR="00160DC6" w:rsidRPr="00F760B0" w:rsidRDefault="00202049" w:rsidP="00B205BA">
      <w:pPr>
        <w:spacing w:after="120" w:line="240" w:lineRule="auto"/>
        <w:rPr>
          <w:rFonts w:eastAsia="Calibri" w:cs="Arial"/>
          <w:bCs/>
        </w:rPr>
      </w:pPr>
      <w:r w:rsidRPr="00F43258">
        <w:rPr>
          <w:rFonts w:eastAsia="Calibri" w:cs="Arial"/>
          <w:bCs/>
        </w:rPr>
        <w:t>En características económicas, en 2020, Hermosillo contó con 471,237 personas ocupadas, representando el 33.2 por ciento de la fuerza laboral en el estado. La mayoría tiene una escolaridad superior (38.07 por ciento). En 2018, según el Directorio Estadístico Nacional de Unidades Económicas del INEGI, había 38,188 unidades económicas en Hermosillo.</w:t>
      </w:r>
    </w:p>
    <w:p w14:paraId="40AE979B" w14:textId="77777777" w:rsidR="0062376D" w:rsidRDefault="0062376D" w:rsidP="00B205BA">
      <w:pPr>
        <w:spacing w:after="120" w:line="240" w:lineRule="auto"/>
        <w:rPr>
          <w:rFonts w:eastAsia="Calibri" w:cs="Arial"/>
          <w:b/>
        </w:rPr>
      </w:pPr>
    </w:p>
    <w:p w14:paraId="7EB1C195" w14:textId="56CE3AB2" w:rsidR="00202049" w:rsidRPr="00F43258" w:rsidRDefault="00202049" w:rsidP="00B205BA">
      <w:pPr>
        <w:spacing w:after="120" w:line="240" w:lineRule="auto"/>
        <w:rPr>
          <w:rFonts w:eastAsia="Calibri" w:cs="Arial"/>
          <w:b/>
        </w:rPr>
      </w:pPr>
      <w:r w:rsidRPr="00F43258">
        <w:rPr>
          <w:rFonts w:eastAsia="Calibri" w:cs="Arial"/>
          <w:b/>
        </w:rPr>
        <w:lastRenderedPageBreak/>
        <w:t>Características geográficas del Municipio</w:t>
      </w:r>
      <w:r w:rsidR="00261A27">
        <w:rPr>
          <w:rFonts w:eastAsia="Calibri" w:cs="Arial"/>
          <w:b/>
        </w:rPr>
        <w:t>.</w:t>
      </w:r>
      <w:r w:rsidRPr="00F43258">
        <w:rPr>
          <w:rFonts w:eastAsia="Calibri" w:cs="Arial"/>
          <w:b/>
        </w:rPr>
        <w:t xml:space="preserve"> </w:t>
      </w:r>
    </w:p>
    <w:p w14:paraId="13CF4EB6" w14:textId="3BD11574" w:rsidR="00261A27" w:rsidRPr="00C15D49" w:rsidRDefault="00202049" w:rsidP="00B205BA">
      <w:pPr>
        <w:spacing w:after="120" w:line="240" w:lineRule="auto"/>
        <w:rPr>
          <w:rFonts w:eastAsia="Calibri" w:cs="Arial"/>
          <w:bCs/>
        </w:rPr>
      </w:pPr>
      <w:r w:rsidRPr="00C15D49">
        <w:rPr>
          <w:rFonts w:eastAsia="Calibri" w:cs="Arial"/>
          <w:bCs/>
        </w:rPr>
        <w:t>Localización</w:t>
      </w:r>
      <w:r w:rsidR="00261A27">
        <w:rPr>
          <w:rFonts w:eastAsia="Calibri" w:cs="Arial"/>
          <w:bCs/>
        </w:rPr>
        <w:t>.</w:t>
      </w:r>
    </w:p>
    <w:p w14:paraId="6A0A14E6" w14:textId="77777777" w:rsidR="00202049" w:rsidRPr="00F43258" w:rsidRDefault="00202049" w:rsidP="00B205BA">
      <w:pPr>
        <w:spacing w:after="120" w:line="240" w:lineRule="auto"/>
        <w:rPr>
          <w:rFonts w:eastAsia="Calibri" w:cs="Arial"/>
        </w:rPr>
      </w:pPr>
      <w:r w:rsidRPr="00F43258">
        <w:rPr>
          <w:rFonts w:cs="Arial"/>
          <w:noProof/>
          <w:lang w:eastAsia="es-MX"/>
        </w:rPr>
        <w:drawing>
          <wp:anchor distT="0" distB="0" distL="114300" distR="114300" simplePos="0" relativeHeight="251688960" behindDoc="0" locked="0" layoutInCell="1" allowOverlap="1" wp14:anchorId="7488FB82" wp14:editId="4625B119">
            <wp:simplePos x="0" y="0"/>
            <wp:positionH relativeFrom="column">
              <wp:posOffset>2804160</wp:posOffset>
            </wp:positionH>
            <wp:positionV relativeFrom="paragraph">
              <wp:posOffset>147320</wp:posOffset>
            </wp:positionV>
            <wp:extent cx="2617876" cy="2725615"/>
            <wp:effectExtent l="0" t="0" r="0" b="0"/>
            <wp:wrapSquare wrapText="bothSides"/>
            <wp:docPr id="12" name="Imagen 12" descr="Municipio Hermos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io Hermosi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7876" cy="272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258">
        <w:rPr>
          <w:rFonts w:eastAsia="Calibri" w:cs="Arial"/>
        </w:rPr>
        <w:t>El municipio de Hermosillo se localiza al oeste del estado de Sonora. Su cabecera municipal es la ciudad de Hermosillo (030); se encuentra delimitado por el paralelo 29° 05' de latitud norte y el meridiano 110° 57' de longitud oeste de Greenwich, a una altura de 282 metros sobre el nivel del mar.</w:t>
      </w:r>
    </w:p>
    <w:p w14:paraId="1FD0ABCD" w14:textId="77777777" w:rsidR="00202049" w:rsidRPr="00F43258" w:rsidRDefault="00202049" w:rsidP="00B205BA">
      <w:pPr>
        <w:spacing w:after="120" w:line="240" w:lineRule="auto"/>
        <w:rPr>
          <w:rFonts w:eastAsia="Calibri" w:cs="Arial"/>
        </w:rPr>
      </w:pPr>
    </w:p>
    <w:p w14:paraId="235B8EB2" w14:textId="77777777" w:rsidR="00202049" w:rsidRPr="00F43258" w:rsidRDefault="00202049" w:rsidP="00B205BA">
      <w:pPr>
        <w:spacing w:after="120" w:line="240" w:lineRule="auto"/>
        <w:rPr>
          <w:rFonts w:eastAsia="Calibri" w:cs="Arial"/>
        </w:rPr>
      </w:pPr>
      <w:r w:rsidRPr="00F43258">
        <w:rPr>
          <w:rFonts w:eastAsia="Calibri" w:cs="Arial"/>
        </w:rPr>
        <w:t>El municipio colinda al norte con los municipios de Pitiquito y Carbó; al noreste, con San Miguel de Horcasitas; al este, con los municipios de Ures, Mazatán y La Colorada; al sur, con los municipios de La Colorada y Guaymas; al oeste, con el Golfo de California; y al noroeste con el municipio de Pitiquito.</w:t>
      </w:r>
    </w:p>
    <w:p w14:paraId="2257BB34" w14:textId="77777777" w:rsidR="00202049" w:rsidRPr="00C15D49" w:rsidRDefault="00202049" w:rsidP="00B205BA">
      <w:pPr>
        <w:spacing w:after="120" w:line="240" w:lineRule="auto"/>
        <w:rPr>
          <w:rFonts w:eastAsia="Calibri" w:cs="Arial"/>
          <w:bCs/>
        </w:rPr>
      </w:pPr>
    </w:p>
    <w:p w14:paraId="376044B5" w14:textId="5F30CBF8" w:rsidR="00261A27" w:rsidRPr="00C15D49" w:rsidRDefault="00202049" w:rsidP="00B205BA">
      <w:pPr>
        <w:spacing w:after="120" w:line="240" w:lineRule="auto"/>
        <w:rPr>
          <w:rFonts w:eastAsia="Calibri" w:cs="Arial"/>
          <w:bCs/>
        </w:rPr>
      </w:pPr>
      <w:r w:rsidRPr="00C15D49">
        <w:rPr>
          <w:rFonts w:eastAsia="Calibri" w:cs="Arial"/>
          <w:bCs/>
        </w:rPr>
        <w:t>Extensión</w:t>
      </w:r>
      <w:r w:rsidR="00261A27">
        <w:rPr>
          <w:rFonts w:eastAsia="Calibri" w:cs="Arial"/>
          <w:bCs/>
        </w:rPr>
        <w:t>.</w:t>
      </w:r>
    </w:p>
    <w:p w14:paraId="1B491D4B" w14:textId="35A35A5A" w:rsidR="00202049" w:rsidRPr="00F760B0" w:rsidRDefault="00202049" w:rsidP="00B205BA">
      <w:pPr>
        <w:spacing w:after="120" w:line="240" w:lineRule="auto"/>
        <w:rPr>
          <w:rFonts w:eastAsia="Calibri" w:cs="Arial"/>
        </w:rPr>
      </w:pPr>
      <w:r w:rsidRPr="00F43258">
        <w:rPr>
          <w:rFonts w:eastAsia="Calibri" w:cs="Arial"/>
        </w:rPr>
        <w:t xml:space="preserve">Hermosillo posee una superficie de 15,720.35 kilómetros cuadrados, lo que representa el 8.02 por ciento del total estatal y el 0.76 por ciento en relación con el país. Las localidades más importantes, además de la cabecera, son: Miguel Alemán, San Pedro el Saucito, Bahía de Kino, Kino Nuevo, La Victoria y La Manga. </w:t>
      </w:r>
    </w:p>
    <w:p w14:paraId="2D2F7702" w14:textId="6E0DD836" w:rsidR="00261A27" w:rsidRPr="00C15D49" w:rsidRDefault="00202049" w:rsidP="00B205BA">
      <w:pPr>
        <w:spacing w:after="120" w:line="240" w:lineRule="auto"/>
        <w:rPr>
          <w:rFonts w:eastAsia="Calibri" w:cs="Arial"/>
          <w:bCs/>
        </w:rPr>
      </w:pPr>
      <w:r w:rsidRPr="00C15D49">
        <w:rPr>
          <w:rFonts w:eastAsia="Calibri" w:cs="Arial"/>
          <w:bCs/>
        </w:rPr>
        <w:t>Orografía</w:t>
      </w:r>
      <w:r w:rsidR="00261A27">
        <w:rPr>
          <w:rFonts w:eastAsia="Calibri" w:cs="Arial"/>
          <w:bCs/>
        </w:rPr>
        <w:t>.</w:t>
      </w:r>
    </w:p>
    <w:p w14:paraId="657A1123" w14:textId="58FB86A0" w:rsidR="00202049" w:rsidRPr="00F43258" w:rsidRDefault="00202049" w:rsidP="00B205BA">
      <w:pPr>
        <w:spacing w:after="120" w:line="240" w:lineRule="auto"/>
        <w:rPr>
          <w:rFonts w:eastAsia="Calibri" w:cs="Arial"/>
        </w:rPr>
      </w:pPr>
      <w:r w:rsidRPr="00F43258">
        <w:rPr>
          <w:rFonts w:eastAsia="Calibri" w:cs="Arial"/>
        </w:rPr>
        <w:t>El territorio del municipio es plano, con inclinación hacia el este y termina en la orilla del Golfo de California. Cuenta con serranías aisladas, con elevación no mayor de 300 metros, entre las que cabe mencionar la de Tepoaca, Bacoachito, López, Tonuco, Seri, Batamote, Goguz, Bronces, Santa Teresa, La Palma, Siete Cerros y La Campana, entre las más importantes.</w:t>
      </w:r>
    </w:p>
    <w:p w14:paraId="1F6353D0" w14:textId="242C77C5" w:rsidR="00202049" w:rsidRPr="00F43258" w:rsidRDefault="00202049" w:rsidP="00B205BA">
      <w:pPr>
        <w:spacing w:after="120" w:line="240" w:lineRule="auto"/>
        <w:rPr>
          <w:rFonts w:eastAsia="Calibri" w:cs="Arial"/>
        </w:rPr>
      </w:pPr>
      <w:r w:rsidRPr="00F43258">
        <w:rPr>
          <w:rFonts w:eastAsia="Calibri" w:cs="Arial"/>
        </w:rPr>
        <w:t xml:space="preserve">La orografía del municipio presenta las tres principales conformaciones: la primera, corresponde a zonas accidentadas que abarcan aproximadamente el 10 por ciento de la superficie total del municipio y se localiza en la parte poniente. </w:t>
      </w:r>
    </w:p>
    <w:p w14:paraId="67BF6CBC" w14:textId="44687B98" w:rsidR="00202049" w:rsidRPr="00F43258" w:rsidRDefault="00202049" w:rsidP="00B205BA">
      <w:pPr>
        <w:spacing w:after="120" w:line="240" w:lineRule="auto"/>
        <w:rPr>
          <w:rFonts w:eastAsia="Calibri" w:cs="Arial"/>
        </w:rPr>
      </w:pPr>
      <w:r w:rsidRPr="00F43258">
        <w:rPr>
          <w:rFonts w:eastAsia="Calibri" w:cs="Arial"/>
        </w:rPr>
        <w:t xml:space="preserve">La segunda, corresponde a zonas semiplanas con una extensión equivalente al 20 por ciento del territorio municipal aproximadamente, y se localiza en todo el municipio. </w:t>
      </w:r>
    </w:p>
    <w:p w14:paraId="60BDCA19" w14:textId="184F4F56" w:rsidR="00B205BA" w:rsidRPr="00F43258" w:rsidRDefault="00202049" w:rsidP="00B205BA">
      <w:pPr>
        <w:spacing w:after="120" w:line="240" w:lineRule="auto"/>
        <w:rPr>
          <w:rFonts w:eastAsia="Calibri" w:cs="Arial"/>
        </w:rPr>
      </w:pPr>
      <w:r w:rsidRPr="00F43258">
        <w:rPr>
          <w:rFonts w:eastAsia="Calibri" w:cs="Arial"/>
        </w:rPr>
        <w:t>La tercera, corresponde a zonas semiplanas que abarcan alrededor de 70 por ciento de la superficie municipal y se localiza en los valles y zonas costeras y que conforman el distrito de riego número 51.</w:t>
      </w:r>
    </w:p>
    <w:p w14:paraId="55B33423" w14:textId="0B77BC3B" w:rsidR="00202049" w:rsidRPr="00B205BA" w:rsidRDefault="00202049" w:rsidP="00B205BA">
      <w:pPr>
        <w:spacing w:after="120" w:line="240" w:lineRule="auto"/>
        <w:rPr>
          <w:rFonts w:eastAsia="Calibri" w:cs="Arial"/>
          <w:b/>
        </w:rPr>
      </w:pPr>
      <w:r w:rsidRPr="00B205BA">
        <w:rPr>
          <w:rFonts w:eastAsia="Calibri" w:cs="Arial"/>
          <w:b/>
        </w:rPr>
        <w:t>Hidrografía</w:t>
      </w:r>
      <w:r w:rsidR="00261A27" w:rsidRPr="00B205BA">
        <w:rPr>
          <w:rFonts w:eastAsia="Calibri" w:cs="Arial"/>
          <w:b/>
        </w:rPr>
        <w:t>.</w:t>
      </w:r>
    </w:p>
    <w:p w14:paraId="06FFFB5C" w14:textId="34C7186C" w:rsidR="00202049" w:rsidRPr="00F760B0" w:rsidRDefault="00202049" w:rsidP="00B205BA">
      <w:pPr>
        <w:spacing w:after="120" w:line="240" w:lineRule="auto"/>
        <w:rPr>
          <w:rFonts w:eastAsia="Calibri" w:cs="Arial"/>
        </w:rPr>
      </w:pPr>
      <w:r w:rsidRPr="00F43258">
        <w:rPr>
          <w:rFonts w:eastAsia="Calibri" w:cs="Arial"/>
        </w:rPr>
        <w:t xml:space="preserve">Los recursos hidrológicos del municipio están compuestos principalmente por los ríos Sonora y San Miguel, que confluyen a pocos kilómetros al este de la cabecera municipal. El de mayor importancia es el río Sonora, el cual nace en el noreste del estado y es el único con caudal permanente. El río San Miguel, con una cuenca de 8,427 kilómetros, nace en </w:t>
      </w:r>
      <w:r w:rsidRPr="00F43258">
        <w:rPr>
          <w:rFonts w:eastAsia="Calibri" w:cs="Arial"/>
        </w:rPr>
        <w:lastRenderedPageBreak/>
        <w:t xml:space="preserve">los municipios de San Miguel de Horcasitas y las serranías de los municipios de Cucurpe y Rayón. </w:t>
      </w:r>
    </w:p>
    <w:p w14:paraId="255AB2F1" w14:textId="51A03E02" w:rsidR="00202049" w:rsidRPr="00B205BA" w:rsidRDefault="00202049" w:rsidP="00B205BA">
      <w:pPr>
        <w:spacing w:after="120" w:line="240" w:lineRule="auto"/>
        <w:rPr>
          <w:rFonts w:eastAsia="Calibri" w:cs="Arial"/>
          <w:b/>
        </w:rPr>
      </w:pPr>
      <w:r w:rsidRPr="00B205BA">
        <w:rPr>
          <w:rFonts w:eastAsia="Calibri" w:cs="Arial"/>
          <w:b/>
        </w:rPr>
        <w:t>Clima</w:t>
      </w:r>
      <w:r w:rsidR="00261A27" w:rsidRPr="00B205BA">
        <w:rPr>
          <w:rFonts w:eastAsia="Calibri" w:cs="Arial"/>
          <w:b/>
        </w:rPr>
        <w:t>.</w:t>
      </w:r>
      <w:r w:rsidRPr="00B205BA">
        <w:rPr>
          <w:rFonts w:eastAsia="Calibri" w:cs="Arial"/>
          <w:b/>
        </w:rPr>
        <w:tab/>
      </w:r>
    </w:p>
    <w:p w14:paraId="238F9C12" w14:textId="77777777" w:rsidR="00202049" w:rsidRPr="00F43258" w:rsidRDefault="00202049" w:rsidP="00EF5FAC">
      <w:pPr>
        <w:spacing w:after="120" w:line="240" w:lineRule="auto"/>
        <w:ind w:left="708" w:hanging="708"/>
        <w:rPr>
          <w:rFonts w:eastAsia="Calibri" w:cs="Arial"/>
        </w:rPr>
      </w:pPr>
      <w:r w:rsidRPr="00F43258">
        <w:rPr>
          <w:rFonts w:eastAsia="Calibri" w:cs="Arial"/>
        </w:rPr>
        <w:t>En el municipio de Hermosillo concurren dos regiones climáticas predominantes: la primera, corresponde a la región costera, la cual presenta un clima muy seco semicálido con inviernos frescos y temperaturas de cero grados en los meses de enero y febrero, hasta temperaturas de 48 grados centígrados en julio y agosto.</w:t>
      </w:r>
    </w:p>
    <w:p w14:paraId="5763342E" w14:textId="77777777" w:rsidR="00202049" w:rsidRPr="00F43258" w:rsidRDefault="00202049" w:rsidP="00B205BA">
      <w:pPr>
        <w:spacing w:after="120" w:line="240" w:lineRule="auto"/>
        <w:rPr>
          <w:rFonts w:cs="Arial"/>
        </w:rPr>
      </w:pPr>
    </w:p>
    <w:p w14:paraId="6CF36098" w14:textId="6C069FD9" w:rsidR="00261A27" w:rsidRPr="00F43258" w:rsidRDefault="0062376D" w:rsidP="00B205BA">
      <w:pPr>
        <w:spacing w:after="120" w:line="240" w:lineRule="auto"/>
        <w:rPr>
          <w:rFonts w:eastAsia="Calibri" w:cs="Arial"/>
          <w:b/>
        </w:rPr>
      </w:pPr>
      <w:r w:rsidRPr="00F43258">
        <w:rPr>
          <w:rFonts w:eastAsia="Calibri" w:cs="Arial"/>
          <w:b/>
        </w:rPr>
        <w:t>TABLA 2. TIPOS DE CLIMAS EN HERMOSILLO.</w:t>
      </w:r>
    </w:p>
    <w:tbl>
      <w:tblPr>
        <w:tblW w:w="5000" w:type="pct"/>
        <w:tblCellMar>
          <w:left w:w="70" w:type="dxa"/>
          <w:right w:w="70" w:type="dxa"/>
        </w:tblCellMar>
        <w:tblLook w:val="04A0" w:firstRow="1" w:lastRow="0" w:firstColumn="1" w:lastColumn="0" w:noHBand="0" w:noVBand="1"/>
      </w:tblPr>
      <w:tblGrid>
        <w:gridCol w:w="3255"/>
        <w:gridCol w:w="1842"/>
        <w:gridCol w:w="3731"/>
      </w:tblGrid>
      <w:tr w:rsidR="00202049" w:rsidRPr="00F43258" w14:paraId="3E2DC00C" w14:textId="77777777" w:rsidTr="000635AB">
        <w:trPr>
          <w:trHeight w:val="225"/>
        </w:trPr>
        <w:tc>
          <w:tcPr>
            <w:tcW w:w="1844" w:type="pct"/>
            <w:tcBorders>
              <w:top w:val="nil"/>
              <w:left w:val="single" w:sz="4" w:space="0" w:color="BFBFBF"/>
              <w:bottom w:val="single" w:sz="4" w:space="0" w:color="BFBFBF"/>
              <w:right w:val="single" w:sz="4" w:space="0" w:color="BFBFBF"/>
            </w:tcBorders>
            <w:shd w:val="clear" w:color="auto" w:fill="E7E6E6" w:themeFill="background2"/>
            <w:noWrap/>
            <w:vAlign w:val="center"/>
            <w:hideMark/>
          </w:tcPr>
          <w:p w14:paraId="09534429" w14:textId="77777777" w:rsidR="00202049" w:rsidRPr="00F43258" w:rsidRDefault="00202049" w:rsidP="00B205BA">
            <w:pPr>
              <w:spacing w:after="120" w:line="240" w:lineRule="auto"/>
              <w:rPr>
                <w:rFonts w:cs="Arial"/>
                <w:b/>
                <w:bCs/>
                <w:lang w:eastAsia="es-MX"/>
              </w:rPr>
            </w:pPr>
            <w:r w:rsidRPr="00F43258">
              <w:rPr>
                <w:rFonts w:cs="Arial"/>
                <w:b/>
                <w:bCs/>
                <w:lang w:eastAsia="es-MX"/>
              </w:rPr>
              <w:t>Tipo o Subtipo</w:t>
            </w:r>
          </w:p>
        </w:tc>
        <w:tc>
          <w:tcPr>
            <w:tcW w:w="1043" w:type="pct"/>
            <w:tcBorders>
              <w:top w:val="nil"/>
              <w:left w:val="nil"/>
              <w:bottom w:val="single" w:sz="4" w:space="0" w:color="BFBFBF"/>
              <w:right w:val="single" w:sz="4" w:space="0" w:color="BFBFBF"/>
            </w:tcBorders>
            <w:shd w:val="clear" w:color="auto" w:fill="E7E6E6" w:themeFill="background2"/>
            <w:noWrap/>
            <w:vAlign w:val="center"/>
            <w:hideMark/>
          </w:tcPr>
          <w:p w14:paraId="5A6A9223" w14:textId="77777777" w:rsidR="00202049" w:rsidRPr="00F43258" w:rsidRDefault="00202049" w:rsidP="00B205BA">
            <w:pPr>
              <w:spacing w:after="120" w:line="240" w:lineRule="auto"/>
              <w:rPr>
                <w:rFonts w:cs="Arial"/>
                <w:b/>
                <w:bCs/>
                <w:lang w:eastAsia="es-MX"/>
              </w:rPr>
            </w:pPr>
            <w:r w:rsidRPr="00F43258">
              <w:rPr>
                <w:rFonts w:cs="Arial"/>
                <w:b/>
                <w:bCs/>
                <w:lang w:eastAsia="es-MX"/>
              </w:rPr>
              <w:t>Símbolo</w:t>
            </w:r>
          </w:p>
        </w:tc>
        <w:tc>
          <w:tcPr>
            <w:tcW w:w="2113" w:type="pct"/>
            <w:tcBorders>
              <w:top w:val="nil"/>
              <w:left w:val="nil"/>
              <w:bottom w:val="single" w:sz="4" w:space="0" w:color="BFBFBF"/>
              <w:right w:val="single" w:sz="4" w:space="0" w:color="BFBFBF"/>
            </w:tcBorders>
            <w:shd w:val="clear" w:color="auto" w:fill="E7E6E6" w:themeFill="background2"/>
            <w:noWrap/>
            <w:vAlign w:val="center"/>
            <w:hideMark/>
          </w:tcPr>
          <w:p w14:paraId="4575403A" w14:textId="77777777" w:rsidR="00202049" w:rsidRPr="00F43258" w:rsidRDefault="00202049" w:rsidP="00B205BA">
            <w:pPr>
              <w:spacing w:after="120" w:line="240" w:lineRule="auto"/>
              <w:rPr>
                <w:rFonts w:cs="Arial"/>
                <w:b/>
                <w:bCs/>
                <w:lang w:eastAsia="es-MX"/>
              </w:rPr>
            </w:pPr>
            <w:r w:rsidRPr="00F43258">
              <w:rPr>
                <w:rFonts w:cs="Arial"/>
                <w:b/>
                <w:bCs/>
                <w:lang w:eastAsia="es-MX"/>
              </w:rPr>
              <w:t>% de la Superficie Municipal</w:t>
            </w:r>
          </w:p>
        </w:tc>
      </w:tr>
      <w:tr w:rsidR="00202049" w:rsidRPr="00F43258" w14:paraId="38E0B97E" w14:textId="77777777" w:rsidTr="000635AB">
        <w:trPr>
          <w:trHeight w:val="225"/>
        </w:trPr>
        <w:tc>
          <w:tcPr>
            <w:tcW w:w="1844" w:type="pct"/>
            <w:tcBorders>
              <w:top w:val="nil"/>
              <w:left w:val="single" w:sz="4" w:space="0" w:color="BFBFBF"/>
              <w:bottom w:val="single" w:sz="4" w:space="0" w:color="BFBFBF"/>
              <w:right w:val="single" w:sz="4" w:space="0" w:color="BFBFBF"/>
            </w:tcBorders>
            <w:shd w:val="clear" w:color="auto" w:fill="auto"/>
            <w:noWrap/>
            <w:vAlign w:val="center"/>
            <w:hideMark/>
          </w:tcPr>
          <w:p w14:paraId="7C2D5111" w14:textId="77777777" w:rsidR="00202049" w:rsidRPr="00F43258" w:rsidRDefault="00202049" w:rsidP="00B205BA">
            <w:pPr>
              <w:spacing w:after="120" w:line="240" w:lineRule="auto"/>
              <w:rPr>
                <w:rFonts w:cs="Arial"/>
                <w:lang w:eastAsia="es-MX"/>
              </w:rPr>
            </w:pPr>
            <w:r w:rsidRPr="00F43258">
              <w:rPr>
                <w:rFonts w:cs="Arial"/>
                <w:lang w:eastAsia="es-MX"/>
              </w:rPr>
              <w:t>Seco Muy Cálido y Cálido</w:t>
            </w:r>
          </w:p>
        </w:tc>
        <w:tc>
          <w:tcPr>
            <w:tcW w:w="1043" w:type="pct"/>
            <w:tcBorders>
              <w:top w:val="nil"/>
              <w:left w:val="nil"/>
              <w:bottom w:val="single" w:sz="4" w:space="0" w:color="BFBFBF"/>
              <w:right w:val="single" w:sz="4" w:space="0" w:color="BFBFBF"/>
            </w:tcBorders>
            <w:shd w:val="clear" w:color="auto" w:fill="auto"/>
            <w:noWrap/>
            <w:vAlign w:val="center"/>
            <w:hideMark/>
          </w:tcPr>
          <w:p w14:paraId="718BE8AB" w14:textId="77777777" w:rsidR="00202049" w:rsidRPr="00F43258" w:rsidRDefault="00202049" w:rsidP="00B205BA">
            <w:pPr>
              <w:spacing w:after="120" w:line="240" w:lineRule="auto"/>
              <w:rPr>
                <w:rFonts w:cs="Arial"/>
                <w:lang w:eastAsia="es-MX"/>
              </w:rPr>
            </w:pPr>
            <w:r w:rsidRPr="00F43258">
              <w:rPr>
                <w:rFonts w:cs="Arial"/>
                <w:lang w:eastAsia="es-MX"/>
              </w:rPr>
              <w:t>BS(h')</w:t>
            </w:r>
          </w:p>
        </w:tc>
        <w:tc>
          <w:tcPr>
            <w:tcW w:w="2113" w:type="pct"/>
            <w:tcBorders>
              <w:top w:val="nil"/>
              <w:left w:val="nil"/>
              <w:bottom w:val="single" w:sz="4" w:space="0" w:color="BFBFBF"/>
              <w:right w:val="single" w:sz="4" w:space="0" w:color="BFBFBF"/>
            </w:tcBorders>
            <w:shd w:val="clear" w:color="auto" w:fill="auto"/>
            <w:noWrap/>
            <w:vAlign w:val="center"/>
            <w:hideMark/>
          </w:tcPr>
          <w:p w14:paraId="1F69CCC1" w14:textId="77777777" w:rsidR="00202049" w:rsidRPr="00F43258" w:rsidRDefault="00202049" w:rsidP="00B205BA">
            <w:pPr>
              <w:spacing w:after="120" w:line="240" w:lineRule="auto"/>
              <w:rPr>
                <w:rFonts w:cs="Arial"/>
                <w:lang w:eastAsia="es-MX"/>
              </w:rPr>
            </w:pPr>
            <w:r w:rsidRPr="00F43258">
              <w:rPr>
                <w:rFonts w:cs="Arial"/>
                <w:lang w:eastAsia="es-MX"/>
              </w:rPr>
              <w:t>1.57</w:t>
            </w:r>
          </w:p>
        </w:tc>
      </w:tr>
      <w:tr w:rsidR="00202049" w:rsidRPr="00F43258" w14:paraId="280FA7A5" w14:textId="77777777" w:rsidTr="000635AB">
        <w:trPr>
          <w:trHeight w:val="225"/>
        </w:trPr>
        <w:tc>
          <w:tcPr>
            <w:tcW w:w="1844" w:type="pct"/>
            <w:tcBorders>
              <w:top w:val="nil"/>
              <w:left w:val="single" w:sz="4" w:space="0" w:color="BFBFBF"/>
              <w:bottom w:val="single" w:sz="4" w:space="0" w:color="BFBFBF"/>
              <w:right w:val="single" w:sz="4" w:space="0" w:color="BFBFBF"/>
            </w:tcBorders>
            <w:shd w:val="clear" w:color="auto" w:fill="auto"/>
            <w:noWrap/>
            <w:vAlign w:val="center"/>
            <w:hideMark/>
          </w:tcPr>
          <w:p w14:paraId="2038E527" w14:textId="77777777" w:rsidR="00202049" w:rsidRPr="00F43258" w:rsidRDefault="00202049" w:rsidP="00B205BA">
            <w:pPr>
              <w:spacing w:after="120" w:line="240" w:lineRule="auto"/>
              <w:rPr>
                <w:rFonts w:cs="Arial"/>
                <w:lang w:eastAsia="es-MX"/>
              </w:rPr>
            </w:pPr>
            <w:r w:rsidRPr="00F43258">
              <w:rPr>
                <w:rFonts w:cs="Arial"/>
                <w:lang w:eastAsia="es-MX"/>
              </w:rPr>
              <w:t>Seco Semicálido</w:t>
            </w:r>
          </w:p>
        </w:tc>
        <w:tc>
          <w:tcPr>
            <w:tcW w:w="1043" w:type="pct"/>
            <w:tcBorders>
              <w:top w:val="nil"/>
              <w:left w:val="nil"/>
              <w:bottom w:val="single" w:sz="4" w:space="0" w:color="BFBFBF"/>
              <w:right w:val="single" w:sz="4" w:space="0" w:color="BFBFBF"/>
            </w:tcBorders>
            <w:shd w:val="clear" w:color="auto" w:fill="auto"/>
            <w:noWrap/>
            <w:vAlign w:val="center"/>
            <w:hideMark/>
          </w:tcPr>
          <w:p w14:paraId="41BBBC7E" w14:textId="77777777" w:rsidR="00202049" w:rsidRPr="00F43258" w:rsidRDefault="00202049" w:rsidP="00B205BA">
            <w:pPr>
              <w:spacing w:after="120" w:line="240" w:lineRule="auto"/>
              <w:rPr>
                <w:rFonts w:cs="Arial"/>
                <w:lang w:eastAsia="es-MX"/>
              </w:rPr>
            </w:pPr>
            <w:r w:rsidRPr="00F43258">
              <w:rPr>
                <w:rFonts w:cs="Arial"/>
                <w:lang w:eastAsia="es-MX"/>
              </w:rPr>
              <w:t>BSh</w:t>
            </w:r>
          </w:p>
        </w:tc>
        <w:tc>
          <w:tcPr>
            <w:tcW w:w="2113" w:type="pct"/>
            <w:tcBorders>
              <w:top w:val="nil"/>
              <w:left w:val="nil"/>
              <w:bottom w:val="single" w:sz="4" w:space="0" w:color="BFBFBF"/>
              <w:right w:val="single" w:sz="4" w:space="0" w:color="BFBFBF"/>
            </w:tcBorders>
            <w:shd w:val="clear" w:color="auto" w:fill="auto"/>
            <w:noWrap/>
            <w:vAlign w:val="center"/>
            <w:hideMark/>
          </w:tcPr>
          <w:p w14:paraId="5A3B17DF" w14:textId="77777777" w:rsidR="00202049" w:rsidRPr="00F43258" w:rsidRDefault="00202049" w:rsidP="00B205BA">
            <w:pPr>
              <w:spacing w:after="120" w:line="240" w:lineRule="auto"/>
              <w:rPr>
                <w:rFonts w:cs="Arial"/>
                <w:lang w:eastAsia="es-MX"/>
              </w:rPr>
            </w:pPr>
            <w:r w:rsidRPr="00F43258">
              <w:rPr>
                <w:rFonts w:cs="Arial"/>
                <w:lang w:eastAsia="es-MX"/>
              </w:rPr>
              <w:t>1.32</w:t>
            </w:r>
          </w:p>
        </w:tc>
      </w:tr>
      <w:tr w:rsidR="00202049" w:rsidRPr="00F43258" w14:paraId="2800E3EC" w14:textId="77777777" w:rsidTr="000635AB">
        <w:trPr>
          <w:trHeight w:val="225"/>
        </w:trPr>
        <w:tc>
          <w:tcPr>
            <w:tcW w:w="1844" w:type="pct"/>
            <w:tcBorders>
              <w:top w:val="nil"/>
              <w:left w:val="single" w:sz="4" w:space="0" w:color="BFBFBF"/>
              <w:bottom w:val="single" w:sz="4" w:space="0" w:color="BFBFBF"/>
              <w:right w:val="single" w:sz="4" w:space="0" w:color="BFBFBF"/>
            </w:tcBorders>
            <w:shd w:val="clear" w:color="auto" w:fill="auto"/>
            <w:noWrap/>
            <w:vAlign w:val="center"/>
            <w:hideMark/>
          </w:tcPr>
          <w:p w14:paraId="7B9F326A" w14:textId="77777777" w:rsidR="00202049" w:rsidRPr="00F43258" w:rsidRDefault="00202049" w:rsidP="00B205BA">
            <w:pPr>
              <w:spacing w:after="120" w:line="240" w:lineRule="auto"/>
              <w:rPr>
                <w:rFonts w:cs="Arial"/>
                <w:lang w:eastAsia="es-MX"/>
              </w:rPr>
            </w:pPr>
            <w:r w:rsidRPr="00F43258">
              <w:rPr>
                <w:rFonts w:cs="Arial"/>
                <w:lang w:eastAsia="es-MX"/>
              </w:rPr>
              <w:t>Muy Seco Muy Cálido y Cálido</w:t>
            </w:r>
          </w:p>
        </w:tc>
        <w:tc>
          <w:tcPr>
            <w:tcW w:w="1043" w:type="pct"/>
            <w:tcBorders>
              <w:top w:val="nil"/>
              <w:left w:val="nil"/>
              <w:bottom w:val="single" w:sz="4" w:space="0" w:color="BFBFBF"/>
              <w:right w:val="single" w:sz="4" w:space="0" w:color="BFBFBF"/>
            </w:tcBorders>
            <w:shd w:val="clear" w:color="auto" w:fill="auto"/>
            <w:noWrap/>
            <w:vAlign w:val="center"/>
            <w:hideMark/>
          </w:tcPr>
          <w:p w14:paraId="255E05AB" w14:textId="77777777" w:rsidR="00202049" w:rsidRPr="00F43258" w:rsidRDefault="00202049" w:rsidP="00B205BA">
            <w:pPr>
              <w:spacing w:after="120" w:line="240" w:lineRule="auto"/>
              <w:rPr>
                <w:rFonts w:cs="Arial"/>
                <w:lang w:eastAsia="es-MX"/>
              </w:rPr>
            </w:pPr>
            <w:r w:rsidRPr="00F43258">
              <w:rPr>
                <w:rFonts w:cs="Arial"/>
                <w:lang w:eastAsia="es-MX"/>
              </w:rPr>
              <w:t>BW(h')</w:t>
            </w:r>
          </w:p>
        </w:tc>
        <w:tc>
          <w:tcPr>
            <w:tcW w:w="2113" w:type="pct"/>
            <w:tcBorders>
              <w:top w:val="nil"/>
              <w:left w:val="nil"/>
              <w:bottom w:val="single" w:sz="4" w:space="0" w:color="BFBFBF"/>
              <w:right w:val="single" w:sz="4" w:space="0" w:color="BFBFBF"/>
            </w:tcBorders>
            <w:shd w:val="clear" w:color="auto" w:fill="auto"/>
            <w:noWrap/>
            <w:vAlign w:val="center"/>
            <w:hideMark/>
          </w:tcPr>
          <w:p w14:paraId="230C4006" w14:textId="77777777" w:rsidR="00202049" w:rsidRPr="00F43258" w:rsidRDefault="00202049" w:rsidP="00B205BA">
            <w:pPr>
              <w:spacing w:after="120" w:line="240" w:lineRule="auto"/>
              <w:rPr>
                <w:rFonts w:cs="Arial"/>
                <w:lang w:eastAsia="es-MX"/>
              </w:rPr>
            </w:pPr>
            <w:r w:rsidRPr="00F43258">
              <w:rPr>
                <w:rFonts w:cs="Arial"/>
                <w:lang w:eastAsia="es-MX"/>
              </w:rPr>
              <w:t>47.49</w:t>
            </w:r>
          </w:p>
        </w:tc>
      </w:tr>
      <w:tr w:rsidR="00202049" w:rsidRPr="00F43258" w14:paraId="75ABDA67" w14:textId="77777777" w:rsidTr="000635AB">
        <w:trPr>
          <w:trHeight w:val="225"/>
        </w:trPr>
        <w:tc>
          <w:tcPr>
            <w:tcW w:w="1844" w:type="pct"/>
            <w:tcBorders>
              <w:top w:val="nil"/>
              <w:left w:val="single" w:sz="4" w:space="0" w:color="BFBFBF"/>
              <w:bottom w:val="single" w:sz="4" w:space="0" w:color="BFBFBF"/>
              <w:right w:val="single" w:sz="4" w:space="0" w:color="BFBFBF"/>
            </w:tcBorders>
            <w:shd w:val="clear" w:color="auto" w:fill="auto"/>
            <w:noWrap/>
            <w:vAlign w:val="center"/>
            <w:hideMark/>
          </w:tcPr>
          <w:p w14:paraId="4534A1FC" w14:textId="77777777" w:rsidR="00202049" w:rsidRPr="00F43258" w:rsidRDefault="00202049" w:rsidP="00B205BA">
            <w:pPr>
              <w:spacing w:after="120" w:line="240" w:lineRule="auto"/>
              <w:rPr>
                <w:rFonts w:cs="Arial"/>
                <w:lang w:eastAsia="es-MX"/>
              </w:rPr>
            </w:pPr>
            <w:r w:rsidRPr="00F43258">
              <w:rPr>
                <w:rFonts w:cs="Arial"/>
                <w:lang w:eastAsia="es-MX"/>
              </w:rPr>
              <w:t>Muy Seco Semicálido</w:t>
            </w:r>
          </w:p>
        </w:tc>
        <w:tc>
          <w:tcPr>
            <w:tcW w:w="1043" w:type="pct"/>
            <w:tcBorders>
              <w:top w:val="nil"/>
              <w:left w:val="nil"/>
              <w:bottom w:val="single" w:sz="4" w:space="0" w:color="BFBFBF"/>
              <w:right w:val="single" w:sz="4" w:space="0" w:color="BFBFBF"/>
            </w:tcBorders>
            <w:shd w:val="clear" w:color="auto" w:fill="auto"/>
            <w:noWrap/>
            <w:vAlign w:val="center"/>
            <w:hideMark/>
          </w:tcPr>
          <w:p w14:paraId="0F3724CE" w14:textId="77777777" w:rsidR="00202049" w:rsidRPr="00F43258" w:rsidRDefault="00202049" w:rsidP="00B205BA">
            <w:pPr>
              <w:spacing w:after="120" w:line="240" w:lineRule="auto"/>
              <w:rPr>
                <w:rFonts w:cs="Arial"/>
                <w:lang w:eastAsia="es-MX"/>
              </w:rPr>
            </w:pPr>
            <w:r w:rsidRPr="00F43258">
              <w:rPr>
                <w:rFonts w:cs="Arial"/>
                <w:lang w:eastAsia="es-MX"/>
              </w:rPr>
              <w:t>BWh</w:t>
            </w:r>
          </w:p>
        </w:tc>
        <w:tc>
          <w:tcPr>
            <w:tcW w:w="2113" w:type="pct"/>
            <w:tcBorders>
              <w:top w:val="nil"/>
              <w:left w:val="nil"/>
              <w:bottom w:val="single" w:sz="4" w:space="0" w:color="BFBFBF"/>
              <w:right w:val="single" w:sz="4" w:space="0" w:color="BFBFBF"/>
            </w:tcBorders>
            <w:shd w:val="clear" w:color="auto" w:fill="auto"/>
            <w:noWrap/>
            <w:vAlign w:val="center"/>
            <w:hideMark/>
          </w:tcPr>
          <w:p w14:paraId="518BA7A9" w14:textId="77777777" w:rsidR="00202049" w:rsidRPr="00F43258" w:rsidRDefault="00202049" w:rsidP="00B205BA">
            <w:pPr>
              <w:spacing w:after="120" w:line="240" w:lineRule="auto"/>
              <w:rPr>
                <w:rFonts w:cs="Arial"/>
                <w:lang w:eastAsia="es-MX"/>
              </w:rPr>
            </w:pPr>
            <w:r w:rsidRPr="00F43258">
              <w:rPr>
                <w:rFonts w:cs="Arial"/>
                <w:lang w:eastAsia="es-MX"/>
              </w:rPr>
              <w:t>49.62</w:t>
            </w:r>
          </w:p>
        </w:tc>
      </w:tr>
    </w:tbl>
    <w:p w14:paraId="5CE6A3B8" w14:textId="77777777" w:rsidR="00202049" w:rsidRPr="00516DB0" w:rsidRDefault="00202049" w:rsidP="00B205BA">
      <w:pPr>
        <w:spacing w:after="120" w:line="240" w:lineRule="auto"/>
        <w:rPr>
          <w:rFonts w:eastAsia="Calibri" w:cs="Arial"/>
          <w:bCs/>
          <w:sz w:val="18"/>
          <w:szCs w:val="18"/>
        </w:rPr>
      </w:pPr>
      <w:r w:rsidRPr="00516DB0">
        <w:rPr>
          <w:rFonts w:cs="Arial"/>
          <w:bCs/>
          <w:sz w:val="18"/>
          <w:szCs w:val="18"/>
          <w:lang w:eastAsia="es-MX"/>
        </w:rPr>
        <w:t>Fuente: Elaboración propia con datos del INEGI.</w:t>
      </w:r>
    </w:p>
    <w:p w14:paraId="17239EE4" w14:textId="77777777" w:rsidR="00202049" w:rsidRPr="00F43258" w:rsidRDefault="00202049" w:rsidP="00B205BA">
      <w:pPr>
        <w:spacing w:after="120" w:line="240" w:lineRule="auto"/>
        <w:rPr>
          <w:rFonts w:cs="Arial"/>
        </w:rPr>
      </w:pPr>
    </w:p>
    <w:p w14:paraId="12B5EFA0" w14:textId="280F0746" w:rsidR="00C028AC" w:rsidRDefault="00202049" w:rsidP="00B205BA">
      <w:pPr>
        <w:spacing w:after="120" w:line="240" w:lineRule="auto"/>
        <w:rPr>
          <w:rFonts w:eastAsia="Calibri" w:cs="Arial"/>
        </w:rPr>
      </w:pPr>
      <w:r w:rsidRPr="00F43258">
        <w:rPr>
          <w:rFonts w:eastAsia="Calibri" w:cs="Arial"/>
        </w:rPr>
        <w:t xml:space="preserve">La segunda región está conformada por el resto del municipio, con un clima muy seco, con temperaturas de 14 a 16 grados en los meses de enero y febrero, y extremas de 31 a 47 grados en los meses de julio y agosto. </w:t>
      </w:r>
    </w:p>
    <w:p w14:paraId="3FB7BFDB" w14:textId="77777777" w:rsidR="00C028AC" w:rsidRPr="00F43258" w:rsidRDefault="00C028AC" w:rsidP="00B205BA">
      <w:pPr>
        <w:spacing w:after="120" w:line="240" w:lineRule="auto"/>
        <w:rPr>
          <w:rFonts w:eastAsia="Calibri" w:cs="Arial"/>
        </w:rPr>
      </w:pPr>
    </w:p>
    <w:p w14:paraId="1535AD7A" w14:textId="46B20226" w:rsidR="00261A27" w:rsidRPr="00F43258" w:rsidRDefault="0062376D" w:rsidP="00B205BA">
      <w:pPr>
        <w:spacing w:after="120" w:line="240" w:lineRule="auto"/>
        <w:rPr>
          <w:rFonts w:eastAsia="Calibri" w:cs="Arial"/>
          <w:b/>
          <w:bCs/>
        </w:rPr>
      </w:pPr>
      <w:r w:rsidRPr="00F43258">
        <w:rPr>
          <w:rFonts w:eastAsia="Calibri" w:cs="Arial"/>
          <w:b/>
          <w:bCs/>
        </w:rPr>
        <w:t>TABLA 3. TEMPERATURA MEDIA MENSUAL EN GRADOS CENTÍGRADOS POR PERÍODO Y CONCEPTO EN HERMOSILLO</w:t>
      </w:r>
      <w:r w:rsidR="00C70FEC">
        <w:rPr>
          <w:rFonts w:eastAsia="Calibri" w:cs="Arial"/>
          <w:b/>
          <w:bCs/>
        </w:rPr>
        <w:t>.</w:t>
      </w:r>
    </w:p>
    <w:tbl>
      <w:tblPr>
        <w:tblW w:w="0" w:type="auto"/>
        <w:tblCellMar>
          <w:left w:w="70" w:type="dxa"/>
          <w:right w:w="70" w:type="dxa"/>
        </w:tblCellMar>
        <w:tblLook w:val="04A0" w:firstRow="1" w:lastRow="0" w:firstColumn="1" w:lastColumn="0" w:noHBand="0" w:noVBand="1"/>
      </w:tblPr>
      <w:tblGrid>
        <w:gridCol w:w="1421"/>
        <w:gridCol w:w="1279"/>
        <w:gridCol w:w="452"/>
        <w:gridCol w:w="452"/>
        <w:gridCol w:w="452"/>
        <w:gridCol w:w="452"/>
        <w:gridCol w:w="452"/>
        <w:gridCol w:w="452"/>
        <w:gridCol w:w="452"/>
        <w:gridCol w:w="452"/>
        <w:gridCol w:w="452"/>
        <w:gridCol w:w="452"/>
        <w:gridCol w:w="452"/>
        <w:gridCol w:w="452"/>
        <w:gridCol w:w="452"/>
      </w:tblGrid>
      <w:tr w:rsidR="00202049" w:rsidRPr="00F43258" w14:paraId="127A3AA1" w14:textId="77777777" w:rsidTr="000635AB">
        <w:trPr>
          <w:trHeight w:val="300"/>
        </w:trPr>
        <w:tc>
          <w:tcPr>
            <w:tcW w:w="0" w:type="auto"/>
            <w:vMerge w:val="restart"/>
            <w:tcBorders>
              <w:top w:val="nil"/>
              <w:left w:val="single" w:sz="4" w:space="0" w:color="BFBFBF"/>
              <w:bottom w:val="single" w:sz="4" w:space="0" w:color="FFFFFF"/>
              <w:right w:val="single" w:sz="4" w:space="0" w:color="FFFFFF"/>
            </w:tcBorders>
            <w:shd w:val="clear" w:color="auto" w:fill="E7E6E6" w:themeFill="background2"/>
            <w:noWrap/>
            <w:vAlign w:val="center"/>
            <w:hideMark/>
          </w:tcPr>
          <w:p w14:paraId="687281F3"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Concepto</w:t>
            </w:r>
          </w:p>
        </w:tc>
        <w:tc>
          <w:tcPr>
            <w:tcW w:w="0" w:type="auto"/>
            <w:vMerge w:val="restart"/>
            <w:tcBorders>
              <w:top w:val="nil"/>
              <w:left w:val="single" w:sz="4" w:space="0" w:color="FFFFFF"/>
              <w:bottom w:val="single" w:sz="4" w:space="0" w:color="FFFFFF"/>
              <w:right w:val="single" w:sz="4" w:space="0" w:color="FFFFFF"/>
            </w:tcBorders>
            <w:shd w:val="clear" w:color="auto" w:fill="E7E6E6" w:themeFill="background2"/>
            <w:vAlign w:val="center"/>
            <w:hideMark/>
          </w:tcPr>
          <w:p w14:paraId="0BF04815"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Período</w:t>
            </w:r>
          </w:p>
        </w:tc>
        <w:tc>
          <w:tcPr>
            <w:tcW w:w="0" w:type="auto"/>
            <w:gridSpan w:val="12"/>
            <w:tcBorders>
              <w:top w:val="nil"/>
              <w:left w:val="nil"/>
              <w:bottom w:val="single" w:sz="4" w:space="0" w:color="FFFFFF"/>
              <w:right w:val="single" w:sz="4" w:space="0" w:color="FFFFFF"/>
            </w:tcBorders>
            <w:shd w:val="clear" w:color="auto" w:fill="E7E6E6" w:themeFill="background2"/>
            <w:vAlign w:val="center"/>
            <w:hideMark/>
          </w:tcPr>
          <w:p w14:paraId="1C0A0A53"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Mes</w:t>
            </w:r>
          </w:p>
        </w:tc>
        <w:tc>
          <w:tcPr>
            <w:tcW w:w="0" w:type="auto"/>
            <w:vMerge w:val="restart"/>
            <w:tcBorders>
              <w:top w:val="nil"/>
              <w:left w:val="single" w:sz="4" w:space="0" w:color="FFFFFF"/>
              <w:bottom w:val="single" w:sz="4" w:space="0" w:color="BFBFBF"/>
              <w:right w:val="single" w:sz="4" w:space="0" w:color="BFBFBF"/>
            </w:tcBorders>
            <w:shd w:val="clear" w:color="auto" w:fill="E7E6E6" w:themeFill="background2"/>
            <w:vAlign w:val="center"/>
            <w:hideMark/>
          </w:tcPr>
          <w:p w14:paraId="483ACA93"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Año</w:t>
            </w:r>
          </w:p>
        </w:tc>
      </w:tr>
      <w:tr w:rsidR="00202049" w:rsidRPr="00F43258" w14:paraId="5B306555" w14:textId="77777777" w:rsidTr="000635AB">
        <w:trPr>
          <w:trHeight w:val="240"/>
        </w:trPr>
        <w:tc>
          <w:tcPr>
            <w:tcW w:w="0" w:type="auto"/>
            <w:vMerge/>
            <w:tcBorders>
              <w:top w:val="nil"/>
              <w:left w:val="single" w:sz="4" w:space="0" w:color="BFBFBF"/>
              <w:bottom w:val="single" w:sz="4" w:space="0" w:color="FFFFFF"/>
              <w:right w:val="single" w:sz="4" w:space="0" w:color="FFFFFF"/>
            </w:tcBorders>
            <w:vAlign w:val="center"/>
            <w:hideMark/>
          </w:tcPr>
          <w:p w14:paraId="7627E211" w14:textId="77777777" w:rsidR="00202049" w:rsidRPr="00F760B0" w:rsidRDefault="00202049" w:rsidP="00B205BA">
            <w:pPr>
              <w:spacing w:after="120" w:line="240" w:lineRule="auto"/>
              <w:rPr>
                <w:rFonts w:cs="Arial"/>
                <w:b/>
                <w:bCs/>
                <w:sz w:val="16"/>
                <w:szCs w:val="16"/>
                <w:lang w:eastAsia="es-MX"/>
              </w:rPr>
            </w:pPr>
          </w:p>
        </w:tc>
        <w:tc>
          <w:tcPr>
            <w:tcW w:w="0" w:type="auto"/>
            <w:vMerge/>
            <w:tcBorders>
              <w:top w:val="nil"/>
              <w:left w:val="single" w:sz="4" w:space="0" w:color="FFFFFF"/>
              <w:bottom w:val="single" w:sz="4" w:space="0" w:color="FFFFFF"/>
              <w:right w:val="single" w:sz="4" w:space="0" w:color="FFFFFF"/>
            </w:tcBorders>
            <w:vAlign w:val="center"/>
            <w:hideMark/>
          </w:tcPr>
          <w:p w14:paraId="73188D20" w14:textId="77777777" w:rsidR="00202049" w:rsidRPr="00F760B0" w:rsidRDefault="00202049" w:rsidP="00B205BA">
            <w:pPr>
              <w:spacing w:after="120" w:line="240" w:lineRule="auto"/>
              <w:rPr>
                <w:rFonts w:cs="Arial"/>
                <w:b/>
                <w:bCs/>
                <w:sz w:val="16"/>
                <w:szCs w:val="16"/>
                <w:lang w:eastAsia="es-MX"/>
              </w:rPr>
            </w:pPr>
          </w:p>
        </w:tc>
        <w:tc>
          <w:tcPr>
            <w:tcW w:w="0" w:type="auto"/>
            <w:tcBorders>
              <w:top w:val="nil"/>
              <w:left w:val="nil"/>
              <w:bottom w:val="nil"/>
              <w:right w:val="single" w:sz="4" w:space="0" w:color="FFFFFF"/>
            </w:tcBorders>
            <w:shd w:val="clear" w:color="auto" w:fill="E7E6E6" w:themeFill="background2"/>
            <w:vAlign w:val="center"/>
            <w:hideMark/>
          </w:tcPr>
          <w:p w14:paraId="0FEAF4A5"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E</w:t>
            </w:r>
          </w:p>
        </w:tc>
        <w:tc>
          <w:tcPr>
            <w:tcW w:w="0" w:type="auto"/>
            <w:tcBorders>
              <w:top w:val="nil"/>
              <w:left w:val="nil"/>
              <w:bottom w:val="nil"/>
              <w:right w:val="single" w:sz="4" w:space="0" w:color="FFFFFF"/>
            </w:tcBorders>
            <w:shd w:val="clear" w:color="auto" w:fill="E7E6E6" w:themeFill="background2"/>
            <w:vAlign w:val="center"/>
            <w:hideMark/>
          </w:tcPr>
          <w:p w14:paraId="43B826B2"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F</w:t>
            </w:r>
          </w:p>
        </w:tc>
        <w:tc>
          <w:tcPr>
            <w:tcW w:w="0" w:type="auto"/>
            <w:tcBorders>
              <w:top w:val="nil"/>
              <w:left w:val="nil"/>
              <w:bottom w:val="nil"/>
              <w:right w:val="single" w:sz="4" w:space="0" w:color="FFFFFF"/>
            </w:tcBorders>
            <w:shd w:val="clear" w:color="auto" w:fill="E7E6E6" w:themeFill="background2"/>
            <w:vAlign w:val="center"/>
            <w:hideMark/>
          </w:tcPr>
          <w:p w14:paraId="0AB162D1"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M</w:t>
            </w:r>
          </w:p>
        </w:tc>
        <w:tc>
          <w:tcPr>
            <w:tcW w:w="0" w:type="auto"/>
            <w:tcBorders>
              <w:top w:val="nil"/>
              <w:left w:val="nil"/>
              <w:bottom w:val="nil"/>
              <w:right w:val="single" w:sz="4" w:space="0" w:color="FFFFFF"/>
            </w:tcBorders>
            <w:shd w:val="clear" w:color="auto" w:fill="E7E6E6" w:themeFill="background2"/>
            <w:vAlign w:val="center"/>
            <w:hideMark/>
          </w:tcPr>
          <w:p w14:paraId="5228B1D5"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A</w:t>
            </w:r>
          </w:p>
        </w:tc>
        <w:tc>
          <w:tcPr>
            <w:tcW w:w="0" w:type="auto"/>
            <w:tcBorders>
              <w:top w:val="nil"/>
              <w:left w:val="nil"/>
              <w:bottom w:val="nil"/>
              <w:right w:val="single" w:sz="4" w:space="0" w:color="FFFFFF"/>
            </w:tcBorders>
            <w:shd w:val="clear" w:color="auto" w:fill="E7E6E6" w:themeFill="background2"/>
            <w:vAlign w:val="center"/>
            <w:hideMark/>
          </w:tcPr>
          <w:p w14:paraId="7E3B2446"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M</w:t>
            </w:r>
          </w:p>
        </w:tc>
        <w:tc>
          <w:tcPr>
            <w:tcW w:w="0" w:type="auto"/>
            <w:tcBorders>
              <w:top w:val="nil"/>
              <w:left w:val="nil"/>
              <w:bottom w:val="nil"/>
              <w:right w:val="single" w:sz="4" w:space="0" w:color="FFFFFF"/>
            </w:tcBorders>
            <w:shd w:val="clear" w:color="auto" w:fill="E7E6E6" w:themeFill="background2"/>
            <w:vAlign w:val="center"/>
            <w:hideMark/>
          </w:tcPr>
          <w:p w14:paraId="3DEB80D9"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J</w:t>
            </w:r>
          </w:p>
        </w:tc>
        <w:tc>
          <w:tcPr>
            <w:tcW w:w="0" w:type="auto"/>
            <w:tcBorders>
              <w:top w:val="nil"/>
              <w:left w:val="nil"/>
              <w:bottom w:val="nil"/>
              <w:right w:val="single" w:sz="4" w:space="0" w:color="FFFFFF"/>
            </w:tcBorders>
            <w:shd w:val="clear" w:color="auto" w:fill="E7E6E6" w:themeFill="background2"/>
            <w:vAlign w:val="center"/>
            <w:hideMark/>
          </w:tcPr>
          <w:p w14:paraId="0EBAE292"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J</w:t>
            </w:r>
          </w:p>
        </w:tc>
        <w:tc>
          <w:tcPr>
            <w:tcW w:w="0" w:type="auto"/>
            <w:tcBorders>
              <w:top w:val="nil"/>
              <w:left w:val="nil"/>
              <w:bottom w:val="nil"/>
              <w:right w:val="single" w:sz="4" w:space="0" w:color="FFFFFF"/>
            </w:tcBorders>
            <w:shd w:val="clear" w:color="auto" w:fill="E7E6E6" w:themeFill="background2"/>
            <w:vAlign w:val="center"/>
            <w:hideMark/>
          </w:tcPr>
          <w:p w14:paraId="3292B76F"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A</w:t>
            </w:r>
          </w:p>
        </w:tc>
        <w:tc>
          <w:tcPr>
            <w:tcW w:w="0" w:type="auto"/>
            <w:tcBorders>
              <w:top w:val="nil"/>
              <w:left w:val="nil"/>
              <w:bottom w:val="nil"/>
              <w:right w:val="single" w:sz="4" w:space="0" w:color="FFFFFF"/>
            </w:tcBorders>
            <w:shd w:val="clear" w:color="auto" w:fill="E7E6E6" w:themeFill="background2"/>
            <w:vAlign w:val="center"/>
            <w:hideMark/>
          </w:tcPr>
          <w:p w14:paraId="4193E03C"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S</w:t>
            </w:r>
          </w:p>
        </w:tc>
        <w:tc>
          <w:tcPr>
            <w:tcW w:w="0" w:type="auto"/>
            <w:tcBorders>
              <w:top w:val="nil"/>
              <w:left w:val="nil"/>
              <w:bottom w:val="nil"/>
              <w:right w:val="single" w:sz="4" w:space="0" w:color="FFFFFF"/>
            </w:tcBorders>
            <w:shd w:val="clear" w:color="auto" w:fill="E7E6E6" w:themeFill="background2"/>
            <w:vAlign w:val="center"/>
            <w:hideMark/>
          </w:tcPr>
          <w:p w14:paraId="610E3F80"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O</w:t>
            </w:r>
          </w:p>
        </w:tc>
        <w:tc>
          <w:tcPr>
            <w:tcW w:w="0" w:type="auto"/>
            <w:tcBorders>
              <w:top w:val="nil"/>
              <w:left w:val="nil"/>
              <w:bottom w:val="nil"/>
              <w:right w:val="single" w:sz="4" w:space="0" w:color="FFFFFF"/>
            </w:tcBorders>
            <w:shd w:val="clear" w:color="auto" w:fill="E7E6E6" w:themeFill="background2"/>
            <w:vAlign w:val="center"/>
            <w:hideMark/>
          </w:tcPr>
          <w:p w14:paraId="7AA70C4E"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N</w:t>
            </w:r>
          </w:p>
        </w:tc>
        <w:tc>
          <w:tcPr>
            <w:tcW w:w="0" w:type="auto"/>
            <w:tcBorders>
              <w:top w:val="nil"/>
              <w:left w:val="nil"/>
              <w:bottom w:val="nil"/>
              <w:right w:val="nil"/>
            </w:tcBorders>
            <w:shd w:val="clear" w:color="auto" w:fill="E7E6E6" w:themeFill="background2"/>
            <w:vAlign w:val="center"/>
            <w:hideMark/>
          </w:tcPr>
          <w:p w14:paraId="7590015F" w14:textId="77777777" w:rsidR="00202049" w:rsidRPr="00F760B0" w:rsidRDefault="00202049" w:rsidP="00B205BA">
            <w:pPr>
              <w:spacing w:after="120" w:line="240" w:lineRule="auto"/>
              <w:rPr>
                <w:rFonts w:cs="Arial"/>
                <w:b/>
                <w:bCs/>
                <w:sz w:val="16"/>
                <w:szCs w:val="16"/>
                <w:lang w:eastAsia="es-MX"/>
              </w:rPr>
            </w:pPr>
            <w:r w:rsidRPr="00F760B0">
              <w:rPr>
                <w:rFonts w:cs="Arial"/>
                <w:b/>
                <w:bCs/>
                <w:sz w:val="16"/>
                <w:szCs w:val="16"/>
                <w:lang w:eastAsia="es-MX"/>
              </w:rPr>
              <w:t>D</w:t>
            </w:r>
          </w:p>
        </w:tc>
        <w:tc>
          <w:tcPr>
            <w:tcW w:w="0" w:type="auto"/>
            <w:vMerge/>
            <w:tcBorders>
              <w:top w:val="nil"/>
              <w:left w:val="single" w:sz="4" w:space="0" w:color="FFFFFF"/>
              <w:bottom w:val="single" w:sz="4" w:space="0" w:color="BFBFBF"/>
              <w:right w:val="single" w:sz="4" w:space="0" w:color="BFBFBF"/>
            </w:tcBorders>
            <w:vAlign w:val="center"/>
            <w:hideMark/>
          </w:tcPr>
          <w:p w14:paraId="30918F3A" w14:textId="77777777" w:rsidR="00202049" w:rsidRPr="00F760B0" w:rsidRDefault="00202049" w:rsidP="00B205BA">
            <w:pPr>
              <w:spacing w:after="120" w:line="240" w:lineRule="auto"/>
              <w:rPr>
                <w:rFonts w:cs="Arial"/>
                <w:sz w:val="16"/>
                <w:szCs w:val="16"/>
                <w:lang w:eastAsia="es-MX"/>
              </w:rPr>
            </w:pPr>
          </w:p>
        </w:tc>
      </w:tr>
      <w:tr w:rsidR="00202049" w:rsidRPr="00F43258" w14:paraId="007BB9C4" w14:textId="77777777" w:rsidTr="000635AB">
        <w:trPr>
          <w:trHeight w:val="240"/>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AC4FBC"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Último año</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6F7BC1A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2014</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79C1F6A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19.0</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211FE7E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20.7</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600FE87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22.4</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5D56513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25.5</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537643A2"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28.8</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7B0D6E7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35.4</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4D5402E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33.8</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2AFF535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33.0</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202E30F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31.7</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271A2CB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28.1</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3231EA9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21.9</w:t>
            </w:r>
          </w:p>
        </w:tc>
        <w:tc>
          <w:tcPr>
            <w:tcW w:w="0" w:type="auto"/>
            <w:tcBorders>
              <w:top w:val="single" w:sz="4" w:space="0" w:color="BFBFBF"/>
              <w:left w:val="nil"/>
              <w:bottom w:val="single" w:sz="4" w:space="0" w:color="BFBFBF"/>
              <w:right w:val="single" w:sz="4" w:space="0" w:color="BFBFBF"/>
            </w:tcBorders>
            <w:shd w:val="clear" w:color="auto" w:fill="auto"/>
            <w:noWrap/>
            <w:vAlign w:val="center"/>
            <w:hideMark/>
          </w:tcPr>
          <w:p w14:paraId="40010CE7"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ND</w:t>
            </w:r>
          </w:p>
        </w:tc>
        <w:tc>
          <w:tcPr>
            <w:tcW w:w="0" w:type="auto"/>
            <w:tcBorders>
              <w:top w:val="nil"/>
              <w:left w:val="nil"/>
              <w:bottom w:val="single" w:sz="4" w:space="0" w:color="BFBFBF"/>
              <w:right w:val="single" w:sz="4" w:space="0" w:color="BFBFBF"/>
            </w:tcBorders>
            <w:shd w:val="clear" w:color="auto" w:fill="auto"/>
            <w:noWrap/>
            <w:vAlign w:val="center"/>
            <w:hideMark/>
          </w:tcPr>
          <w:p w14:paraId="0358CB4B"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27.3</w:t>
            </w:r>
          </w:p>
        </w:tc>
      </w:tr>
      <w:tr w:rsidR="00202049" w:rsidRPr="00F43258" w14:paraId="139E9718" w14:textId="77777777" w:rsidTr="000635AB">
        <w:trPr>
          <w:trHeight w:val="240"/>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25924C8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Promedio</w:t>
            </w:r>
          </w:p>
        </w:tc>
        <w:tc>
          <w:tcPr>
            <w:tcW w:w="0" w:type="auto"/>
            <w:tcBorders>
              <w:top w:val="nil"/>
              <w:left w:val="nil"/>
              <w:bottom w:val="single" w:sz="4" w:space="0" w:color="BFBFBF"/>
              <w:right w:val="single" w:sz="4" w:space="0" w:color="BFBFBF"/>
            </w:tcBorders>
            <w:shd w:val="clear" w:color="auto" w:fill="auto"/>
            <w:noWrap/>
            <w:vAlign w:val="center"/>
            <w:hideMark/>
          </w:tcPr>
          <w:p w14:paraId="788F877A"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De 1986 a 2014</w:t>
            </w:r>
          </w:p>
        </w:tc>
        <w:tc>
          <w:tcPr>
            <w:tcW w:w="0" w:type="auto"/>
            <w:tcBorders>
              <w:top w:val="nil"/>
              <w:left w:val="nil"/>
              <w:bottom w:val="single" w:sz="4" w:space="0" w:color="BFBFBF"/>
              <w:right w:val="single" w:sz="4" w:space="0" w:color="BFBFBF"/>
            </w:tcBorders>
            <w:shd w:val="clear" w:color="auto" w:fill="auto"/>
            <w:noWrap/>
            <w:vAlign w:val="center"/>
            <w:hideMark/>
          </w:tcPr>
          <w:p w14:paraId="354D38E3"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17.3</w:t>
            </w:r>
          </w:p>
        </w:tc>
        <w:tc>
          <w:tcPr>
            <w:tcW w:w="0" w:type="auto"/>
            <w:tcBorders>
              <w:top w:val="nil"/>
              <w:left w:val="nil"/>
              <w:bottom w:val="single" w:sz="4" w:space="0" w:color="BFBFBF"/>
              <w:right w:val="single" w:sz="4" w:space="0" w:color="BFBFBF"/>
            </w:tcBorders>
            <w:shd w:val="clear" w:color="auto" w:fill="auto"/>
            <w:noWrap/>
            <w:vAlign w:val="center"/>
            <w:hideMark/>
          </w:tcPr>
          <w:p w14:paraId="6E8C2B5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18.3</w:t>
            </w:r>
          </w:p>
        </w:tc>
        <w:tc>
          <w:tcPr>
            <w:tcW w:w="0" w:type="auto"/>
            <w:tcBorders>
              <w:top w:val="nil"/>
              <w:left w:val="nil"/>
              <w:bottom w:val="single" w:sz="4" w:space="0" w:color="BFBFBF"/>
              <w:right w:val="single" w:sz="4" w:space="0" w:color="BFBFBF"/>
            </w:tcBorders>
            <w:shd w:val="clear" w:color="auto" w:fill="auto"/>
            <w:noWrap/>
            <w:vAlign w:val="center"/>
            <w:hideMark/>
          </w:tcPr>
          <w:p w14:paraId="126872E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21.1</w:t>
            </w:r>
          </w:p>
        </w:tc>
        <w:tc>
          <w:tcPr>
            <w:tcW w:w="0" w:type="auto"/>
            <w:tcBorders>
              <w:top w:val="nil"/>
              <w:left w:val="nil"/>
              <w:bottom w:val="single" w:sz="4" w:space="0" w:color="BFBFBF"/>
              <w:right w:val="single" w:sz="4" w:space="0" w:color="BFBFBF"/>
            </w:tcBorders>
            <w:shd w:val="clear" w:color="auto" w:fill="auto"/>
            <w:noWrap/>
            <w:vAlign w:val="center"/>
            <w:hideMark/>
          </w:tcPr>
          <w:p w14:paraId="4C0C621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24.3</w:t>
            </w:r>
          </w:p>
        </w:tc>
        <w:tc>
          <w:tcPr>
            <w:tcW w:w="0" w:type="auto"/>
            <w:tcBorders>
              <w:top w:val="nil"/>
              <w:left w:val="nil"/>
              <w:bottom w:val="single" w:sz="4" w:space="0" w:color="BFBFBF"/>
              <w:right w:val="single" w:sz="4" w:space="0" w:color="BFBFBF"/>
            </w:tcBorders>
            <w:shd w:val="clear" w:color="auto" w:fill="auto"/>
            <w:noWrap/>
            <w:vAlign w:val="center"/>
            <w:hideMark/>
          </w:tcPr>
          <w:p w14:paraId="121B7D86"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28.0</w:t>
            </w:r>
          </w:p>
        </w:tc>
        <w:tc>
          <w:tcPr>
            <w:tcW w:w="0" w:type="auto"/>
            <w:tcBorders>
              <w:top w:val="nil"/>
              <w:left w:val="nil"/>
              <w:bottom w:val="single" w:sz="4" w:space="0" w:color="BFBFBF"/>
              <w:right w:val="single" w:sz="4" w:space="0" w:color="BFBFBF"/>
            </w:tcBorders>
            <w:shd w:val="clear" w:color="auto" w:fill="auto"/>
            <w:noWrap/>
            <w:vAlign w:val="center"/>
            <w:hideMark/>
          </w:tcPr>
          <w:p w14:paraId="43AB328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32.3</w:t>
            </w:r>
          </w:p>
        </w:tc>
        <w:tc>
          <w:tcPr>
            <w:tcW w:w="0" w:type="auto"/>
            <w:tcBorders>
              <w:top w:val="nil"/>
              <w:left w:val="nil"/>
              <w:bottom w:val="single" w:sz="4" w:space="0" w:color="BFBFBF"/>
              <w:right w:val="single" w:sz="4" w:space="0" w:color="BFBFBF"/>
            </w:tcBorders>
            <w:shd w:val="clear" w:color="auto" w:fill="auto"/>
            <w:noWrap/>
            <w:vAlign w:val="center"/>
            <w:hideMark/>
          </w:tcPr>
          <w:p w14:paraId="19BD5AE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32.9</w:t>
            </w:r>
          </w:p>
        </w:tc>
        <w:tc>
          <w:tcPr>
            <w:tcW w:w="0" w:type="auto"/>
            <w:tcBorders>
              <w:top w:val="nil"/>
              <w:left w:val="nil"/>
              <w:bottom w:val="single" w:sz="4" w:space="0" w:color="BFBFBF"/>
              <w:right w:val="single" w:sz="4" w:space="0" w:color="BFBFBF"/>
            </w:tcBorders>
            <w:shd w:val="clear" w:color="auto" w:fill="auto"/>
            <w:noWrap/>
            <w:vAlign w:val="center"/>
            <w:hideMark/>
          </w:tcPr>
          <w:p w14:paraId="10541F5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32.2</w:t>
            </w:r>
          </w:p>
        </w:tc>
        <w:tc>
          <w:tcPr>
            <w:tcW w:w="0" w:type="auto"/>
            <w:tcBorders>
              <w:top w:val="nil"/>
              <w:left w:val="nil"/>
              <w:bottom w:val="single" w:sz="4" w:space="0" w:color="BFBFBF"/>
              <w:right w:val="single" w:sz="4" w:space="0" w:color="BFBFBF"/>
            </w:tcBorders>
            <w:shd w:val="clear" w:color="auto" w:fill="auto"/>
            <w:noWrap/>
            <w:vAlign w:val="center"/>
            <w:hideMark/>
          </w:tcPr>
          <w:p w14:paraId="0642150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31.2</w:t>
            </w:r>
          </w:p>
        </w:tc>
        <w:tc>
          <w:tcPr>
            <w:tcW w:w="0" w:type="auto"/>
            <w:tcBorders>
              <w:top w:val="nil"/>
              <w:left w:val="nil"/>
              <w:bottom w:val="single" w:sz="4" w:space="0" w:color="BFBFBF"/>
              <w:right w:val="single" w:sz="4" w:space="0" w:color="BFBFBF"/>
            </w:tcBorders>
            <w:shd w:val="clear" w:color="auto" w:fill="auto"/>
            <w:noWrap/>
            <w:vAlign w:val="center"/>
            <w:hideMark/>
          </w:tcPr>
          <w:p w14:paraId="302DACF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27.1</w:t>
            </w:r>
          </w:p>
        </w:tc>
        <w:tc>
          <w:tcPr>
            <w:tcW w:w="0" w:type="auto"/>
            <w:tcBorders>
              <w:top w:val="nil"/>
              <w:left w:val="nil"/>
              <w:bottom w:val="single" w:sz="4" w:space="0" w:color="BFBFBF"/>
              <w:right w:val="single" w:sz="4" w:space="0" w:color="BFBFBF"/>
            </w:tcBorders>
            <w:shd w:val="clear" w:color="auto" w:fill="auto"/>
            <w:noWrap/>
            <w:vAlign w:val="center"/>
            <w:hideMark/>
          </w:tcPr>
          <w:p w14:paraId="63528B5A"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21.5</w:t>
            </w:r>
          </w:p>
        </w:tc>
        <w:tc>
          <w:tcPr>
            <w:tcW w:w="0" w:type="auto"/>
            <w:tcBorders>
              <w:top w:val="nil"/>
              <w:left w:val="nil"/>
              <w:bottom w:val="single" w:sz="4" w:space="0" w:color="BFBFBF"/>
              <w:right w:val="single" w:sz="4" w:space="0" w:color="BFBFBF"/>
            </w:tcBorders>
            <w:shd w:val="clear" w:color="auto" w:fill="auto"/>
            <w:noWrap/>
            <w:vAlign w:val="center"/>
            <w:hideMark/>
          </w:tcPr>
          <w:p w14:paraId="70B8D7EE"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16.7</w:t>
            </w:r>
          </w:p>
        </w:tc>
        <w:tc>
          <w:tcPr>
            <w:tcW w:w="0" w:type="auto"/>
            <w:tcBorders>
              <w:top w:val="nil"/>
              <w:left w:val="nil"/>
              <w:bottom w:val="single" w:sz="4" w:space="0" w:color="BFBFBF"/>
              <w:right w:val="single" w:sz="4" w:space="0" w:color="BFBFBF"/>
            </w:tcBorders>
            <w:shd w:val="clear" w:color="auto" w:fill="auto"/>
            <w:noWrap/>
            <w:vAlign w:val="center"/>
            <w:hideMark/>
          </w:tcPr>
          <w:p w14:paraId="7E40B64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25.2</w:t>
            </w:r>
          </w:p>
        </w:tc>
      </w:tr>
      <w:tr w:rsidR="00202049" w:rsidRPr="00F43258" w14:paraId="2F263C2A" w14:textId="77777777" w:rsidTr="000635AB">
        <w:trPr>
          <w:trHeight w:val="240"/>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4617359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Año más frío</w:t>
            </w:r>
          </w:p>
        </w:tc>
        <w:tc>
          <w:tcPr>
            <w:tcW w:w="0" w:type="auto"/>
            <w:tcBorders>
              <w:top w:val="nil"/>
              <w:left w:val="nil"/>
              <w:bottom w:val="single" w:sz="4" w:space="0" w:color="BFBFBF"/>
              <w:right w:val="single" w:sz="4" w:space="0" w:color="BFBFBF"/>
            </w:tcBorders>
            <w:shd w:val="clear" w:color="auto" w:fill="auto"/>
            <w:noWrap/>
            <w:vAlign w:val="center"/>
            <w:hideMark/>
          </w:tcPr>
          <w:p w14:paraId="036F6202"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1991</w:t>
            </w:r>
          </w:p>
        </w:tc>
        <w:tc>
          <w:tcPr>
            <w:tcW w:w="0" w:type="auto"/>
            <w:tcBorders>
              <w:top w:val="nil"/>
              <w:left w:val="nil"/>
              <w:bottom w:val="single" w:sz="4" w:space="0" w:color="BFBFBF"/>
              <w:right w:val="single" w:sz="4" w:space="0" w:color="BFBFBF"/>
            </w:tcBorders>
            <w:shd w:val="clear" w:color="auto" w:fill="auto"/>
            <w:noWrap/>
            <w:vAlign w:val="center"/>
            <w:hideMark/>
          </w:tcPr>
          <w:p w14:paraId="630FA823"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15.8</w:t>
            </w:r>
          </w:p>
        </w:tc>
        <w:tc>
          <w:tcPr>
            <w:tcW w:w="0" w:type="auto"/>
            <w:tcBorders>
              <w:top w:val="nil"/>
              <w:left w:val="nil"/>
              <w:bottom w:val="single" w:sz="4" w:space="0" w:color="BFBFBF"/>
              <w:right w:val="single" w:sz="4" w:space="0" w:color="BFBFBF"/>
            </w:tcBorders>
            <w:shd w:val="clear" w:color="auto" w:fill="auto"/>
            <w:noWrap/>
            <w:vAlign w:val="center"/>
            <w:hideMark/>
          </w:tcPr>
          <w:p w14:paraId="6AB2368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19.0</w:t>
            </w:r>
          </w:p>
        </w:tc>
        <w:tc>
          <w:tcPr>
            <w:tcW w:w="0" w:type="auto"/>
            <w:tcBorders>
              <w:top w:val="nil"/>
              <w:left w:val="nil"/>
              <w:bottom w:val="single" w:sz="4" w:space="0" w:color="BFBFBF"/>
              <w:right w:val="single" w:sz="4" w:space="0" w:color="BFBFBF"/>
            </w:tcBorders>
            <w:shd w:val="clear" w:color="auto" w:fill="auto"/>
            <w:noWrap/>
            <w:vAlign w:val="center"/>
            <w:hideMark/>
          </w:tcPr>
          <w:p w14:paraId="51E1F35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17.9</w:t>
            </w:r>
          </w:p>
        </w:tc>
        <w:tc>
          <w:tcPr>
            <w:tcW w:w="0" w:type="auto"/>
            <w:tcBorders>
              <w:top w:val="nil"/>
              <w:left w:val="nil"/>
              <w:bottom w:val="single" w:sz="4" w:space="0" w:color="BFBFBF"/>
              <w:right w:val="single" w:sz="4" w:space="0" w:color="BFBFBF"/>
            </w:tcBorders>
            <w:shd w:val="clear" w:color="auto" w:fill="auto"/>
            <w:noWrap/>
            <w:vAlign w:val="center"/>
            <w:hideMark/>
          </w:tcPr>
          <w:p w14:paraId="6442245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22.6</w:t>
            </w:r>
          </w:p>
        </w:tc>
        <w:tc>
          <w:tcPr>
            <w:tcW w:w="0" w:type="auto"/>
            <w:tcBorders>
              <w:top w:val="nil"/>
              <w:left w:val="nil"/>
              <w:bottom w:val="single" w:sz="4" w:space="0" w:color="BFBFBF"/>
              <w:right w:val="single" w:sz="4" w:space="0" w:color="BFBFBF"/>
            </w:tcBorders>
            <w:shd w:val="clear" w:color="auto" w:fill="auto"/>
            <w:noWrap/>
            <w:vAlign w:val="center"/>
            <w:hideMark/>
          </w:tcPr>
          <w:p w14:paraId="587899C8"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25.7</w:t>
            </w:r>
          </w:p>
        </w:tc>
        <w:tc>
          <w:tcPr>
            <w:tcW w:w="0" w:type="auto"/>
            <w:tcBorders>
              <w:top w:val="nil"/>
              <w:left w:val="nil"/>
              <w:bottom w:val="single" w:sz="4" w:space="0" w:color="BFBFBF"/>
              <w:right w:val="single" w:sz="4" w:space="0" w:color="BFBFBF"/>
            </w:tcBorders>
            <w:shd w:val="clear" w:color="auto" w:fill="auto"/>
            <w:noWrap/>
            <w:vAlign w:val="center"/>
            <w:hideMark/>
          </w:tcPr>
          <w:p w14:paraId="25B083B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29.9</w:t>
            </w:r>
          </w:p>
        </w:tc>
        <w:tc>
          <w:tcPr>
            <w:tcW w:w="0" w:type="auto"/>
            <w:tcBorders>
              <w:top w:val="nil"/>
              <w:left w:val="nil"/>
              <w:bottom w:val="single" w:sz="4" w:space="0" w:color="BFBFBF"/>
              <w:right w:val="single" w:sz="4" w:space="0" w:color="BFBFBF"/>
            </w:tcBorders>
            <w:shd w:val="clear" w:color="auto" w:fill="auto"/>
            <w:noWrap/>
            <w:vAlign w:val="center"/>
            <w:hideMark/>
          </w:tcPr>
          <w:p w14:paraId="7FBAF40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31.8</w:t>
            </w:r>
          </w:p>
        </w:tc>
        <w:tc>
          <w:tcPr>
            <w:tcW w:w="0" w:type="auto"/>
            <w:tcBorders>
              <w:top w:val="nil"/>
              <w:left w:val="nil"/>
              <w:bottom w:val="single" w:sz="4" w:space="0" w:color="BFBFBF"/>
              <w:right w:val="single" w:sz="4" w:space="0" w:color="BFBFBF"/>
            </w:tcBorders>
            <w:shd w:val="clear" w:color="auto" w:fill="auto"/>
            <w:noWrap/>
            <w:vAlign w:val="center"/>
            <w:hideMark/>
          </w:tcPr>
          <w:p w14:paraId="4231835E"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31.7</w:t>
            </w:r>
          </w:p>
        </w:tc>
        <w:tc>
          <w:tcPr>
            <w:tcW w:w="0" w:type="auto"/>
            <w:tcBorders>
              <w:top w:val="nil"/>
              <w:left w:val="nil"/>
              <w:bottom w:val="single" w:sz="4" w:space="0" w:color="BFBFBF"/>
              <w:right w:val="single" w:sz="4" w:space="0" w:color="BFBFBF"/>
            </w:tcBorders>
            <w:shd w:val="clear" w:color="auto" w:fill="auto"/>
            <w:noWrap/>
            <w:vAlign w:val="center"/>
            <w:hideMark/>
          </w:tcPr>
          <w:p w14:paraId="008995A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30.1</w:t>
            </w:r>
          </w:p>
        </w:tc>
        <w:tc>
          <w:tcPr>
            <w:tcW w:w="0" w:type="auto"/>
            <w:tcBorders>
              <w:top w:val="nil"/>
              <w:left w:val="nil"/>
              <w:bottom w:val="single" w:sz="4" w:space="0" w:color="BFBFBF"/>
              <w:right w:val="single" w:sz="4" w:space="0" w:color="BFBFBF"/>
            </w:tcBorders>
            <w:shd w:val="clear" w:color="auto" w:fill="auto"/>
            <w:noWrap/>
            <w:vAlign w:val="center"/>
            <w:hideMark/>
          </w:tcPr>
          <w:p w14:paraId="393FD03C"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27.9</w:t>
            </w:r>
          </w:p>
        </w:tc>
        <w:tc>
          <w:tcPr>
            <w:tcW w:w="0" w:type="auto"/>
            <w:tcBorders>
              <w:top w:val="nil"/>
              <w:left w:val="nil"/>
              <w:bottom w:val="single" w:sz="4" w:space="0" w:color="BFBFBF"/>
              <w:right w:val="single" w:sz="4" w:space="0" w:color="BFBFBF"/>
            </w:tcBorders>
            <w:shd w:val="clear" w:color="auto" w:fill="auto"/>
            <w:noWrap/>
            <w:vAlign w:val="center"/>
            <w:hideMark/>
          </w:tcPr>
          <w:p w14:paraId="60246516"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20.3</w:t>
            </w:r>
          </w:p>
        </w:tc>
        <w:tc>
          <w:tcPr>
            <w:tcW w:w="0" w:type="auto"/>
            <w:tcBorders>
              <w:top w:val="nil"/>
              <w:left w:val="nil"/>
              <w:bottom w:val="single" w:sz="4" w:space="0" w:color="BFBFBF"/>
              <w:right w:val="single" w:sz="4" w:space="0" w:color="BFBFBF"/>
            </w:tcBorders>
            <w:shd w:val="clear" w:color="auto" w:fill="auto"/>
            <w:noWrap/>
            <w:vAlign w:val="center"/>
            <w:hideMark/>
          </w:tcPr>
          <w:p w14:paraId="6F46F9B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15.9</w:t>
            </w:r>
          </w:p>
        </w:tc>
        <w:tc>
          <w:tcPr>
            <w:tcW w:w="0" w:type="auto"/>
            <w:tcBorders>
              <w:top w:val="nil"/>
              <w:left w:val="nil"/>
              <w:bottom w:val="single" w:sz="4" w:space="0" w:color="BFBFBF"/>
              <w:right w:val="single" w:sz="4" w:space="0" w:color="BFBFBF"/>
            </w:tcBorders>
            <w:shd w:val="clear" w:color="auto" w:fill="auto"/>
            <w:noWrap/>
            <w:vAlign w:val="center"/>
            <w:hideMark/>
          </w:tcPr>
          <w:p w14:paraId="10E7FECA"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24.1</w:t>
            </w:r>
          </w:p>
        </w:tc>
      </w:tr>
      <w:tr w:rsidR="00202049" w:rsidRPr="00F43258" w14:paraId="4069699D" w14:textId="77777777" w:rsidTr="000635AB">
        <w:trPr>
          <w:trHeight w:val="240"/>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68DED43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Año más caluroso</w:t>
            </w:r>
          </w:p>
        </w:tc>
        <w:tc>
          <w:tcPr>
            <w:tcW w:w="0" w:type="auto"/>
            <w:tcBorders>
              <w:top w:val="nil"/>
              <w:left w:val="nil"/>
              <w:bottom w:val="single" w:sz="4" w:space="0" w:color="BFBFBF"/>
              <w:right w:val="single" w:sz="4" w:space="0" w:color="BFBFBF"/>
            </w:tcBorders>
            <w:shd w:val="clear" w:color="auto" w:fill="auto"/>
            <w:noWrap/>
            <w:vAlign w:val="center"/>
            <w:hideMark/>
          </w:tcPr>
          <w:p w14:paraId="47816F8B"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2014</w:t>
            </w:r>
          </w:p>
        </w:tc>
        <w:tc>
          <w:tcPr>
            <w:tcW w:w="0" w:type="auto"/>
            <w:tcBorders>
              <w:top w:val="nil"/>
              <w:left w:val="nil"/>
              <w:bottom w:val="single" w:sz="4" w:space="0" w:color="BFBFBF"/>
              <w:right w:val="single" w:sz="4" w:space="0" w:color="BFBFBF"/>
            </w:tcBorders>
            <w:shd w:val="clear" w:color="auto" w:fill="auto"/>
            <w:noWrap/>
            <w:vAlign w:val="center"/>
            <w:hideMark/>
          </w:tcPr>
          <w:p w14:paraId="4BA10E9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19.0</w:t>
            </w:r>
          </w:p>
        </w:tc>
        <w:tc>
          <w:tcPr>
            <w:tcW w:w="0" w:type="auto"/>
            <w:tcBorders>
              <w:top w:val="nil"/>
              <w:left w:val="nil"/>
              <w:bottom w:val="single" w:sz="4" w:space="0" w:color="BFBFBF"/>
              <w:right w:val="single" w:sz="4" w:space="0" w:color="BFBFBF"/>
            </w:tcBorders>
            <w:shd w:val="clear" w:color="auto" w:fill="auto"/>
            <w:noWrap/>
            <w:vAlign w:val="center"/>
            <w:hideMark/>
          </w:tcPr>
          <w:p w14:paraId="7CB9DB0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20.7</w:t>
            </w:r>
          </w:p>
        </w:tc>
        <w:tc>
          <w:tcPr>
            <w:tcW w:w="0" w:type="auto"/>
            <w:tcBorders>
              <w:top w:val="nil"/>
              <w:left w:val="nil"/>
              <w:bottom w:val="single" w:sz="4" w:space="0" w:color="BFBFBF"/>
              <w:right w:val="single" w:sz="4" w:space="0" w:color="BFBFBF"/>
            </w:tcBorders>
            <w:shd w:val="clear" w:color="auto" w:fill="auto"/>
            <w:noWrap/>
            <w:vAlign w:val="center"/>
            <w:hideMark/>
          </w:tcPr>
          <w:p w14:paraId="01144E0C"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22.4</w:t>
            </w:r>
          </w:p>
        </w:tc>
        <w:tc>
          <w:tcPr>
            <w:tcW w:w="0" w:type="auto"/>
            <w:tcBorders>
              <w:top w:val="nil"/>
              <w:left w:val="nil"/>
              <w:bottom w:val="single" w:sz="4" w:space="0" w:color="BFBFBF"/>
              <w:right w:val="single" w:sz="4" w:space="0" w:color="BFBFBF"/>
            </w:tcBorders>
            <w:shd w:val="clear" w:color="auto" w:fill="auto"/>
            <w:noWrap/>
            <w:vAlign w:val="center"/>
            <w:hideMark/>
          </w:tcPr>
          <w:p w14:paraId="0302E653"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25.5</w:t>
            </w:r>
          </w:p>
        </w:tc>
        <w:tc>
          <w:tcPr>
            <w:tcW w:w="0" w:type="auto"/>
            <w:tcBorders>
              <w:top w:val="nil"/>
              <w:left w:val="nil"/>
              <w:bottom w:val="single" w:sz="4" w:space="0" w:color="BFBFBF"/>
              <w:right w:val="single" w:sz="4" w:space="0" w:color="BFBFBF"/>
            </w:tcBorders>
            <w:shd w:val="clear" w:color="auto" w:fill="auto"/>
            <w:noWrap/>
            <w:vAlign w:val="center"/>
            <w:hideMark/>
          </w:tcPr>
          <w:p w14:paraId="214AA7F7"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28.8</w:t>
            </w:r>
          </w:p>
        </w:tc>
        <w:tc>
          <w:tcPr>
            <w:tcW w:w="0" w:type="auto"/>
            <w:tcBorders>
              <w:top w:val="nil"/>
              <w:left w:val="nil"/>
              <w:bottom w:val="single" w:sz="4" w:space="0" w:color="BFBFBF"/>
              <w:right w:val="single" w:sz="4" w:space="0" w:color="BFBFBF"/>
            </w:tcBorders>
            <w:shd w:val="clear" w:color="auto" w:fill="auto"/>
            <w:noWrap/>
            <w:vAlign w:val="center"/>
            <w:hideMark/>
          </w:tcPr>
          <w:p w14:paraId="481A7B58"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35.4</w:t>
            </w:r>
          </w:p>
        </w:tc>
        <w:tc>
          <w:tcPr>
            <w:tcW w:w="0" w:type="auto"/>
            <w:tcBorders>
              <w:top w:val="nil"/>
              <w:left w:val="nil"/>
              <w:bottom w:val="single" w:sz="4" w:space="0" w:color="BFBFBF"/>
              <w:right w:val="single" w:sz="4" w:space="0" w:color="BFBFBF"/>
            </w:tcBorders>
            <w:shd w:val="clear" w:color="auto" w:fill="auto"/>
            <w:noWrap/>
            <w:vAlign w:val="center"/>
            <w:hideMark/>
          </w:tcPr>
          <w:p w14:paraId="3AFAAA8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33.8</w:t>
            </w:r>
          </w:p>
        </w:tc>
        <w:tc>
          <w:tcPr>
            <w:tcW w:w="0" w:type="auto"/>
            <w:tcBorders>
              <w:top w:val="nil"/>
              <w:left w:val="nil"/>
              <w:bottom w:val="single" w:sz="4" w:space="0" w:color="BFBFBF"/>
              <w:right w:val="single" w:sz="4" w:space="0" w:color="BFBFBF"/>
            </w:tcBorders>
            <w:shd w:val="clear" w:color="auto" w:fill="auto"/>
            <w:noWrap/>
            <w:vAlign w:val="center"/>
            <w:hideMark/>
          </w:tcPr>
          <w:p w14:paraId="3D6D178C"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33.0</w:t>
            </w:r>
          </w:p>
        </w:tc>
        <w:tc>
          <w:tcPr>
            <w:tcW w:w="0" w:type="auto"/>
            <w:tcBorders>
              <w:top w:val="nil"/>
              <w:left w:val="nil"/>
              <w:bottom w:val="single" w:sz="4" w:space="0" w:color="BFBFBF"/>
              <w:right w:val="single" w:sz="4" w:space="0" w:color="BFBFBF"/>
            </w:tcBorders>
            <w:shd w:val="clear" w:color="auto" w:fill="auto"/>
            <w:noWrap/>
            <w:vAlign w:val="center"/>
            <w:hideMark/>
          </w:tcPr>
          <w:p w14:paraId="1D2D1E2B"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31.7</w:t>
            </w:r>
          </w:p>
        </w:tc>
        <w:tc>
          <w:tcPr>
            <w:tcW w:w="0" w:type="auto"/>
            <w:tcBorders>
              <w:top w:val="nil"/>
              <w:left w:val="nil"/>
              <w:bottom w:val="single" w:sz="4" w:space="0" w:color="BFBFBF"/>
              <w:right w:val="single" w:sz="4" w:space="0" w:color="BFBFBF"/>
            </w:tcBorders>
            <w:shd w:val="clear" w:color="auto" w:fill="auto"/>
            <w:noWrap/>
            <w:vAlign w:val="center"/>
            <w:hideMark/>
          </w:tcPr>
          <w:p w14:paraId="66EB15F6"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28.1</w:t>
            </w:r>
          </w:p>
        </w:tc>
        <w:tc>
          <w:tcPr>
            <w:tcW w:w="0" w:type="auto"/>
            <w:tcBorders>
              <w:top w:val="nil"/>
              <w:left w:val="nil"/>
              <w:bottom w:val="single" w:sz="4" w:space="0" w:color="BFBFBF"/>
              <w:right w:val="single" w:sz="4" w:space="0" w:color="BFBFBF"/>
            </w:tcBorders>
            <w:shd w:val="clear" w:color="auto" w:fill="auto"/>
            <w:noWrap/>
            <w:vAlign w:val="center"/>
            <w:hideMark/>
          </w:tcPr>
          <w:p w14:paraId="63B65D00"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21.9</w:t>
            </w:r>
          </w:p>
        </w:tc>
        <w:tc>
          <w:tcPr>
            <w:tcW w:w="0" w:type="auto"/>
            <w:tcBorders>
              <w:top w:val="nil"/>
              <w:left w:val="nil"/>
              <w:bottom w:val="single" w:sz="4" w:space="0" w:color="BFBFBF"/>
              <w:right w:val="single" w:sz="4" w:space="0" w:color="BFBFBF"/>
            </w:tcBorders>
            <w:shd w:val="clear" w:color="auto" w:fill="auto"/>
            <w:noWrap/>
            <w:vAlign w:val="center"/>
            <w:hideMark/>
          </w:tcPr>
          <w:p w14:paraId="661AB2A6"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ND</w:t>
            </w:r>
          </w:p>
        </w:tc>
        <w:tc>
          <w:tcPr>
            <w:tcW w:w="0" w:type="auto"/>
            <w:tcBorders>
              <w:top w:val="nil"/>
              <w:left w:val="nil"/>
              <w:bottom w:val="single" w:sz="4" w:space="0" w:color="BFBFBF"/>
              <w:right w:val="single" w:sz="4" w:space="0" w:color="BFBFBF"/>
            </w:tcBorders>
            <w:shd w:val="clear" w:color="auto" w:fill="auto"/>
            <w:noWrap/>
            <w:vAlign w:val="center"/>
            <w:hideMark/>
          </w:tcPr>
          <w:p w14:paraId="2944687E"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27.3</w:t>
            </w:r>
          </w:p>
        </w:tc>
      </w:tr>
    </w:tbl>
    <w:p w14:paraId="27057C96" w14:textId="77777777" w:rsidR="00202049" w:rsidRPr="00F760B0" w:rsidRDefault="00202049" w:rsidP="00B205BA">
      <w:pPr>
        <w:spacing w:after="120" w:line="240" w:lineRule="auto"/>
        <w:rPr>
          <w:rFonts w:eastAsia="Calibri" w:cs="Arial"/>
          <w:sz w:val="16"/>
          <w:szCs w:val="16"/>
        </w:rPr>
      </w:pPr>
      <w:r w:rsidRPr="00F760B0">
        <w:rPr>
          <w:rFonts w:eastAsia="Calibri" w:cs="Arial"/>
          <w:sz w:val="16"/>
          <w:szCs w:val="16"/>
        </w:rPr>
        <w:t>Fuente: Comisión Nacional del Agua (CONAGUA). Registro Mensual de Temperatura Media en ºC.</w:t>
      </w:r>
    </w:p>
    <w:p w14:paraId="7240A356" w14:textId="77777777" w:rsidR="00F760B0" w:rsidRPr="00F43258" w:rsidRDefault="00F760B0" w:rsidP="00B205BA">
      <w:pPr>
        <w:spacing w:after="120" w:line="240" w:lineRule="auto"/>
        <w:rPr>
          <w:rFonts w:cs="Arial"/>
        </w:rPr>
      </w:pPr>
    </w:p>
    <w:p w14:paraId="6505BF4E" w14:textId="0251211B" w:rsidR="00202049" w:rsidRPr="00B205BA" w:rsidRDefault="00202049" w:rsidP="00B205BA">
      <w:pPr>
        <w:spacing w:after="120" w:line="240" w:lineRule="auto"/>
        <w:rPr>
          <w:rFonts w:eastAsia="Calibri" w:cs="Arial"/>
          <w:b/>
          <w:bCs/>
        </w:rPr>
      </w:pPr>
      <w:r w:rsidRPr="00B205BA">
        <w:rPr>
          <w:rFonts w:eastAsia="Calibri" w:cs="Arial"/>
          <w:b/>
          <w:bCs/>
        </w:rPr>
        <w:t>Precipitación Pluvial</w:t>
      </w:r>
      <w:r w:rsidR="00261A27" w:rsidRPr="00B205BA">
        <w:rPr>
          <w:rFonts w:eastAsia="Calibri" w:cs="Arial"/>
          <w:b/>
          <w:bCs/>
        </w:rPr>
        <w:t>.</w:t>
      </w:r>
    </w:p>
    <w:p w14:paraId="2888FFD5" w14:textId="77777777" w:rsidR="00202049" w:rsidRPr="00F43258" w:rsidRDefault="00202049" w:rsidP="00B205BA">
      <w:pPr>
        <w:spacing w:after="120" w:line="240" w:lineRule="auto"/>
        <w:rPr>
          <w:rFonts w:eastAsia="Calibri" w:cs="Arial"/>
        </w:rPr>
      </w:pPr>
      <w:r w:rsidRPr="00F43258">
        <w:rPr>
          <w:rFonts w:eastAsia="Calibri" w:cs="Arial"/>
        </w:rPr>
        <w:t>El régimen de lluvias en la región costera se presenta en los meses de junio, julio, agosto y septiembre, con una precipitación pluvial de 75 a 200 milímetros.</w:t>
      </w:r>
    </w:p>
    <w:p w14:paraId="2E4878D3" w14:textId="04767D01" w:rsidR="00160DC6" w:rsidRDefault="00202049" w:rsidP="00B205BA">
      <w:pPr>
        <w:spacing w:after="120" w:line="240" w:lineRule="auto"/>
        <w:rPr>
          <w:rFonts w:eastAsia="Calibri" w:cs="Arial"/>
        </w:rPr>
      </w:pPr>
      <w:r w:rsidRPr="00F43258">
        <w:rPr>
          <w:rFonts w:eastAsia="Calibri" w:cs="Arial"/>
        </w:rPr>
        <w:t xml:space="preserve">Las lluvias en el resto del municipio se presentan en verano, con una precipitación pluvial de entre 300 y 400 milímetros. </w:t>
      </w:r>
    </w:p>
    <w:p w14:paraId="710BE0AC" w14:textId="32CAF936" w:rsidR="00160DC6" w:rsidRDefault="00160DC6" w:rsidP="00B205BA">
      <w:pPr>
        <w:spacing w:after="120" w:line="240" w:lineRule="auto"/>
        <w:rPr>
          <w:rFonts w:eastAsia="Calibri" w:cs="Arial"/>
        </w:rPr>
      </w:pPr>
    </w:p>
    <w:p w14:paraId="2FC749D6" w14:textId="77777777" w:rsidR="00F760B0" w:rsidRDefault="00F760B0" w:rsidP="00B205BA">
      <w:pPr>
        <w:spacing w:after="120" w:line="240" w:lineRule="auto"/>
        <w:rPr>
          <w:rFonts w:eastAsia="Calibri" w:cs="Arial"/>
        </w:rPr>
      </w:pPr>
    </w:p>
    <w:p w14:paraId="27739079" w14:textId="77777777" w:rsidR="0062376D" w:rsidRPr="00F43258" w:rsidRDefault="0062376D" w:rsidP="00B205BA">
      <w:pPr>
        <w:spacing w:after="120" w:line="240" w:lineRule="auto"/>
        <w:rPr>
          <w:rFonts w:eastAsia="Calibri" w:cs="Arial"/>
        </w:rPr>
      </w:pPr>
    </w:p>
    <w:p w14:paraId="5F9A89D9" w14:textId="3609401A" w:rsidR="00261A27" w:rsidRPr="00F43258" w:rsidRDefault="0062376D" w:rsidP="00B205BA">
      <w:pPr>
        <w:spacing w:after="120" w:line="240" w:lineRule="auto"/>
        <w:rPr>
          <w:rFonts w:eastAsia="Calibri" w:cs="Arial"/>
          <w:b/>
          <w:bCs/>
        </w:rPr>
      </w:pPr>
      <w:r w:rsidRPr="00F43258">
        <w:rPr>
          <w:rFonts w:eastAsia="Calibri" w:cs="Arial"/>
          <w:b/>
          <w:bCs/>
        </w:rPr>
        <w:lastRenderedPageBreak/>
        <w:t>TABLA 4. PRECIPITACIÓN TOTAL MENSUAL EN HERMOSILLO (MILÍMETROS)</w:t>
      </w:r>
      <w:r w:rsidR="00C70FEC">
        <w:rPr>
          <w:rFonts w:eastAsia="Calibri" w:cs="Arial"/>
          <w:b/>
          <w:bCs/>
        </w:rPr>
        <w:t>.</w:t>
      </w:r>
    </w:p>
    <w:tbl>
      <w:tblPr>
        <w:tblW w:w="5296" w:type="pct"/>
        <w:tblLayout w:type="fixed"/>
        <w:tblCellMar>
          <w:left w:w="70" w:type="dxa"/>
          <w:right w:w="70" w:type="dxa"/>
        </w:tblCellMar>
        <w:tblLook w:val="04A0" w:firstRow="1" w:lastRow="0" w:firstColumn="1" w:lastColumn="0" w:noHBand="0" w:noVBand="1"/>
      </w:tblPr>
      <w:tblGrid>
        <w:gridCol w:w="1015"/>
        <w:gridCol w:w="873"/>
        <w:gridCol w:w="563"/>
        <w:gridCol w:w="563"/>
        <w:gridCol w:w="423"/>
        <w:gridCol w:w="423"/>
        <w:gridCol w:w="563"/>
        <w:gridCol w:w="563"/>
        <w:gridCol w:w="701"/>
        <w:gridCol w:w="705"/>
        <w:gridCol w:w="703"/>
        <w:gridCol w:w="563"/>
        <w:gridCol w:w="563"/>
        <w:gridCol w:w="565"/>
        <w:gridCol w:w="565"/>
      </w:tblGrid>
      <w:tr w:rsidR="00202049" w:rsidRPr="00F760B0" w14:paraId="1AD291CF" w14:textId="77777777" w:rsidTr="000635AB">
        <w:trPr>
          <w:trHeight w:val="240"/>
        </w:trPr>
        <w:tc>
          <w:tcPr>
            <w:tcW w:w="543" w:type="pct"/>
            <w:vMerge w:val="restart"/>
            <w:tcBorders>
              <w:top w:val="nil"/>
              <w:left w:val="single" w:sz="4" w:space="0" w:color="BFBFBF"/>
              <w:bottom w:val="single" w:sz="4" w:space="0" w:color="FFFFFF"/>
              <w:right w:val="single" w:sz="4" w:space="0" w:color="FFFFFF"/>
            </w:tcBorders>
            <w:shd w:val="clear" w:color="auto" w:fill="E7E6E6" w:themeFill="background2"/>
            <w:noWrap/>
            <w:vAlign w:val="center"/>
            <w:hideMark/>
          </w:tcPr>
          <w:p w14:paraId="7F59A75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Concepto</w:t>
            </w:r>
          </w:p>
        </w:tc>
        <w:tc>
          <w:tcPr>
            <w:tcW w:w="467" w:type="pct"/>
            <w:vMerge w:val="restart"/>
            <w:tcBorders>
              <w:top w:val="nil"/>
              <w:left w:val="single" w:sz="4" w:space="0" w:color="FFFFFF"/>
              <w:bottom w:val="single" w:sz="4" w:space="0" w:color="FFFFFF"/>
              <w:right w:val="single" w:sz="4" w:space="0" w:color="FFFFFF"/>
            </w:tcBorders>
            <w:shd w:val="clear" w:color="auto" w:fill="E7E6E6" w:themeFill="background2"/>
            <w:vAlign w:val="center"/>
            <w:hideMark/>
          </w:tcPr>
          <w:p w14:paraId="2D76A81A"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Periodo</w:t>
            </w:r>
          </w:p>
        </w:tc>
        <w:tc>
          <w:tcPr>
            <w:tcW w:w="3688" w:type="pct"/>
            <w:gridSpan w:val="12"/>
            <w:tcBorders>
              <w:top w:val="nil"/>
              <w:left w:val="nil"/>
              <w:bottom w:val="single" w:sz="4" w:space="0" w:color="FFFFFF"/>
              <w:right w:val="single" w:sz="4" w:space="0" w:color="FFFFFF"/>
            </w:tcBorders>
            <w:shd w:val="clear" w:color="auto" w:fill="E7E6E6" w:themeFill="background2"/>
            <w:vAlign w:val="center"/>
            <w:hideMark/>
          </w:tcPr>
          <w:p w14:paraId="3C1BB71A"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Mes</w:t>
            </w:r>
          </w:p>
        </w:tc>
        <w:tc>
          <w:tcPr>
            <w:tcW w:w="302" w:type="pct"/>
            <w:vMerge w:val="restart"/>
            <w:tcBorders>
              <w:top w:val="nil"/>
              <w:left w:val="single" w:sz="4" w:space="0" w:color="FFFFFF"/>
              <w:bottom w:val="single" w:sz="4" w:space="0" w:color="BFBFBF"/>
              <w:right w:val="single" w:sz="4" w:space="0" w:color="BFBFBF"/>
            </w:tcBorders>
            <w:shd w:val="clear" w:color="auto" w:fill="E7E6E6" w:themeFill="background2"/>
            <w:vAlign w:val="center"/>
            <w:hideMark/>
          </w:tcPr>
          <w:p w14:paraId="0E4C292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Año</w:t>
            </w:r>
          </w:p>
        </w:tc>
      </w:tr>
      <w:tr w:rsidR="00202049" w:rsidRPr="00F760B0" w14:paraId="3B1E58CE" w14:textId="77777777" w:rsidTr="000635AB">
        <w:trPr>
          <w:trHeight w:val="240"/>
        </w:trPr>
        <w:tc>
          <w:tcPr>
            <w:tcW w:w="543" w:type="pct"/>
            <w:vMerge/>
            <w:tcBorders>
              <w:top w:val="nil"/>
              <w:left w:val="single" w:sz="4" w:space="0" w:color="BFBFBF"/>
              <w:bottom w:val="single" w:sz="4" w:space="0" w:color="FFFFFF"/>
              <w:right w:val="single" w:sz="4" w:space="0" w:color="FFFFFF"/>
            </w:tcBorders>
            <w:vAlign w:val="center"/>
            <w:hideMark/>
          </w:tcPr>
          <w:p w14:paraId="1B307C3B" w14:textId="77777777" w:rsidR="00202049" w:rsidRPr="00F760B0" w:rsidRDefault="00202049" w:rsidP="00B205BA">
            <w:pPr>
              <w:spacing w:after="120" w:line="240" w:lineRule="auto"/>
              <w:rPr>
                <w:rFonts w:cs="Arial"/>
                <w:sz w:val="16"/>
                <w:szCs w:val="16"/>
                <w:lang w:eastAsia="es-MX"/>
              </w:rPr>
            </w:pPr>
          </w:p>
        </w:tc>
        <w:tc>
          <w:tcPr>
            <w:tcW w:w="467" w:type="pct"/>
            <w:vMerge/>
            <w:tcBorders>
              <w:top w:val="nil"/>
              <w:left w:val="single" w:sz="4" w:space="0" w:color="FFFFFF"/>
              <w:bottom w:val="single" w:sz="4" w:space="0" w:color="FFFFFF"/>
              <w:right w:val="single" w:sz="4" w:space="0" w:color="FFFFFF"/>
            </w:tcBorders>
            <w:vAlign w:val="center"/>
            <w:hideMark/>
          </w:tcPr>
          <w:p w14:paraId="2E1AA898" w14:textId="77777777" w:rsidR="00202049" w:rsidRPr="00F760B0" w:rsidRDefault="00202049" w:rsidP="00B205BA">
            <w:pPr>
              <w:spacing w:after="120" w:line="240" w:lineRule="auto"/>
              <w:rPr>
                <w:rFonts w:cs="Arial"/>
                <w:sz w:val="16"/>
                <w:szCs w:val="16"/>
                <w:lang w:eastAsia="es-MX"/>
              </w:rPr>
            </w:pPr>
          </w:p>
        </w:tc>
        <w:tc>
          <w:tcPr>
            <w:tcW w:w="301" w:type="pct"/>
            <w:tcBorders>
              <w:top w:val="nil"/>
              <w:left w:val="nil"/>
              <w:bottom w:val="nil"/>
              <w:right w:val="single" w:sz="4" w:space="0" w:color="FFFFFF"/>
            </w:tcBorders>
            <w:shd w:val="clear" w:color="auto" w:fill="F2F2F2" w:themeFill="background1" w:themeFillShade="F2"/>
            <w:vAlign w:val="center"/>
            <w:hideMark/>
          </w:tcPr>
          <w:p w14:paraId="4FC29BCB"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E</w:t>
            </w:r>
          </w:p>
        </w:tc>
        <w:tc>
          <w:tcPr>
            <w:tcW w:w="301" w:type="pct"/>
            <w:tcBorders>
              <w:top w:val="nil"/>
              <w:left w:val="nil"/>
              <w:bottom w:val="nil"/>
              <w:right w:val="single" w:sz="4" w:space="0" w:color="FFFFFF"/>
            </w:tcBorders>
            <w:shd w:val="clear" w:color="auto" w:fill="F2F2F2" w:themeFill="background1" w:themeFillShade="F2"/>
            <w:vAlign w:val="center"/>
            <w:hideMark/>
          </w:tcPr>
          <w:p w14:paraId="77DFAD02"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F</w:t>
            </w:r>
          </w:p>
        </w:tc>
        <w:tc>
          <w:tcPr>
            <w:tcW w:w="226" w:type="pct"/>
            <w:tcBorders>
              <w:top w:val="nil"/>
              <w:left w:val="nil"/>
              <w:bottom w:val="nil"/>
              <w:right w:val="single" w:sz="4" w:space="0" w:color="FFFFFF"/>
            </w:tcBorders>
            <w:shd w:val="clear" w:color="auto" w:fill="F2F2F2" w:themeFill="background1" w:themeFillShade="F2"/>
            <w:vAlign w:val="center"/>
            <w:hideMark/>
          </w:tcPr>
          <w:p w14:paraId="5AFD260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M</w:t>
            </w:r>
          </w:p>
        </w:tc>
        <w:tc>
          <w:tcPr>
            <w:tcW w:w="226" w:type="pct"/>
            <w:tcBorders>
              <w:top w:val="nil"/>
              <w:left w:val="nil"/>
              <w:bottom w:val="nil"/>
              <w:right w:val="single" w:sz="4" w:space="0" w:color="FFFFFF"/>
            </w:tcBorders>
            <w:shd w:val="clear" w:color="auto" w:fill="F2F2F2" w:themeFill="background1" w:themeFillShade="F2"/>
            <w:vAlign w:val="center"/>
            <w:hideMark/>
          </w:tcPr>
          <w:p w14:paraId="3CA7CD0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A</w:t>
            </w:r>
          </w:p>
        </w:tc>
        <w:tc>
          <w:tcPr>
            <w:tcW w:w="301" w:type="pct"/>
            <w:tcBorders>
              <w:top w:val="nil"/>
              <w:left w:val="nil"/>
              <w:bottom w:val="nil"/>
              <w:right w:val="single" w:sz="4" w:space="0" w:color="FFFFFF"/>
            </w:tcBorders>
            <w:shd w:val="clear" w:color="auto" w:fill="F2F2F2" w:themeFill="background1" w:themeFillShade="F2"/>
            <w:vAlign w:val="center"/>
            <w:hideMark/>
          </w:tcPr>
          <w:p w14:paraId="0C7074A3"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M</w:t>
            </w:r>
          </w:p>
        </w:tc>
        <w:tc>
          <w:tcPr>
            <w:tcW w:w="301" w:type="pct"/>
            <w:tcBorders>
              <w:top w:val="nil"/>
              <w:left w:val="nil"/>
              <w:bottom w:val="nil"/>
              <w:right w:val="single" w:sz="4" w:space="0" w:color="FFFFFF"/>
            </w:tcBorders>
            <w:shd w:val="clear" w:color="auto" w:fill="F2F2F2" w:themeFill="background1" w:themeFillShade="F2"/>
            <w:vAlign w:val="center"/>
            <w:hideMark/>
          </w:tcPr>
          <w:p w14:paraId="51373973"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J</w:t>
            </w:r>
          </w:p>
        </w:tc>
        <w:tc>
          <w:tcPr>
            <w:tcW w:w="375" w:type="pct"/>
            <w:tcBorders>
              <w:top w:val="nil"/>
              <w:left w:val="nil"/>
              <w:bottom w:val="nil"/>
              <w:right w:val="single" w:sz="4" w:space="0" w:color="FFFFFF"/>
            </w:tcBorders>
            <w:shd w:val="clear" w:color="auto" w:fill="F2F2F2" w:themeFill="background1" w:themeFillShade="F2"/>
            <w:vAlign w:val="center"/>
            <w:hideMark/>
          </w:tcPr>
          <w:p w14:paraId="4EA3DF5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J</w:t>
            </w:r>
          </w:p>
        </w:tc>
        <w:tc>
          <w:tcPr>
            <w:tcW w:w="377" w:type="pct"/>
            <w:tcBorders>
              <w:top w:val="nil"/>
              <w:left w:val="nil"/>
              <w:bottom w:val="nil"/>
              <w:right w:val="single" w:sz="4" w:space="0" w:color="FFFFFF"/>
            </w:tcBorders>
            <w:shd w:val="clear" w:color="auto" w:fill="F2F2F2" w:themeFill="background1" w:themeFillShade="F2"/>
            <w:vAlign w:val="center"/>
            <w:hideMark/>
          </w:tcPr>
          <w:p w14:paraId="7FBD1D3E"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A</w:t>
            </w:r>
          </w:p>
        </w:tc>
        <w:tc>
          <w:tcPr>
            <w:tcW w:w="376" w:type="pct"/>
            <w:tcBorders>
              <w:top w:val="nil"/>
              <w:left w:val="nil"/>
              <w:bottom w:val="nil"/>
              <w:right w:val="single" w:sz="4" w:space="0" w:color="FFFFFF"/>
            </w:tcBorders>
            <w:shd w:val="clear" w:color="auto" w:fill="F2F2F2" w:themeFill="background1" w:themeFillShade="F2"/>
            <w:vAlign w:val="center"/>
            <w:hideMark/>
          </w:tcPr>
          <w:p w14:paraId="1517DCA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S</w:t>
            </w:r>
          </w:p>
        </w:tc>
        <w:tc>
          <w:tcPr>
            <w:tcW w:w="301" w:type="pct"/>
            <w:tcBorders>
              <w:top w:val="nil"/>
              <w:left w:val="nil"/>
              <w:bottom w:val="nil"/>
              <w:right w:val="single" w:sz="4" w:space="0" w:color="FFFFFF"/>
            </w:tcBorders>
            <w:shd w:val="clear" w:color="auto" w:fill="F2F2F2" w:themeFill="background1" w:themeFillShade="F2"/>
            <w:vAlign w:val="center"/>
            <w:hideMark/>
          </w:tcPr>
          <w:p w14:paraId="4F786900"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O</w:t>
            </w:r>
          </w:p>
        </w:tc>
        <w:tc>
          <w:tcPr>
            <w:tcW w:w="301" w:type="pct"/>
            <w:tcBorders>
              <w:top w:val="nil"/>
              <w:left w:val="nil"/>
              <w:bottom w:val="nil"/>
              <w:right w:val="single" w:sz="4" w:space="0" w:color="FFFFFF"/>
            </w:tcBorders>
            <w:shd w:val="clear" w:color="auto" w:fill="F2F2F2" w:themeFill="background1" w:themeFillShade="F2"/>
            <w:vAlign w:val="center"/>
            <w:hideMark/>
          </w:tcPr>
          <w:p w14:paraId="596114A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N</w:t>
            </w:r>
          </w:p>
        </w:tc>
        <w:tc>
          <w:tcPr>
            <w:tcW w:w="301" w:type="pct"/>
            <w:tcBorders>
              <w:top w:val="nil"/>
              <w:left w:val="nil"/>
              <w:bottom w:val="nil"/>
              <w:right w:val="nil"/>
            </w:tcBorders>
            <w:shd w:val="clear" w:color="auto" w:fill="F2F2F2" w:themeFill="background1" w:themeFillShade="F2"/>
            <w:vAlign w:val="center"/>
            <w:hideMark/>
          </w:tcPr>
          <w:p w14:paraId="7C61CA2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D</w:t>
            </w:r>
          </w:p>
        </w:tc>
        <w:tc>
          <w:tcPr>
            <w:tcW w:w="302" w:type="pct"/>
            <w:vMerge/>
            <w:tcBorders>
              <w:top w:val="nil"/>
              <w:left w:val="single" w:sz="4" w:space="0" w:color="FFFFFF"/>
              <w:bottom w:val="single" w:sz="4" w:space="0" w:color="BFBFBF"/>
              <w:right w:val="single" w:sz="4" w:space="0" w:color="BFBFBF"/>
            </w:tcBorders>
            <w:vAlign w:val="center"/>
            <w:hideMark/>
          </w:tcPr>
          <w:p w14:paraId="4E94BCDD" w14:textId="77777777" w:rsidR="00202049" w:rsidRPr="00F760B0" w:rsidRDefault="00202049" w:rsidP="00B205BA">
            <w:pPr>
              <w:spacing w:after="120" w:line="240" w:lineRule="auto"/>
              <w:rPr>
                <w:rFonts w:cs="Arial"/>
                <w:sz w:val="16"/>
                <w:szCs w:val="16"/>
                <w:lang w:eastAsia="es-MX"/>
              </w:rPr>
            </w:pPr>
          </w:p>
        </w:tc>
      </w:tr>
      <w:tr w:rsidR="00202049" w:rsidRPr="00F760B0" w14:paraId="77E53BEA" w14:textId="77777777" w:rsidTr="000635AB">
        <w:trPr>
          <w:trHeight w:val="240"/>
        </w:trPr>
        <w:tc>
          <w:tcPr>
            <w:tcW w:w="543"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41AD9B"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Último año</w:t>
            </w:r>
          </w:p>
        </w:tc>
        <w:tc>
          <w:tcPr>
            <w:tcW w:w="467" w:type="pct"/>
            <w:tcBorders>
              <w:top w:val="single" w:sz="4" w:space="0" w:color="BFBFBF"/>
              <w:left w:val="nil"/>
              <w:bottom w:val="single" w:sz="4" w:space="0" w:color="BFBFBF"/>
              <w:right w:val="single" w:sz="4" w:space="0" w:color="BFBFBF"/>
            </w:tcBorders>
            <w:shd w:val="clear" w:color="auto" w:fill="auto"/>
            <w:noWrap/>
            <w:vAlign w:val="center"/>
            <w:hideMark/>
          </w:tcPr>
          <w:p w14:paraId="70ADD3D2"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2014</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57A40830"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4ADAFEAA"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226" w:type="pct"/>
            <w:tcBorders>
              <w:top w:val="single" w:sz="4" w:space="0" w:color="BFBFBF"/>
              <w:left w:val="nil"/>
              <w:bottom w:val="single" w:sz="4" w:space="0" w:color="BFBFBF"/>
              <w:right w:val="single" w:sz="4" w:space="0" w:color="BFBFBF"/>
            </w:tcBorders>
            <w:shd w:val="clear" w:color="auto" w:fill="auto"/>
            <w:noWrap/>
            <w:vAlign w:val="center"/>
            <w:hideMark/>
          </w:tcPr>
          <w:p w14:paraId="4E68A8C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226" w:type="pct"/>
            <w:tcBorders>
              <w:top w:val="single" w:sz="4" w:space="0" w:color="BFBFBF"/>
              <w:left w:val="nil"/>
              <w:bottom w:val="single" w:sz="4" w:space="0" w:color="BFBFBF"/>
              <w:right w:val="single" w:sz="4" w:space="0" w:color="BFBFBF"/>
            </w:tcBorders>
            <w:shd w:val="clear" w:color="auto" w:fill="auto"/>
            <w:noWrap/>
            <w:vAlign w:val="center"/>
            <w:hideMark/>
          </w:tcPr>
          <w:p w14:paraId="2020DA0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275812C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78D65CB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375" w:type="pct"/>
            <w:tcBorders>
              <w:top w:val="single" w:sz="4" w:space="0" w:color="BFBFBF"/>
              <w:left w:val="nil"/>
              <w:bottom w:val="single" w:sz="4" w:space="0" w:color="BFBFBF"/>
              <w:right w:val="single" w:sz="4" w:space="0" w:color="BFBFBF"/>
            </w:tcBorders>
            <w:shd w:val="clear" w:color="auto" w:fill="auto"/>
            <w:noWrap/>
            <w:vAlign w:val="center"/>
            <w:hideMark/>
          </w:tcPr>
          <w:p w14:paraId="52B10B83"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80.5</w:t>
            </w:r>
          </w:p>
        </w:tc>
        <w:tc>
          <w:tcPr>
            <w:tcW w:w="377" w:type="pct"/>
            <w:tcBorders>
              <w:top w:val="single" w:sz="4" w:space="0" w:color="BFBFBF"/>
              <w:left w:val="nil"/>
              <w:bottom w:val="single" w:sz="4" w:space="0" w:color="BFBFBF"/>
              <w:right w:val="single" w:sz="4" w:space="0" w:color="BFBFBF"/>
            </w:tcBorders>
            <w:shd w:val="clear" w:color="auto" w:fill="auto"/>
            <w:noWrap/>
            <w:vAlign w:val="center"/>
            <w:hideMark/>
          </w:tcPr>
          <w:p w14:paraId="6D1391CE"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91.7</w:t>
            </w:r>
          </w:p>
        </w:tc>
        <w:tc>
          <w:tcPr>
            <w:tcW w:w="376" w:type="pct"/>
            <w:tcBorders>
              <w:top w:val="single" w:sz="4" w:space="0" w:color="BFBFBF"/>
              <w:left w:val="nil"/>
              <w:bottom w:val="single" w:sz="4" w:space="0" w:color="BFBFBF"/>
              <w:right w:val="single" w:sz="4" w:space="0" w:color="BFBFBF"/>
            </w:tcBorders>
            <w:shd w:val="clear" w:color="auto" w:fill="auto"/>
            <w:noWrap/>
            <w:vAlign w:val="center"/>
            <w:hideMark/>
          </w:tcPr>
          <w:p w14:paraId="22CD774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104.0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3F65F147"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3.4</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44E60EC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301" w:type="pct"/>
            <w:tcBorders>
              <w:top w:val="single" w:sz="4" w:space="0" w:color="BFBFBF"/>
              <w:left w:val="nil"/>
              <w:bottom w:val="single" w:sz="4" w:space="0" w:color="BFBFBF"/>
              <w:right w:val="single" w:sz="4" w:space="0" w:color="BFBFBF"/>
            </w:tcBorders>
            <w:shd w:val="clear" w:color="auto" w:fill="auto"/>
            <w:noWrap/>
            <w:vAlign w:val="center"/>
            <w:hideMark/>
          </w:tcPr>
          <w:p w14:paraId="48D0D36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ND</w:t>
            </w:r>
          </w:p>
        </w:tc>
        <w:tc>
          <w:tcPr>
            <w:tcW w:w="302" w:type="pct"/>
            <w:tcBorders>
              <w:top w:val="nil"/>
              <w:left w:val="nil"/>
              <w:bottom w:val="single" w:sz="4" w:space="0" w:color="BFBFBF"/>
              <w:right w:val="single" w:sz="4" w:space="0" w:color="BFBFBF"/>
            </w:tcBorders>
            <w:shd w:val="clear" w:color="auto" w:fill="auto"/>
            <w:noWrap/>
            <w:vAlign w:val="center"/>
            <w:hideMark/>
          </w:tcPr>
          <w:p w14:paraId="0E4B400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279.6</w:t>
            </w:r>
          </w:p>
        </w:tc>
      </w:tr>
      <w:tr w:rsidR="00202049" w:rsidRPr="00F760B0" w14:paraId="6D463709" w14:textId="77777777" w:rsidTr="000635AB">
        <w:trPr>
          <w:trHeight w:val="240"/>
        </w:trPr>
        <w:tc>
          <w:tcPr>
            <w:tcW w:w="543" w:type="pct"/>
            <w:tcBorders>
              <w:top w:val="nil"/>
              <w:left w:val="single" w:sz="4" w:space="0" w:color="BFBFBF"/>
              <w:bottom w:val="single" w:sz="4" w:space="0" w:color="BFBFBF"/>
              <w:right w:val="single" w:sz="4" w:space="0" w:color="BFBFBF"/>
            </w:tcBorders>
            <w:shd w:val="clear" w:color="auto" w:fill="auto"/>
            <w:noWrap/>
            <w:vAlign w:val="center"/>
            <w:hideMark/>
          </w:tcPr>
          <w:p w14:paraId="30387040"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Promedio</w:t>
            </w:r>
          </w:p>
        </w:tc>
        <w:tc>
          <w:tcPr>
            <w:tcW w:w="467" w:type="pct"/>
            <w:tcBorders>
              <w:top w:val="nil"/>
              <w:left w:val="nil"/>
              <w:bottom w:val="single" w:sz="4" w:space="0" w:color="BFBFBF"/>
              <w:right w:val="single" w:sz="4" w:space="0" w:color="BFBFBF"/>
            </w:tcBorders>
            <w:shd w:val="clear" w:color="auto" w:fill="auto"/>
            <w:noWrap/>
            <w:vAlign w:val="center"/>
            <w:hideMark/>
          </w:tcPr>
          <w:p w14:paraId="003724F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De 1986 a 2014</w:t>
            </w:r>
          </w:p>
        </w:tc>
        <w:tc>
          <w:tcPr>
            <w:tcW w:w="301" w:type="pct"/>
            <w:tcBorders>
              <w:top w:val="nil"/>
              <w:left w:val="nil"/>
              <w:bottom w:val="single" w:sz="4" w:space="0" w:color="BFBFBF"/>
              <w:right w:val="single" w:sz="4" w:space="0" w:color="BFBFBF"/>
            </w:tcBorders>
            <w:shd w:val="clear" w:color="auto" w:fill="auto"/>
            <w:noWrap/>
            <w:vAlign w:val="center"/>
            <w:hideMark/>
          </w:tcPr>
          <w:p w14:paraId="5E92BA4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12.3</w:t>
            </w:r>
          </w:p>
        </w:tc>
        <w:tc>
          <w:tcPr>
            <w:tcW w:w="301" w:type="pct"/>
            <w:tcBorders>
              <w:top w:val="nil"/>
              <w:left w:val="nil"/>
              <w:bottom w:val="single" w:sz="4" w:space="0" w:color="BFBFBF"/>
              <w:right w:val="single" w:sz="4" w:space="0" w:color="BFBFBF"/>
            </w:tcBorders>
            <w:shd w:val="clear" w:color="auto" w:fill="auto"/>
            <w:noWrap/>
            <w:vAlign w:val="center"/>
            <w:hideMark/>
          </w:tcPr>
          <w:p w14:paraId="3E020540"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16.0</w:t>
            </w:r>
          </w:p>
        </w:tc>
        <w:tc>
          <w:tcPr>
            <w:tcW w:w="226" w:type="pct"/>
            <w:tcBorders>
              <w:top w:val="nil"/>
              <w:left w:val="nil"/>
              <w:bottom w:val="single" w:sz="4" w:space="0" w:color="BFBFBF"/>
              <w:right w:val="single" w:sz="4" w:space="0" w:color="BFBFBF"/>
            </w:tcBorders>
            <w:shd w:val="clear" w:color="auto" w:fill="auto"/>
            <w:noWrap/>
            <w:vAlign w:val="center"/>
            <w:hideMark/>
          </w:tcPr>
          <w:p w14:paraId="6E9031FA"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5.3</w:t>
            </w:r>
          </w:p>
        </w:tc>
        <w:tc>
          <w:tcPr>
            <w:tcW w:w="226" w:type="pct"/>
            <w:tcBorders>
              <w:top w:val="nil"/>
              <w:left w:val="nil"/>
              <w:bottom w:val="single" w:sz="4" w:space="0" w:color="BFBFBF"/>
              <w:right w:val="single" w:sz="4" w:space="0" w:color="BFBFBF"/>
            </w:tcBorders>
            <w:shd w:val="clear" w:color="auto" w:fill="auto"/>
            <w:noWrap/>
            <w:vAlign w:val="center"/>
            <w:hideMark/>
          </w:tcPr>
          <w:p w14:paraId="2CDA39D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3.2</w:t>
            </w:r>
          </w:p>
        </w:tc>
        <w:tc>
          <w:tcPr>
            <w:tcW w:w="301" w:type="pct"/>
            <w:tcBorders>
              <w:top w:val="nil"/>
              <w:left w:val="nil"/>
              <w:bottom w:val="single" w:sz="4" w:space="0" w:color="BFBFBF"/>
              <w:right w:val="single" w:sz="4" w:space="0" w:color="BFBFBF"/>
            </w:tcBorders>
            <w:shd w:val="clear" w:color="auto" w:fill="auto"/>
            <w:noWrap/>
            <w:vAlign w:val="center"/>
            <w:hideMark/>
          </w:tcPr>
          <w:p w14:paraId="4AE97D8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2.4</w:t>
            </w:r>
          </w:p>
        </w:tc>
        <w:tc>
          <w:tcPr>
            <w:tcW w:w="301" w:type="pct"/>
            <w:tcBorders>
              <w:top w:val="nil"/>
              <w:left w:val="nil"/>
              <w:bottom w:val="single" w:sz="4" w:space="0" w:color="BFBFBF"/>
              <w:right w:val="single" w:sz="4" w:space="0" w:color="BFBFBF"/>
            </w:tcBorders>
            <w:shd w:val="clear" w:color="auto" w:fill="auto"/>
            <w:noWrap/>
            <w:vAlign w:val="center"/>
            <w:hideMark/>
          </w:tcPr>
          <w:p w14:paraId="7A810252"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8.3</w:t>
            </w:r>
          </w:p>
        </w:tc>
        <w:tc>
          <w:tcPr>
            <w:tcW w:w="375" w:type="pct"/>
            <w:tcBorders>
              <w:top w:val="nil"/>
              <w:left w:val="nil"/>
              <w:bottom w:val="single" w:sz="4" w:space="0" w:color="BFBFBF"/>
              <w:right w:val="single" w:sz="4" w:space="0" w:color="BFBFBF"/>
            </w:tcBorders>
            <w:shd w:val="clear" w:color="auto" w:fill="auto"/>
            <w:noWrap/>
            <w:vAlign w:val="center"/>
            <w:hideMark/>
          </w:tcPr>
          <w:p w14:paraId="42430E08"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96.8</w:t>
            </w:r>
          </w:p>
        </w:tc>
        <w:tc>
          <w:tcPr>
            <w:tcW w:w="377" w:type="pct"/>
            <w:tcBorders>
              <w:top w:val="nil"/>
              <w:left w:val="nil"/>
              <w:bottom w:val="single" w:sz="4" w:space="0" w:color="BFBFBF"/>
              <w:right w:val="single" w:sz="4" w:space="0" w:color="BFBFBF"/>
            </w:tcBorders>
            <w:shd w:val="clear" w:color="auto" w:fill="auto"/>
            <w:noWrap/>
            <w:vAlign w:val="center"/>
            <w:hideMark/>
          </w:tcPr>
          <w:p w14:paraId="217E27B1"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104.2</w:t>
            </w:r>
          </w:p>
        </w:tc>
        <w:tc>
          <w:tcPr>
            <w:tcW w:w="376" w:type="pct"/>
            <w:tcBorders>
              <w:top w:val="nil"/>
              <w:left w:val="nil"/>
              <w:bottom w:val="single" w:sz="4" w:space="0" w:color="BFBFBF"/>
              <w:right w:val="single" w:sz="4" w:space="0" w:color="BFBFBF"/>
            </w:tcBorders>
            <w:shd w:val="clear" w:color="auto" w:fill="auto"/>
            <w:noWrap/>
            <w:vAlign w:val="center"/>
            <w:hideMark/>
          </w:tcPr>
          <w:p w14:paraId="7FC5828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70.4</w:t>
            </w:r>
          </w:p>
        </w:tc>
        <w:tc>
          <w:tcPr>
            <w:tcW w:w="301" w:type="pct"/>
            <w:tcBorders>
              <w:top w:val="nil"/>
              <w:left w:val="nil"/>
              <w:bottom w:val="single" w:sz="4" w:space="0" w:color="BFBFBF"/>
              <w:right w:val="single" w:sz="4" w:space="0" w:color="BFBFBF"/>
            </w:tcBorders>
            <w:shd w:val="clear" w:color="auto" w:fill="auto"/>
            <w:noWrap/>
            <w:vAlign w:val="center"/>
            <w:hideMark/>
          </w:tcPr>
          <w:p w14:paraId="572D249F"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17.3</w:t>
            </w:r>
          </w:p>
        </w:tc>
        <w:tc>
          <w:tcPr>
            <w:tcW w:w="301" w:type="pct"/>
            <w:tcBorders>
              <w:top w:val="nil"/>
              <w:left w:val="nil"/>
              <w:bottom w:val="single" w:sz="4" w:space="0" w:color="BFBFBF"/>
              <w:right w:val="single" w:sz="4" w:space="0" w:color="BFBFBF"/>
            </w:tcBorders>
            <w:shd w:val="clear" w:color="auto" w:fill="auto"/>
            <w:noWrap/>
            <w:vAlign w:val="center"/>
            <w:hideMark/>
          </w:tcPr>
          <w:p w14:paraId="79E2CEC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17.0</w:t>
            </w:r>
          </w:p>
        </w:tc>
        <w:tc>
          <w:tcPr>
            <w:tcW w:w="301" w:type="pct"/>
            <w:tcBorders>
              <w:top w:val="nil"/>
              <w:left w:val="nil"/>
              <w:bottom w:val="single" w:sz="4" w:space="0" w:color="BFBFBF"/>
              <w:right w:val="single" w:sz="4" w:space="0" w:color="BFBFBF"/>
            </w:tcBorders>
            <w:shd w:val="clear" w:color="auto" w:fill="auto"/>
            <w:noWrap/>
            <w:vAlign w:val="center"/>
            <w:hideMark/>
          </w:tcPr>
          <w:p w14:paraId="0D23EBDC"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22.7</w:t>
            </w:r>
          </w:p>
        </w:tc>
        <w:tc>
          <w:tcPr>
            <w:tcW w:w="302" w:type="pct"/>
            <w:tcBorders>
              <w:top w:val="nil"/>
              <w:left w:val="nil"/>
              <w:bottom w:val="single" w:sz="4" w:space="0" w:color="BFBFBF"/>
              <w:right w:val="single" w:sz="4" w:space="0" w:color="BFBFBF"/>
            </w:tcBorders>
            <w:shd w:val="clear" w:color="auto" w:fill="auto"/>
            <w:noWrap/>
            <w:vAlign w:val="center"/>
            <w:hideMark/>
          </w:tcPr>
          <w:p w14:paraId="361C0DB2"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376.0</w:t>
            </w:r>
          </w:p>
        </w:tc>
      </w:tr>
      <w:tr w:rsidR="00202049" w:rsidRPr="00F760B0" w14:paraId="121A7F7E" w14:textId="77777777" w:rsidTr="000635AB">
        <w:trPr>
          <w:trHeight w:val="240"/>
        </w:trPr>
        <w:tc>
          <w:tcPr>
            <w:tcW w:w="543" w:type="pct"/>
            <w:tcBorders>
              <w:top w:val="nil"/>
              <w:left w:val="single" w:sz="4" w:space="0" w:color="BFBFBF"/>
              <w:bottom w:val="single" w:sz="4" w:space="0" w:color="BFBFBF"/>
              <w:right w:val="single" w:sz="4" w:space="0" w:color="BFBFBF"/>
            </w:tcBorders>
            <w:shd w:val="clear" w:color="auto" w:fill="auto"/>
            <w:noWrap/>
            <w:vAlign w:val="center"/>
            <w:hideMark/>
          </w:tcPr>
          <w:p w14:paraId="39BA3826"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Año más seco</w:t>
            </w:r>
          </w:p>
        </w:tc>
        <w:tc>
          <w:tcPr>
            <w:tcW w:w="467" w:type="pct"/>
            <w:tcBorders>
              <w:top w:val="nil"/>
              <w:left w:val="nil"/>
              <w:bottom w:val="single" w:sz="4" w:space="0" w:color="BFBFBF"/>
              <w:right w:val="single" w:sz="4" w:space="0" w:color="BFBFBF"/>
            </w:tcBorders>
            <w:shd w:val="clear" w:color="auto" w:fill="auto"/>
            <w:noWrap/>
            <w:vAlign w:val="center"/>
            <w:hideMark/>
          </w:tcPr>
          <w:p w14:paraId="3808E897"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2009</w:t>
            </w:r>
          </w:p>
        </w:tc>
        <w:tc>
          <w:tcPr>
            <w:tcW w:w="301" w:type="pct"/>
            <w:tcBorders>
              <w:top w:val="nil"/>
              <w:left w:val="nil"/>
              <w:bottom w:val="single" w:sz="4" w:space="0" w:color="BFBFBF"/>
              <w:right w:val="single" w:sz="4" w:space="0" w:color="BFBFBF"/>
            </w:tcBorders>
            <w:shd w:val="clear" w:color="auto" w:fill="auto"/>
            <w:noWrap/>
            <w:vAlign w:val="center"/>
            <w:hideMark/>
          </w:tcPr>
          <w:p w14:paraId="48CFBA1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0.8</w:t>
            </w:r>
          </w:p>
        </w:tc>
        <w:tc>
          <w:tcPr>
            <w:tcW w:w="301" w:type="pct"/>
            <w:tcBorders>
              <w:top w:val="nil"/>
              <w:left w:val="nil"/>
              <w:bottom w:val="single" w:sz="4" w:space="0" w:color="BFBFBF"/>
              <w:right w:val="single" w:sz="4" w:space="0" w:color="BFBFBF"/>
            </w:tcBorders>
            <w:shd w:val="clear" w:color="auto" w:fill="auto"/>
            <w:noWrap/>
            <w:vAlign w:val="center"/>
            <w:hideMark/>
          </w:tcPr>
          <w:p w14:paraId="6422673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3.5</w:t>
            </w:r>
          </w:p>
        </w:tc>
        <w:tc>
          <w:tcPr>
            <w:tcW w:w="226" w:type="pct"/>
            <w:tcBorders>
              <w:top w:val="nil"/>
              <w:left w:val="nil"/>
              <w:bottom w:val="single" w:sz="4" w:space="0" w:color="BFBFBF"/>
              <w:right w:val="single" w:sz="4" w:space="0" w:color="BFBFBF"/>
            </w:tcBorders>
            <w:shd w:val="clear" w:color="auto" w:fill="auto"/>
            <w:noWrap/>
            <w:vAlign w:val="center"/>
            <w:hideMark/>
          </w:tcPr>
          <w:p w14:paraId="16DE433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226" w:type="pct"/>
            <w:tcBorders>
              <w:top w:val="nil"/>
              <w:left w:val="nil"/>
              <w:bottom w:val="single" w:sz="4" w:space="0" w:color="BFBFBF"/>
              <w:right w:val="single" w:sz="4" w:space="0" w:color="BFBFBF"/>
            </w:tcBorders>
            <w:shd w:val="clear" w:color="auto" w:fill="auto"/>
            <w:noWrap/>
            <w:vAlign w:val="center"/>
            <w:hideMark/>
          </w:tcPr>
          <w:p w14:paraId="67C511C2"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301" w:type="pct"/>
            <w:tcBorders>
              <w:top w:val="nil"/>
              <w:left w:val="nil"/>
              <w:bottom w:val="single" w:sz="4" w:space="0" w:color="BFBFBF"/>
              <w:right w:val="single" w:sz="4" w:space="0" w:color="BFBFBF"/>
            </w:tcBorders>
            <w:shd w:val="clear" w:color="auto" w:fill="auto"/>
            <w:noWrap/>
            <w:vAlign w:val="center"/>
            <w:hideMark/>
          </w:tcPr>
          <w:p w14:paraId="0E472096"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2.5</w:t>
            </w:r>
          </w:p>
        </w:tc>
        <w:tc>
          <w:tcPr>
            <w:tcW w:w="301" w:type="pct"/>
            <w:tcBorders>
              <w:top w:val="nil"/>
              <w:left w:val="nil"/>
              <w:bottom w:val="single" w:sz="4" w:space="0" w:color="BFBFBF"/>
              <w:right w:val="single" w:sz="4" w:space="0" w:color="BFBFBF"/>
            </w:tcBorders>
            <w:shd w:val="clear" w:color="auto" w:fill="auto"/>
            <w:noWrap/>
            <w:vAlign w:val="center"/>
            <w:hideMark/>
          </w:tcPr>
          <w:p w14:paraId="59B9DD8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5.0</w:t>
            </w:r>
          </w:p>
        </w:tc>
        <w:tc>
          <w:tcPr>
            <w:tcW w:w="375" w:type="pct"/>
            <w:tcBorders>
              <w:top w:val="nil"/>
              <w:left w:val="nil"/>
              <w:bottom w:val="single" w:sz="4" w:space="0" w:color="BFBFBF"/>
              <w:right w:val="single" w:sz="4" w:space="0" w:color="BFBFBF"/>
            </w:tcBorders>
            <w:shd w:val="clear" w:color="auto" w:fill="auto"/>
            <w:noWrap/>
            <w:vAlign w:val="center"/>
            <w:hideMark/>
          </w:tcPr>
          <w:p w14:paraId="4A7559DE"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32.9</w:t>
            </w:r>
          </w:p>
        </w:tc>
        <w:tc>
          <w:tcPr>
            <w:tcW w:w="377" w:type="pct"/>
            <w:tcBorders>
              <w:top w:val="nil"/>
              <w:left w:val="nil"/>
              <w:bottom w:val="single" w:sz="4" w:space="0" w:color="BFBFBF"/>
              <w:right w:val="single" w:sz="4" w:space="0" w:color="BFBFBF"/>
            </w:tcBorders>
            <w:shd w:val="clear" w:color="auto" w:fill="auto"/>
            <w:noWrap/>
            <w:vAlign w:val="center"/>
            <w:hideMark/>
          </w:tcPr>
          <w:p w14:paraId="130565DB"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76.5</w:t>
            </w:r>
          </w:p>
        </w:tc>
        <w:tc>
          <w:tcPr>
            <w:tcW w:w="376" w:type="pct"/>
            <w:tcBorders>
              <w:top w:val="nil"/>
              <w:left w:val="nil"/>
              <w:bottom w:val="single" w:sz="4" w:space="0" w:color="BFBFBF"/>
              <w:right w:val="single" w:sz="4" w:space="0" w:color="BFBFBF"/>
            </w:tcBorders>
            <w:shd w:val="clear" w:color="auto" w:fill="auto"/>
            <w:noWrap/>
            <w:vAlign w:val="center"/>
            <w:hideMark/>
          </w:tcPr>
          <w:p w14:paraId="51212B9E"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41.5</w:t>
            </w:r>
          </w:p>
        </w:tc>
        <w:tc>
          <w:tcPr>
            <w:tcW w:w="301" w:type="pct"/>
            <w:tcBorders>
              <w:top w:val="nil"/>
              <w:left w:val="nil"/>
              <w:bottom w:val="single" w:sz="4" w:space="0" w:color="BFBFBF"/>
              <w:right w:val="single" w:sz="4" w:space="0" w:color="BFBFBF"/>
            </w:tcBorders>
            <w:shd w:val="clear" w:color="auto" w:fill="auto"/>
            <w:noWrap/>
            <w:vAlign w:val="center"/>
            <w:hideMark/>
          </w:tcPr>
          <w:p w14:paraId="00933AEC"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18.3</w:t>
            </w:r>
          </w:p>
        </w:tc>
        <w:tc>
          <w:tcPr>
            <w:tcW w:w="301" w:type="pct"/>
            <w:tcBorders>
              <w:top w:val="nil"/>
              <w:left w:val="nil"/>
              <w:bottom w:val="single" w:sz="4" w:space="0" w:color="BFBFBF"/>
              <w:right w:val="single" w:sz="4" w:space="0" w:color="BFBFBF"/>
            </w:tcBorders>
            <w:shd w:val="clear" w:color="auto" w:fill="auto"/>
            <w:noWrap/>
            <w:vAlign w:val="center"/>
            <w:hideMark/>
          </w:tcPr>
          <w:p w14:paraId="2B48202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4.6</w:t>
            </w:r>
          </w:p>
        </w:tc>
        <w:tc>
          <w:tcPr>
            <w:tcW w:w="301" w:type="pct"/>
            <w:tcBorders>
              <w:top w:val="nil"/>
              <w:left w:val="nil"/>
              <w:bottom w:val="single" w:sz="4" w:space="0" w:color="BFBFBF"/>
              <w:right w:val="single" w:sz="4" w:space="0" w:color="BFBFBF"/>
            </w:tcBorders>
            <w:shd w:val="clear" w:color="auto" w:fill="auto"/>
            <w:noWrap/>
            <w:vAlign w:val="center"/>
            <w:hideMark/>
          </w:tcPr>
          <w:p w14:paraId="0905C59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302" w:type="pct"/>
            <w:tcBorders>
              <w:top w:val="nil"/>
              <w:left w:val="nil"/>
              <w:bottom w:val="single" w:sz="4" w:space="0" w:color="BFBFBF"/>
              <w:right w:val="single" w:sz="4" w:space="0" w:color="BFBFBF"/>
            </w:tcBorders>
            <w:shd w:val="clear" w:color="auto" w:fill="auto"/>
            <w:noWrap/>
            <w:vAlign w:val="center"/>
            <w:hideMark/>
          </w:tcPr>
          <w:p w14:paraId="3D7A2642"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185.6</w:t>
            </w:r>
          </w:p>
        </w:tc>
      </w:tr>
      <w:tr w:rsidR="00202049" w:rsidRPr="00F760B0" w14:paraId="40898DCD" w14:textId="77777777" w:rsidTr="000635AB">
        <w:trPr>
          <w:trHeight w:val="240"/>
        </w:trPr>
        <w:tc>
          <w:tcPr>
            <w:tcW w:w="543" w:type="pct"/>
            <w:tcBorders>
              <w:top w:val="nil"/>
              <w:left w:val="single" w:sz="4" w:space="0" w:color="BFBFBF"/>
              <w:bottom w:val="single" w:sz="4" w:space="0" w:color="BFBFBF"/>
              <w:right w:val="single" w:sz="4" w:space="0" w:color="BFBFBF"/>
            </w:tcBorders>
            <w:shd w:val="clear" w:color="auto" w:fill="auto"/>
            <w:noWrap/>
            <w:vAlign w:val="center"/>
            <w:hideMark/>
          </w:tcPr>
          <w:p w14:paraId="1D99C7E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Año más lluvioso</w:t>
            </w:r>
          </w:p>
        </w:tc>
        <w:tc>
          <w:tcPr>
            <w:tcW w:w="467" w:type="pct"/>
            <w:tcBorders>
              <w:top w:val="nil"/>
              <w:left w:val="nil"/>
              <w:bottom w:val="single" w:sz="4" w:space="0" w:color="BFBFBF"/>
              <w:right w:val="single" w:sz="4" w:space="0" w:color="BFBFBF"/>
            </w:tcBorders>
            <w:shd w:val="clear" w:color="auto" w:fill="auto"/>
            <w:noWrap/>
            <w:vAlign w:val="center"/>
            <w:hideMark/>
          </w:tcPr>
          <w:p w14:paraId="2F9705E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1990</w:t>
            </w:r>
          </w:p>
        </w:tc>
        <w:tc>
          <w:tcPr>
            <w:tcW w:w="301" w:type="pct"/>
            <w:tcBorders>
              <w:top w:val="nil"/>
              <w:left w:val="nil"/>
              <w:bottom w:val="single" w:sz="4" w:space="0" w:color="BFBFBF"/>
              <w:right w:val="single" w:sz="4" w:space="0" w:color="BFBFBF"/>
            </w:tcBorders>
            <w:shd w:val="clear" w:color="auto" w:fill="auto"/>
            <w:noWrap/>
            <w:vAlign w:val="center"/>
            <w:hideMark/>
          </w:tcPr>
          <w:p w14:paraId="4FC9EA46"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25.8</w:t>
            </w:r>
          </w:p>
        </w:tc>
        <w:tc>
          <w:tcPr>
            <w:tcW w:w="301" w:type="pct"/>
            <w:tcBorders>
              <w:top w:val="nil"/>
              <w:left w:val="nil"/>
              <w:bottom w:val="single" w:sz="4" w:space="0" w:color="BFBFBF"/>
              <w:right w:val="single" w:sz="4" w:space="0" w:color="BFBFBF"/>
            </w:tcBorders>
            <w:shd w:val="clear" w:color="auto" w:fill="auto"/>
            <w:noWrap/>
            <w:vAlign w:val="center"/>
            <w:hideMark/>
          </w:tcPr>
          <w:p w14:paraId="102D4F3B"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226" w:type="pct"/>
            <w:tcBorders>
              <w:top w:val="nil"/>
              <w:left w:val="nil"/>
              <w:bottom w:val="single" w:sz="4" w:space="0" w:color="BFBFBF"/>
              <w:right w:val="single" w:sz="4" w:space="0" w:color="BFBFBF"/>
            </w:tcBorders>
            <w:shd w:val="clear" w:color="auto" w:fill="auto"/>
            <w:noWrap/>
            <w:vAlign w:val="center"/>
            <w:hideMark/>
          </w:tcPr>
          <w:p w14:paraId="35454F12"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226" w:type="pct"/>
            <w:tcBorders>
              <w:top w:val="nil"/>
              <w:left w:val="nil"/>
              <w:bottom w:val="single" w:sz="4" w:space="0" w:color="BFBFBF"/>
              <w:right w:val="single" w:sz="4" w:space="0" w:color="BFBFBF"/>
            </w:tcBorders>
            <w:shd w:val="clear" w:color="auto" w:fill="auto"/>
            <w:noWrap/>
            <w:vAlign w:val="center"/>
            <w:hideMark/>
          </w:tcPr>
          <w:p w14:paraId="3EF727B3"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0.0</w:t>
            </w:r>
          </w:p>
        </w:tc>
        <w:tc>
          <w:tcPr>
            <w:tcW w:w="301" w:type="pct"/>
            <w:tcBorders>
              <w:top w:val="nil"/>
              <w:left w:val="nil"/>
              <w:bottom w:val="single" w:sz="4" w:space="0" w:color="BFBFBF"/>
              <w:right w:val="single" w:sz="4" w:space="0" w:color="BFBFBF"/>
            </w:tcBorders>
            <w:shd w:val="clear" w:color="auto" w:fill="auto"/>
            <w:noWrap/>
            <w:vAlign w:val="center"/>
            <w:hideMark/>
          </w:tcPr>
          <w:p w14:paraId="2ABAE6C7"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1.3</w:t>
            </w:r>
          </w:p>
        </w:tc>
        <w:tc>
          <w:tcPr>
            <w:tcW w:w="301" w:type="pct"/>
            <w:tcBorders>
              <w:top w:val="nil"/>
              <w:left w:val="nil"/>
              <w:bottom w:val="single" w:sz="4" w:space="0" w:color="BFBFBF"/>
              <w:right w:val="single" w:sz="4" w:space="0" w:color="BFBFBF"/>
            </w:tcBorders>
            <w:shd w:val="clear" w:color="auto" w:fill="auto"/>
            <w:noWrap/>
            <w:vAlign w:val="center"/>
            <w:hideMark/>
          </w:tcPr>
          <w:p w14:paraId="5F343795"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37.6</w:t>
            </w:r>
          </w:p>
        </w:tc>
        <w:tc>
          <w:tcPr>
            <w:tcW w:w="375" w:type="pct"/>
            <w:tcBorders>
              <w:top w:val="nil"/>
              <w:left w:val="nil"/>
              <w:bottom w:val="single" w:sz="4" w:space="0" w:color="BFBFBF"/>
              <w:right w:val="single" w:sz="4" w:space="0" w:color="BFBFBF"/>
            </w:tcBorders>
            <w:shd w:val="clear" w:color="auto" w:fill="auto"/>
            <w:noWrap/>
            <w:vAlign w:val="center"/>
            <w:hideMark/>
          </w:tcPr>
          <w:p w14:paraId="7145406B"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127.5</w:t>
            </w:r>
          </w:p>
        </w:tc>
        <w:tc>
          <w:tcPr>
            <w:tcW w:w="377" w:type="pct"/>
            <w:tcBorders>
              <w:top w:val="nil"/>
              <w:left w:val="nil"/>
              <w:bottom w:val="single" w:sz="4" w:space="0" w:color="BFBFBF"/>
              <w:right w:val="single" w:sz="4" w:space="0" w:color="BFBFBF"/>
            </w:tcBorders>
            <w:shd w:val="clear" w:color="auto" w:fill="auto"/>
            <w:noWrap/>
            <w:vAlign w:val="center"/>
            <w:hideMark/>
          </w:tcPr>
          <w:p w14:paraId="08C53B4A"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220.6</w:t>
            </w:r>
          </w:p>
        </w:tc>
        <w:tc>
          <w:tcPr>
            <w:tcW w:w="376" w:type="pct"/>
            <w:tcBorders>
              <w:top w:val="nil"/>
              <w:left w:val="nil"/>
              <w:bottom w:val="single" w:sz="4" w:space="0" w:color="BFBFBF"/>
              <w:right w:val="single" w:sz="4" w:space="0" w:color="BFBFBF"/>
            </w:tcBorders>
            <w:shd w:val="clear" w:color="auto" w:fill="auto"/>
            <w:noWrap/>
            <w:vAlign w:val="center"/>
            <w:hideMark/>
          </w:tcPr>
          <w:p w14:paraId="11804773"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95.2</w:t>
            </w:r>
          </w:p>
        </w:tc>
        <w:tc>
          <w:tcPr>
            <w:tcW w:w="301" w:type="pct"/>
            <w:tcBorders>
              <w:top w:val="nil"/>
              <w:left w:val="nil"/>
              <w:bottom w:val="single" w:sz="4" w:space="0" w:color="BFBFBF"/>
              <w:right w:val="single" w:sz="4" w:space="0" w:color="BFBFBF"/>
            </w:tcBorders>
            <w:shd w:val="clear" w:color="auto" w:fill="auto"/>
            <w:noWrap/>
            <w:vAlign w:val="center"/>
            <w:hideMark/>
          </w:tcPr>
          <w:p w14:paraId="0141B7C9"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3.7</w:t>
            </w:r>
          </w:p>
        </w:tc>
        <w:tc>
          <w:tcPr>
            <w:tcW w:w="301" w:type="pct"/>
            <w:tcBorders>
              <w:top w:val="nil"/>
              <w:left w:val="nil"/>
              <w:bottom w:val="single" w:sz="4" w:space="0" w:color="BFBFBF"/>
              <w:right w:val="single" w:sz="4" w:space="0" w:color="BFBFBF"/>
            </w:tcBorders>
            <w:shd w:val="clear" w:color="auto" w:fill="auto"/>
            <w:noWrap/>
            <w:vAlign w:val="center"/>
            <w:hideMark/>
          </w:tcPr>
          <w:p w14:paraId="5134458D"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19.9</w:t>
            </w:r>
          </w:p>
        </w:tc>
        <w:tc>
          <w:tcPr>
            <w:tcW w:w="301" w:type="pct"/>
            <w:tcBorders>
              <w:top w:val="nil"/>
              <w:left w:val="nil"/>
              <w:bottom w:val="single" w:sz="4" w:space="0" w:color="BFBFBF"/>
              <w:right w:val="single" w:sz="4" w:space="0" w:color="BFBFBF"/>
            </w:tcBorders>
            <w:shd w:val="clear" w:color="auto" w:fill="auto"/>
            <w:noWrap/>
            <w:vAlign w:val="center"/>
            <w:hideMark/>
          </w:tcPr>
          <w:p w14:paraId="5D5D208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46.8</w:t>
            </w:r>
          </w:p>
        </w:tc>
        <w:tc>
          <w:tcPr>
            <w:tcW w:w="302" w:type="pct"/>
            <w:tcBorders>
              <w:top w:val="nil"/>
              <w:left w:val="nil"/>
              <w:bottom w:val="single" w:sz="4" w:space="0" w:color="BFBFBF"/>
              <w:right w:val="single" w:sz="4" w:space="0" w:color="BFBFBF"/>
            </w:tcBorders>
            <w:shd w:val="clear" w:color="auto" w:fill="auto"/>
            <w:noWrap/>
            <w:vAlign w:val="center"/>
            <w:hideMark/>
          </w:tcPr>
          <w:p w14:paraId="58B55BA4" w14:textId="77777777" w:rsidR="00202049" w:rsidRPr="00F760B0" w:rsidRDefault="00202049" w:rsidP="00B205BA">
            <w:pPr>
              <w:spacing w:after="120" w:line="240" w:lineRule="auto"/>
              <w:rPr>
                <w:rFonts w:cs="Arial"/>
                <w:sz w:val="16"/>
                <w:szCs w:val="16"/>
                <w:lang w:eastAsia="es-MX"/>
              </w:rPr>
            </w:pPr>
            <w:r w:rsidRPr="00F760B0">
              <w:rPr>
                <w:rFonts w:cs="Arial"/>
                <w:sz w:val="16"/>
                <w:szCs w:val="16"/>
                <w:lang w:eastAsia="es-MX"/>
              </w:rPr>
              <w:t>578.4</w:t>
            </w:r>
          </w:p>
        </w:tc>
      </w:tr>
    </w:tbl>
    <w:p w14:paraId="45C2C76C" w14:textId="0B685995" w:rsidR="00C028AC" w:rsidRPr="00F760B0" w:rsidRDefault="00202049" w:rsidP="00B205BA">
      <w:pPr>
        <w:spacing w:after="120" w:line="240" w:lineRule="auto"/>
        <w:rPr>
          <w:rFonts w:eastAsia="Calibri" w:cs="Arial"/>
          <w:sz w:val="16"/>
          <w:szCs w:val="16"/>
        </w:rPr>
      </w:pPr>
      <w:r w:rsidRPr="00F760B0">
        <w:rPr>
          <w:rFonts w:eastAsia="Calibri" w:cs="Arial"/>
          <w:sz w:val="16"/>
          <w:szCs w:val="16"/>
        </w:rPr>
        <w:t>Fuente: Comisión Nacional del Agua (CONAGUA). Registro Mensual de Precipitación Pluvial en mm.</w:t>
      </w:r>
    </w:p>
    <w:p w14:paraId="6E47FC87" w14:textId="3F155BFB" w:rsidR="00202049" w:rsidRPr="00F43258" w:rsidRDefault="00202049" w:rsidP="00B205BA">
      <w:pPr>
        <w:spacing w:after="120" w:line="240" w:lineRule="auto"/>
        <w:rPr>
          <w:rFonts w:eastAsia="Calibri" w:cs="Arial"/>
          <w:b/>
        </w:rPr>
      </w:pPr>
      <w:r w:rsidRPr="00F43258">
        <w:rPr>
          <w:rFonts w:eastAsia="Calibri" w:cs="Arial"/>
          <w:b/>
        </w:rPr>
        <w:t>Principales Ecosistemas</w:t>
      </w:r>
      <w:r w:rsidR="00261A27">
        <w:rPr>
          <w:rFonts w:eastAsia="Calibri" w:cs="Arial"/>
          <w:b/>
        </w:rPr>
        <w:t>.</w:t>
      </w:r>
    </w:p>
    <w:p w14:paraId="6C4878E5" w14:textId="6DDEA6D7" w:rsidR="00261A27" w:rsidRPr="00C15D49" w:rsidRDefault="00202049" w:rsidP="00B205BA">
      <w:pPr>
        <w:spacing w:after="120" w:line="240" w:lineRule="auto"/>
        <w:rPr>
          <w:rFonts w:eastAsia="Calibri" w:cs="Arial"/>
          <w:bCs/>
        </w:rPr>
      </w:pPr>
      <w:r w:rsidRPr="00C15D49">
        <w:rPr>
          <w:rFonts w:eastAsia="Calibri" w:cs="Arial"/>
          <w:bCs/>
        </w:rPr>
        <w:t>Flora</w:t>
      </w:r>
      <w:r w:rsidR="00261A27">
        <w:rPr>
          <w:rFonts w:eastAsia="Calibri" w:cs="Arial"/>
          <w:bCs/>
        </w:rPr>
        <w:t>.</w:t>
      </w:r>
    </w:p>
    <w:p w14:paraId="77F4D494" w14:textId="31767923" w:rsidR="00202049" w:rsidRPr="00B205BA" w:rsidRDefault="00202049" w:rsidP="00B205BA">
      <w:pPr>
        <w:spacing w:after="120" w:line="240" w:lineRule="auto"/>
        <w:rPr>
          <w:rFonts w:eastAsia="Calibri" w:cs="Arial"/>
        </w:rPr>
      </w:pPr>
      <w:r w:rsidRPr="00F43258">
        <w:rPr>
          <w:rFonts w:eastAsia="Calibri" w:cs="Arial"/>
        </w:rPr>
        <w:t xml:space="preserve">Sobresale en casi toda la geografía del municipio la vegetación del tipo mezquital, en la que se encuentran: palo fierro, palo verde, huizache y brea. También se encuentran plantas halófilas en la parte costera, y en las cercanías a Bahía de Kino existe vegetación de dunas.  </w:t>
      </w:r>
    </w:p>
    <w:p w14:paraId="068C399D" w14:textId="32011064" w:rsidR="00202049" w:rsidRPr="00C15D49" w:rsidRDefault="00202049" w:rsidP="00B205BA">
      <w:pPr>
        <w:spacing w:after="120" w:line="240" w:lineRule="auto"/>
        <w:rPr>
          <w:rFonts w:eastAsia="Calibri" w:cs="Arial"/>
          <w:bCs/>
        </w:rPr>
      </w:pPr>
      <w:r w:rsidRPr="00C15D49">
        <w:rPr>
          <w:rFonts w:eastAsia="Calibri" w:cs="Arial"/>
          <w:bCs/>
        </w:rPr>
        <w:t>Fauna</w:t>
      </w:r>
      <w:r w:rsidR="00B205BA">
        <w:rPr>
          <w:rFonts w:eastAsia="Calibri" w:cs="Arial"/>
          <w:bCs/>
        </w:rPr>
        <w:t>.</w:t>
      </w:r>
      <w:r w:rsidRPr="00C15D49">
        <w:rPr>
          <w:rFonts w:eastAsia="Calibri" w:cs="Arial"/>
          <w:bCs/>
        </w:rPr>
        <w:t xml:space="preserve"> </w:t>
      </w:r>
    </w:p>
    <w:p w14:paraId="0AE4F151" w14:textId="0FACF66F" w:rsidR="00202049" w:rsidRPr="00F760B0" w:rsidRDefault="00202049" w:rsidP="00B205BA">
      <w:pPr>
        <w:spacing w:after="120" w:line="240" w:lineRule="auto"/>
        <w:rPr>
          <w:rFonts w:eastAsia="Calibri" w:cs="Arial"/>
        </w:rPr>
      </w:pPr>
      <w:r w:rsidRPr="00F43258">
        <w:rPr>
          <w:rFonts w:eastAsia="Calibri" w:cs="Arial"/>
        </w:rPr>
        <w:t xml:space="preserve">En cuanto a la fauna del municipio, predomina el sapo, sapo toro, tortuga del desierto, camaleón, víboras de coralillo, cascabel, sorda, chirrionera, venado cola blanca, borrego, berrendo, puma, lince, conejo, zorra, armadillo entre las principales especies. </w:t>
      </w:r>
    </w:p>
    <w:p w14:paraId="0C0A5405" w14:textId="11B37022" w:rsidR="00202049" w:rsidRPr="00B205BA" w:rsidRDefault="00202049" w:rsidP="00B205BA">
      <w:pPr>
        <w:spacing w:after="120" w:line="240" w:lineRule="auto"/>
        <w:rPr>
          <w:rFonts w:eastAsia="Calibri" w:cs="Arial"/>
          <w:b/>
        </w:rPr>
      </w:pPr>
      <w:r w:rsidRPr="00B205BA">
        <w:rPr>
          <w:rFonts w:eastAsia="Calibri" w:cs="Arial"/>
          <w:b/>
        </w:rPr>
        <w:t>Características y uso de suelo</w:t>
      </w:r>
      <w:r w:rsidR="00B205BA">
        <w:rPr>
          <w:rFonts w:eastAsia="Calibri" w:cs="Arial"/>
          <w:b/>
        </w:rPr>
        <w:t>.</w:t>
      </w:r>
      <w:r w:rsidRPr="00B205BA">
        <w:rPr>
          <w:rFonts w:eastAsia="Calibri" w:cs="Arial"/>
          <w:b/>
        </w:rPr>
        <w:tab/>
      </w:r>
    </w:p>
    <w:p w14:paraId="01A2092E" w14:textId="3D415D81" w:rsidR="00B205BA" w:rsidRPr="00B205BA" w:rsidRDefault="00202049" w:rsidP="00B205BA">
      <w:pPr>
        <w:spacing w:after="120" w:line="240" w:lineRule="auto"/>
        <w:rPr>
          <w:rFonts w:eastAsia="Calibri" w:cs="Arial"/>
        </w:rPr>
      </w:pPr>
      <w:r w:rsidRPr="00C15D49">
        <w:rPr>
          <w:rFonts w:eastAsia="Calibri" w:cs="Arial"/>
          <w:bCs/>
        </w:rPr>
        <w:t>En el municipio se localizan los</w:t>
      </w:r>
      <w:r w:rsidRPr="00F43258">
        <w:rPr>
          <w:rFonts w:eastAsia="Calibri" w:cs="Arial"/>
        </w:rPr>
        <w:t xml:space="preserve"> siguientes tipos de suelo: el litosol, en la zona noroeste y al sur del municipio; el regosol que se localiza al norte, y el yemosol, que se encuentra principalmente en la parte norte del municipio</w:t>
      </w:r>
    </w:p>
    <w:p w14:paraId="20A03C21" w14:textId="6A477083" w:rsidR="00202049" w:rsidRDefault="00C70FEC" w:rsidP="00B205BA">
      <w:pPr>
        <w:spacing w:after="120" w:line="240" w:lineRule="auto"/>
        <w:rPr>
          <w:rFonts w:eastAsia="Calibri" w:cs="Arial"/>
          <w:b/>
          <w:bCs/>
        </w:rPr>
      </w:pPr>
      <w:r w:rsidRPr="00F43258">
        <w:rPr>
          <w:rFonts w:eastAsia="Calibri" w:cs="Arial"/>
          <w:b/>
          <w:bCs/>
        </w:rPr>
        <w:t>TABLA 5. CARACTERÍSTICAS DEL USO DE SUELO EN HERMOSILLO.</w:t>
      </w:r>
    </w:p>
    <w:p w14:paraId="6568F348" w14:textId="77777777" w:rsidR="00261A27" w:rsidRPr="00F43258" w:rsidRDefault="00261A27" w:rsidP="00B205BA">
      <w:pPr>
        <w:spacing w:after="120" w:line="240" w:lineRule="auto"/>
        <w:rPr>
          <w:rFonts w:eastAsia="Calibri" w:cs="Arial"/>
          <w:b/>
          <w:bCs/>
        </w:rPr>
      </w:pPr>
    </w:p>
    <w:tbl>
      <w:tblPr>
        <w:tblW w:w="5904" w:type="dxa"/>
        <w:jc w:val="center"/>
        <w:tblCellMar>
          <w:left w:w="70" w:type="dxa"/>
          <w:right w:w="70" w:type="dxa"/>
        </w:tblCellMar>
        <w:tblLook w:val="04A0" w:firstRow="1" w:lastRow="0" w:firstColumn="1" w:lastColumn="0" w:noHBand="0" w:noVBand="1"/>
      </w:tblPr>
      <w:tblGrid>
        <w:gridCol w:w="3316"/>
        <w:gridCol w:w="1518"/>
        <w:gridCol w:w="1070"/>
      </w:tblGrid>
      <w:tr w:rsidR="00202049" w:rsidRPr="00F43258" w14:paraId="49A7A2E8" w14:textId="77777777" w:rsidTr="000635AB">
        <w:trPr>
          <w:trHeight w:val="267"/>
          <w:jc w:val="center"/>
        </w:trPr>
        <w:tc>
          <w:tcPr>
            <w:tcW w:w="3316" w:type="dxa"/>
            <w:tcBorders>
              <w:top w:val="nil"/>
              <w:left w:val="single" w:sz="4" w:space="0" w:color="BFBFBF"/>
              <w:bottom w:val="nil"/>
              <w:right w:val="single" w:sz="4" w:space="0" w:color="FFFFFF"/>
            </w:tcBorders>
            <w:shd w:val="clear" w:color="auto" w:fill="F2F2F2" w:themeFill="background1" w:themeFillShade="F2"/>
            <w:noWrap/>
            <w:vAlign w:val="center"/>
            <w:hideMark/>
          </w:tcPr>
          <w:p w14:paraId="3E2F8C10" w14:textId="77777777" w:rsidR="00202049" w:rsidRPr="00F43258" w:rsidRDefault="00202049" w:rsidP="00B205BA">
            <w:pPr>
              <w:spacing w:after="120" w:line="240" w:lineRule="auto"/>
              <w:rPr>
                <w:rFonts w:cs="Arial"/>
                <w:lang w:eastAsia="es-MX"/>
              </w:rPr>
            </w:pPr>
            <w:r w:rsidRPr="00F43258">
              <w:rPr>
                <w:rFonts w:cs="Arial"/>
                <w:lang w:eastAsia="es-MX"/>
              </w:rPr>
              <w:t>TIPO/USO</w:t>
            </w:r>
          </w:p>
        </w:tc>
        <w:tc>
          <w:tcPr>
            <w:tcW w:w="1518" w:type="dxa"/>
            <w:tcBorders>
              <w:top w:val="nil"/>
              <w:left w:val="nil"/>
              <w:bottom w:val="nil"/>
              <w:right w:val="single" w:sz="4" w:space="0" w:color="FFFFFF"/>
            </w:tcBorders>
            <w:shd w:val="clear" w:color="auto" w:fill="F2F2F2" w:themeFill="background1" w:themeFillShade="F2"/>
            <w:noWrap/>
            <w:vAlign w:val="center"/>
            <w:hideMark/>
          </w:tcPr>
          <w:p w14:paraId="411D25FE" w14:textId="77777777" w:rsidR="00202049" w:rsidRPr="00F43258" w:rsidRDefault="00202049" w:rsidP="00B205BA">
            <w:pPr>
              <w:spacing w:after="120" w:line="240" w:lineRule="auto"/>
              <w:rPr>
                <w:rFonts w:cs="Arial"/>
                <w:lang w:eastAsia="es-MX"/>
              </w:rPr>
            </w:pPr>
            <w:r w:rsidRPr="00F43258">
              <w:rPr>
                <w:rFonts w:cs="Arial"/>
                <w:lang w:eastAsia="es-MX"/>
              </w:rPr>
              <w:t>Área</w:t>
            </w:r>
          </w:p>
        </w:tc>
        <w:tc>
          <w:tcPr>
            <w:tcW w:w="1070" w:type="dxa"/>
            <w:tcBorders>
              <w:top w:val="nil"/>
              <w:left w:val="nil"/>
              <w:bottom w:val="nil"/>
              <w:right w:val="single" w:sz="4" w:space="0" w:color="BFBFBF"/>
            </w:tcBorders>
            <w:shd w:val="clear" w:color="auto" w:fill="F2F2F2" w:themeFill="background1" w:themeFillShade="F2"/>
            <w:noWrap/>
            <w:vAlign w:val="center"/>
            <w:hideMark/>
          </w:tcPr>
          <w:p w14:paraId="1647557F" w14:textId="77777777" w:rsidR="00202049" w:rsidRPr="00F43258" w:rsidRDefault="00202049" w:rsidP="00B205BA">
            <w:pPr>
              <w:spacing w:after="120" w:line="240" w:lineRule="auto"/>
              <w:rPr>
                <w:rFonts w:cs="Arial"/>
                <w:lang w:eastAsia="es-MX"/>
              </w:rPr>
            </w:pPr>
            <w:r w:rsidRPr="00F43258">
              <w:rPr>
                <w:rFonts w:cs="Arial"/>
                <w:lang w:eastAsia="es-MX"/>
              </w:rPr>
              <w:t>%</w:t>
            </w:r>
          </w:p>
        </w:tc>
      </w:tr>
      <w:tr w:rsidR="00202049" w:rsidRPr="00F43258" w14:paraId="791500DE" w14:textId="77777777" w:rsidTr="000635AB">
        <w:trPr>
          <w:trHeight w:val="267"/>
          <w:jc w:val="center"/>
        </w:trPr>
        <w:tc>
          <w:tcPr>
            <w:tcW w:w="331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F2179D8" w14:textId="77777777" w:rsidR="00202049" w:rsidRPr="00F43258" w:rsidRDefault="00202049" w:rsidP="00B205BA">
            <w:pPr>
              <w:spacing w:after="120" w:line="240" w:lineRule="auto"/>
              <w:rPr>
                <w:rFonts w:cs="Arial"/>
                <w:bCs/>
                <w:lang w:eastAsia="es-MX"/>
              </w:rPr>
            </w:pPr>
            <w:r w:rsidRPr="00F43258">
              <w:rPr>
                <w:rFonts w:cs="Arial"/>
                <w:bCs/>
                <w:lang w:eastAsia="es-MX"/>
              </w:rPr>
              <w:t>Riego</w:t>
            </w:r>
          </w:p>
        </w:tc>
        <w:tc>
          <w:tcPr>
            <w:tcW w:w="1518" w:type="dxa"/>
            <w:tcBorders>
              <w:top w:val="single" w:sz="4" w:space="0" w:color="BFBFBF"/>
              <w:left w:val="nil"/>
              <w:bottom w:val="single" w:sz="4" w:space="0" w:color="BFBFBF"/>
              <w:right w:val="single" w:sz="4" w:space="0" w:color="BFBFBF"/>
            </w:tcBorders>
            <w:shd w:val="clear" w:color="auto" w:fill="auto"/>
            <w:noWrap/>
            <w:vAlign w:val="center"/>
            <w:hideMark/>
          </w:tcPr>
          <w:p w14:paraId="024C2BF7" w14:textId="77777777" w:rsidR="00202049" w:rsidRPr="00F43258" w:rsidRDefault="00202049" w:rsidP="00B205BA">
            <w:pPr>
              <w:spacing w:after="120" w:line="240" w:lineRule="auto"/>
              <w:rPr>
                <w:rFonts w:cs="Arial"/>
                <w:lang w:eastAsia="es-MX"/>
              </w:rPr>
            </w:pPr>
            <w:r w:rsidRPr="00F43258">
              <w:rPr>
                <w:rFonts w:cs="Arial"/>
                <w:lang w:eastAsia="es-MX"/>
              </w:rPr>
              <w:t>2,292.79</w:t>
            </w:r>
          </w:p>
        </w:tc>
        <w:tc>
          <w:tcPr>
            <w:tcW w:w="1070" w:type="dxa"/>
            <w:tcBorders>
              <w:top w:val="single" w:sz="4" w:space="0" w:color="BFBFBF"/>
              <w:left w:val="nil"/>
              <w:bottom w:val="single" w:sz="4" w:space="0" w:color="BFBFBF"/>
              <w:right w:val="single" w:sz="4" w:space="0" w:color="BFBFBF"/>
            </w:tcBorders>
            <w:shd w:val="clear" w:color="auto" w:fill="auto"/>
            <w:noWrap/>
            <w:vAlign w:val="center"/>
            <w:hideMark/>
          </w:tcPr>
          <w:p w14:paraId="3F3F43B3" w14:textId="77777777" w:rsidR="00202049" w:rsidRPr="00F43258" w:rsidRDefault="00202049" w:rsidP="00B205BA">
            <w:pPr>
              <w:spacing w:after="120" w:line="240" w:lineRule="auto"/>
              <w:rPr>
                <w:rFonts w:cs="Arial"/>
                <w:lang w:eastAsia="es-MX"/>
              </w:rPr>
            </w:pPr>
            <w:r w:rsidRPr="00F43258">
              <w:rPr>
                <w:rFonts w:cs="Arial"/>
                <w:lang w:eastAsia="es-MX"/>
              </w:rPr>
              <w:t>14.68</w:t>
            </w:r>
          </w:p>
        </w:tc>
      </w:tr>
      <w:tr w:rsidR="00202049" w:rsidRPr="00F43258" w14:paraId="0373BA53" w14:textId="77777777" w:rsidTr="000635AB">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35CF497F" w14:textId="77777777" w:rsidR="00202049" w:rsidRPr="00F43258" w:rsidRDefault="00202049" w:rsidP="00B205BA">
            <w:pPr>
              <w:spacing w:after="120" w:line="240" w:lineRule="auto"/>
              <w:rPr>
                <w:rFonts w:cs="Arial"/>
                <w:bCs/>
                <w:lang w:eastAsia="es-MX"/>
              </w:rPr>
            </w:pPr>
            <w:r w:rsidRPr="00F43258">
              <w:rPr>
                <w:rFonts w:cs="Arial"/>
                <w:bCs/>
                <w:lang w:eastAsia="es-MX"/>
              </w:rPr>
              <w:t>No aplicable</w:t>
            </w:r>
          </w:p>
        </w:tc>
        <w:tc>
          <w:tcPr>
            <w:tcW w:w="1518" w:type="dxa"/>
            <w:tcBorders>
              <w:top w:val="nil"/>
              <w:left w:val="nil"/>
              <w:bottom w:val="single" w:sz="4" w:space="0" w:color="BFBFBF"/>
              <w:right w:val="single" w:sz="4" w:space="0" w:color="BFBFBF"/>
            </w:tcBorders>
            <w:shd w:val="clear" w:color="auto" w:fill="auto"/>
            <w:noWrap/>
            <w:vAlign w:val="center"/>
            <w:hideMark/>
          </w:tcPr>
          <w:p w14:paraId="6C4368EC" w14:textId="77777777" w:rsidR="00202049" w:rsidRPr="00F43258" w:rsidRDefault="00202049" w:rsidP="00B205BA">
            <w:pPr>
              <w:spacing w:after="120" w:line="240" w:lineRule="auto"/>
              <w:rPr>
                <w:rFonts w:cs="Arial"/>
                <w:lang w:eastAsia="es-MX"/>
              </w:rPr>
            </w:pPr>
            <w:r w:rsidRPr="00F43258">
              <w:rPr>
                <w:rFonts w:cs="Arial"/>
                <w:lang w:eastAsia="es-MX"/>
              </w:rPr>
              <w:t>106.45</w:t>
            </w:r>
          </w:p>
        </w:tc>
        <w:tc>
          <w:tcPr>
            <w:tcW w:w="1070" w:type="dxa"/>
            <w:tcBorders>
              <w:top w:val="nil"/>
              <w:left w:val="nil"/>
              <w:bottom w:val="single" w:sz="4" w:space="0" w:color="BFBFBF"/>
              <w:right w:val="single" w:sz="4" w:space="0" w:color="BFBFBF"/>
            </w:tcBorders>
            <w:shd w:val="clear" w:color="auto" w:fill="auto"/>
            <w:noWrap/>
            <w:vAlign w:val="center"/>
            <w:hideMark/>
          </w:tcPr>
          <w:p w14:paraId="711D1321" w14:textId="77777777" w:rsidR="00202049" w:rsidRPr="00F43258" w:rsidRDefault="00202049" w:rsidP="00B205BA">
            <w:pPr>
              <w:spacing w:after="120" w:line="240" w:lineRule="auto"/>
              <w:rPr>
                <w:rFonts w:cs="Arial"/>
                <w:lang w:eastAsia="es-MX"/>
              </w:rPr>
            </w:pPr>
            <w:r w:rsidRPr="00F43258">
              <w:rPr>
                <w:rFonts w:cs="Arial"/>
                <w:lang w:eastAsia="es-MX"/>
              </w:rPr>
              <w:t>0.68</w:t>
            </w:r>
          </w:p>
        </w:tc>
      </w:tr>
      <w:tr w:rsidR="00202049" w:rsidRPr="00F43258" w14:paraId="3D5D0AE1" w14:textId="77777777" w:rsidTr="000635AB">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09BFB3D5" w14:textId="77777777" w:rsidR="00202049" w:rsidRPr="00F43258" w:rsidRDefault="00202049" w:rsidP="00B205BA">
            <w:pPr>
              <w:spacing w:after="120" w:line="240" w:lineRule="auto"/>
              <w:rPr>
                <w:rFonts w:cs="Arial"/>
                <w:bCs/>
                <w:lang w:eastAsia="es-MX"/>
              </w:rPr>
            </w:pPr>
            <w:r w:rsidRPr="00F43258">
              <w:rPr>
                <w:rFonts w:cs="Arial"/>
                <w:bCs/>
                <w:lang w:eastAsia="es-MX"/>
              </w:rPr>
              <w:t>Bosque de encino</w:t>
            </w:r>
          </w:p>
        </w:tc>
        <w:tc>
          <w:tcPr>
            <w:tcW w:w="1518" w:type="dxa"/>
            <w:tcBorders>
              <w:top w:val="nil"/>
              <w:left w:val="nil"/>
              <w:bottom w:val="single" w:sz="4" w:space="0" w:color="BFBFBF"/>
              <w:right w:val="single" w:sz="4" w:space="0" w:color="BFBFBF"/>
            </w:tcBorders>
            <w:shd w:val="clear" w:color="auto" w:fill="auto"/>
            <w:noWrap/>
            <w:vAlign w:val="center"/>
            <w:hideMark/>
          </w:tcPr>
          <w:p w14:paraId="1A62B644" w14:textId="77777777" w:rsidR="00202049" w:rsidRPr="00F43258" w:rsidRDefault="00202049" w:rsidP="00B205BA">
            <w:pPr>
              <w:spacing w:after="120" w:line="240" w:lineRule="auto"/>
              <w:rPr>
                <w:rFonts w:cs="Arial"/>
                <w:lang w:eastAsia="es-MX"/>
              </w:rPr>
            </w:pPr>
            <w:r w:rsidRPr="00F43258">
              <w:rPr>
                <w:rFonts w:cs="Arial"/>
                <w:lang w:eastAsia="es-MX"/>
              </w:rPr>
              <w:t>9.84</w:t>
            </w:r>
          </w:p>
        </w:tc>
        <w:tc>
          <w:tcPr>
            <w:tcW w:w="1070" w:type="dxa"/>
            <w:tcBorders>
              <w:top w:val="nil"/>
              <w:left w:val="nil"/>
              <w:bottom w:val="single" w:sz="4" w:space="0" w:color="BFBFBF"/>
              <w:right w:val="single" w:sz="4" w:space="0" w:color="BFBFBF"/>
            </w:tcBorders>
            <w:shd w:val="clear" w:color="auto" w:fill="auto"/>
            <w:noWrap/>
            <w:vAlign w:val="center"/>
            <w:hideMark/>
          </w:tcPr>
          <w:p w14:paraId="57F717E8" w14:textId="77777777" w:rsidR="00202049" w:rsidRPr="00F43258" w:rsidRDefault="00202049" w:rsidP="00B205BA">
            <w:pPr>
              <w:spacing w:after="120" w:line="240" w:lineRule="auto"/>
              <w:rPr>
                <w:rFonts w:cs="Arial"/>
                <w:lang w:eastAsia="es-MX"/>
              </w:rPr>
            </w:pPr>
            <w:r w:rsidRPr="00F43258">
              <w:rPr>
                <w:rFonts w:cs="Arial"/>
                <w:lang w:eastAsia="es-MX"/>
              </w:rPr>
              <w:t>0.06</w:t>
            </w:r>
          </w:p>
        </w:tc>
      </w:tr>
      <w:tr w:rsidR="00202049" w:rsidRPr="00F43258" w14:paraId="5FBE8C75" w14:textId="77777777" w:rsidTr="000635AB">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35772D49" w14:textId="77777777" w:rsidR="00202049" w:rsidRPr="00F43258" w:rsidRDefault="00202049" w:rsidP="00B205BA">
            <w:pPr>
              <w:spacing w:after="120" w:line="240" w:lineRule="auto"/>
              <w:rPr>
                <w:rFonts w:cs="Arial"/>
                <w:bCs/>
                <w:lang w:eastAsia="es-MX"/>
              </w:rPr>
            </w:pPr>
            <w:r w:rsidRPr="00F43258">
              <w:rPr>
                <w:rFonts w:cs="Arial"/>
                <w:bCs/>
                <w:lang w:eastAsia="es-MX"/>
              </w:rPr>
              <w:t>Cuerpo de agua</w:t>
            </w:r>
          </w:p>
        </w:tc>
        <w:tc>
          <w:tcPr>
            <w:tcW w:w="1518" w:type="dxa"/>
            <w:tcBorders>
              <w:top w:val="nil"/>
              <w:left w:val="nil"/>
              <w:bottom w:val="single" w:sz="4" w:space="0" w:color="BFBFBF"/>
              <w:right w:val="single" w:sz="4" w:space="0" w:color="BFBFBF"/>
            </w:tcBorders>
            <w:shd w:val="clear" w:color="auto" w:fill="auto"/>
            <w:noWrap/>
            <w:vAlign w:val="center"/>
            <w:hideMark/>
          </w:tcPr>
          <w:p w14:paraId="3811114D" w14:textId="77777777" w:rsidR="00202049" w:rsidRPr="00F43258" w:rsidRDefault="00202049" w:rsidP="00B205BA">
            <w:pPr>
              <w:spacing w:after="120" w:line="240" w:lineRule="auto"/>
              <w:rPr>
                <w:rFonts w:cs="Arial"/>
                <w:lang w:eastAsia="es-MX"/>
              </w:rPr>
            </w:pPr>
            <w:r w:rsidRPr="00F43258">
              <w:rPr>
                <w:rFonts w:cs="Arial"/>
                <w:lang w:eastAsia="es-MX"/>
              </w:rPr>
              <w:t>32.50</w:t>
            </w:r>
          </w:p>
        </w:tc>
        <w:tc>
          <w:tcPr>
            <w:tcW w:w="1070" w:type="dxa"/>
            <w:tcBorders>
              <w:top w:val="nil"/>
              <w:left w:val="nil"/>
              <w:bottom w:val="single" w:sz="4" w:space="0" w:color="BFBFBF"/>
              <w:right w:val="single" w:sz="4" w:space="0" w:color="BFBFBF"/>
            </w:tcBorders>
            <w:shd w:val="clear" w:color="auto" w:fill="auto"/>
            <w:noWrap/>
            <w:vAlign w:val="center"/>
            <w:hideMark/>
          </w:tcPr>
          <w:p w14:paraId="01D19144" w14:textId="77777777" w:rsidR="00202049" w:rsidRPr="00F43258" w:rsidRDefault="00202049" w:rsidP="00B205BA">
            <w:pPr>
              <w:spacing w:after="120" w:line="240" w:lineRule="auto"/>
              <w:rPr>
                <w:rFonts w:cs="Arial"/>
                <w:lang w:eastAsia="es-MX"/>
              </w:rPr>
            </w:pPr>
            <w:r w:rsidRPr="00F43258">
              <w:rPr>
                <w:rFonts w:cs="Arial"/>
                <w:lang w:eastAsia="es-MX"/>
              </w:rPr>
              <w:t>0.21</w:t>
            </w:r>
          </w:p>
        </w:tc>
      </w:tr>
      <w:tr w:rsidR="00202049" w:rsidRPr="00F43258" w14:paraId="20EE5371" w14:textId="77777777" w:rsidTr="000635AB">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2C1F4B89" w14:textId="77777777" w:rsidR="00202049" w:rsidRPr="00F43258" w:rsidRDefault="00202049" w:rsidP="00B205BA">
            <w:pPr>
              <w:spacing w:after="120" w:line="240" w:lineRule="auto"/>
              <w:rPr>
                <w:rFonts w:cs="Arial"/>
                <w:bCs/>
                <w:lang w:eastAsia="es-MX"/>
              </w:rPr>
            </w:pPr>
            <w:r w:rsidRPr="00F43258">
              <w:rPr>
                <w:rFonts w:cs="Arial"/>
                <w:bCs/>
                <w:lang w:eastAsia="es-MX"/>
              </w:rPr>
              <w:t>Zona Urbana</w:t>
            </w:r>
          </w:p>
        </w:tc>
        <w:tc>
          <w:tcPr>
            <w:tcW w:w="1518" w:type="dxa"/>
            <w:tcBorders>
              <w:top w:val="nil"/>
              <w:left w:val="nil"/>
              <w:bottom w:val="single" w:sz="4" w:space="0" w:color="BFBFBF"/>
              <w:right w:val="single" w:sz="4" w:space="0" w:color="BFBFBF"/>
            </w:tcBorders>
            <w:shd w:val="clear" w:color="auto" w:fill="auto"/>
            <w:noWrap/>
            <w:vAlign w:val="center"/>
            <w:hideMark/>
          </w:tcPr>
          <w:p w14:paraId="47A187E2" w14:textId="77777777" w:rsidR="00202049" w:rsidRPr="00F43258" w:rsidRDefault="00202049" w:rsidP="00B205BA">
            <w:pPr>
              <w:spacing w:after="120" w:line="240" w:lineRule="auto"/>
              <w:rPr>
                <w:rFonts w:cs="Arial"/>
                <w:lang w:eastAsia="es-MX"/>
              </w:rPr>
            </w:pPr>
            <w:r w:rsidRPr="00F43258">
              <w:rPr>
                <w:rFonts w:cs="Arial"/>
                <w:lang w:eastAsia="es-MX"/>
              </w:rPr>
              <w:t>120.29</w:t>
            </w:r>
          </w:p>
        </w:tc>
        <w:tc>
          <w:tcPr>
            <w:tcW w:w="1070" w:type="dxa"/>
            <w:tcBorders>
              <w:top w:val="nil"/>
              <w:left w:val="nil"/>
              <w:bottom w:val="single" w:sz="4" w:space="0" w:color="BFBFBF"/>
              <w:right w:val="single" w:sz="4" w:space="0" w:color="BFBFBF"/>
            </w:tcBorders>
            <w:shd w:val="clear" w:color="auto" w:fill="auto"/>
            <w:noWrap/>
            <w:vAlign w:val="center"/>
            <w:hideMark/>
          </w:tcPr>
          <w:p w14:paraId="1AE6BD06" w14:textId="77777777" w:rsidR="00202049" w:rsidRPr="00F43258" w:rsidRDefault="00202049" w:rsidP="00B205BA">
            <w:pPr>
              <w:spacing w:after="120" w:line="240" w:lineRule="auto"/>
              <w:rPr>
                <w:rFonts w:cs="Arial"/>
                <w:lang w:eastAsia="es-MX"/>
              </w:rPr>
            </w:pPr>
            <w:r w:rsidRPr="00F43258">
              <w:rPr>
                <w:rFonts w:cs="Arial"/>
                <w:lang w:eastAsia="es-MX"/>
              </w:rPr>
              <w:t>0.77</w:t>
            </w:r>
          </w:p>
        </w:tc>
      </w:tr>
      <w:tr w:rsidR="00202049" w:rsidRPr="00F43258" w14:paraId="1569A462" w14:textId="77777777" w:rsidTr="000635AB">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7203DBBB" w14:textId="77777777" w:rsidR="00202049" w:rsidRPr="00F43258" w:rsidRDefault="00202049" w:rsidP="00B205BA">
            <w:pPr>
              <w:spacing w:after="120" w:line="240" w:lineRule="auto"/>
              <w:rPr>
                <w:rFonts w:cs="Arial"/>
                <w:bCs/>
                <w:lang w:eastAsia="es-MX"/>
              </w:rPr>
            </w:pPr>
            <w:r w:rsidRPr="00F43258">
              <w:rPr>
                <w:rFonts w:cs="Arial"/>
                <w:bCs/>
                <w:lang w:eastAsia="es-MX"/>
              </w:rPr>
              <w:t>Matorral desértico micrófilo</w:t>
            </w:r>
          </w:p>
        </w:tc>
        <w:tc>
          <w:tcPr>
            <w:tcW w:w="1518" w:type="dxa"/>
            <w:tcBorders>
              <w:top w:val="nil"/>
              <w:left w:val="nil"/>
              <w:bottom w:val="single" w:sz="4" w:space="0" w:color="BFBFBF"/>
              <w:right w:val="single" w:sz="4" w:space="0" w:color="BFBFBF"/>
            </w:tcBorders>
            <w:shd w:val="clear" w:color="auto" w:fill="auto"/>
            <w:noWrap/>
            <w:vAlign w:val="center"/>
            <w:hideMark/>
          </w:tcPr>
          <w:p w14:paraId="1911924B" w14:textId="77777777" w:rsidR="00202049" w:rsidRPr="00F43258" w:rsidRDefault="00202049" w:rsidP="00B205BA">
            <w:pPr>
              <w:spacing w:after="120" w:line="240" w:lineRule="auto"/>
              <w:rPr>
                <w:rFonts w:cs="Arial"/>
                <w:lang w:eastAsia="es-MX"/>
              </w:rPr>
            </w:pPr>
            <w:r w:rsidRPr="00F43258">
              <w:rPr>
                <w:rFonts w:cs="Arial"/>
                <w:lang w:eastAsia="es-MX"/>
              </w:rPr>
              <w:t>6,393.56</w:t>
            </w:r>
          </w:p>
        </w:tc>
        <w:tc>
          <w:tcPr>
            <w:tcW w:w="1070" w:type="dxa"/>
            <w:tcBorders>
              <w:top w:val="nil"/>
              <w:left w:val="nil"/>
              <w:bottom w:val="single" w:sz="4" w:space="0" w:color="BFBFBF"/>
              <w:right w:val="single" w:sz="4" w:space="0" w:color="BFBFBF"/>
            </w:tcBorders>
            <w:shd w:val="clear" w:color="auto" w:fill="auto"/>
            <w:noWrap/>
            <w:vAlign w:val="center"/>
            <w:hideMark/>
          </w:tcPr>
          <w:p w14:paraId="5225F660" w14:textId="77777777" w:rsidR="00202049" w:rsidRPr="00F43258" w:rsidRDefault="00202049" w:rsidP="00B205BA">
            <w:pPr>
              <w:spacing w:after="120" w:line="240" w:lineRule="auto"/>
              <w:rPr>
                <w:rFonts w:cs="Arial"/>
                <w:lang w:eastAsia="es-MX"/>
              </w:rPr>
            </w:pPr>
            <w:r w:rsidRPr="00F43258">
              <w:rPr>
                <w:rFonts w:cs="Arial"/>
                <w:lang w:eastAsia="es-MX"/>
              </w:rPr>
              <w:t>40.92</w:t>
            </w:r>
          </w:p>
        </w:tc>
      </w:tr>
      <w:tr w:rsidR="00202049" w:rsidRPr="00F43258" w14:paraId="4A37C5B3" w14:textId="77777777" w:rsidTr="000635AB">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vAlign w:val="center"/>
            <w:hideMark/>
          </w:tcPr>
          <w:p w14:paraId="10D3FF79" w14:textId="77777777" w:rsidR="00202049" w:rsidRPr="00F43258" w:rsidRDefault="00202049" w:rsidP="00B205BA">
            <w:pPr>
              <w:spacing w:after="120" w:line="240" w:lineRule="auto"/>
              <w:rPr>
                <w:rFonts w:cs="Arial"/>
                <w:bCs/>
                <w:lang w:eastAsia="es-MX"/>
              </w:rPr>
            </w:pPr>
            <w:r w:rsidRPr="00F43258">
              <w:rPr>
                <w:rFonts w:cs="Arial"/>
                <w:bCs/>
                <w:lang w:eastAsia="es-MX"/>
              </w:rPr>
              <w:t>Vegetación de desiertos arenosos</w:t>
            </w:r>
          </w:p>
        </w:tc>
        <w:tc>
          <w:tcPr>
            <w:tcW w:w="1518" w:type="dxa"/>
            <w:tcBorders>
              <w:top w:val="nil"/>
              <w:left w:val="nil"/>
              <w:bottom w:val="single" w:sz="4" w:space="0" w:color="BFBFBF"/>
              <w:right w:val="single" w:sz="4" w:space="0" w:color="BFBFBF"/>
            </w:tcBorders>
            <w:shd w:val="clear" w:color="auto" w:fill="auto"/>
            <w:noWrap/>
            <w:vAlign w:val="center"/>
            <w:hideMark/>
          </w:tcPr>
          <w:p w14:paraId="2FFC7D74" w14:textId="77777777" w:rsidR="00202049" w:rsidRPr="00F43258" w:rsidRDefault="00202049" w:rsidP="00B205BA">
            <w:pPr>
              <w:spacing w:after="120" w:line="240" w:lineRule="auto"/>
              <w:rPr>
                <w:rFonts w:cs="Arial"/>
                <w:lang w:eastAsia="es-MX"/>
              </w:rPr>
            </w:pPr>
            <w:r w:rsidRPr="00F43258">
              <w:rPr>
                <w:rFonts w:cs="Arial"/>
                <w:lang w:eastAsia="es-MX"/>
              </w:rPr>
              <w:t>6,181.73</w:t>
            </w:r>
          </w:p>
        </w:tc>
        <w:tc>
          <w:tcPr>
            <w:tcW w:w="1070" w:type="dxa"/>
            <w:tcBorders>
              <w:top w:val="nil"/>
              <w:left w:val="nil"/>
              <w:bottom w:val="single" w:sz="4" w:space="0" w:color="BFBFBF"/>
              <w:right w:val="single" w:sz="4" w:space="0" w:color="BFBFBF"/>
            </w:tcBorders>
            <w:shd w:val="clear" w:color="auto" w:fill="auto"/>
            <w:noWrap/>
            <w:vAlign w:val="center"/>
            <w:hideMark/>
          </w:tcPr>
          <w:p w14:paraId="0465A356" w14:textId="77777777" w:rsidR="00202049" w:rsidRPr="00F43258" w:rsidRDefault="00202049" w:rsidP="00B205BA">
            <w:pPr>
              <w:spacing w:after="120" w:line="240" w:lineRule="auto"/>
              <w:rPr>
                <w:rFonts w:cs="Arial"/>
                <w:lang w:eastAsia="es-MX"/>
              </w:rPr>
            </w:pPr>
            <w:r w:rsidRPr="00F43258">
              <w:rPr>
                <w:rFonts w:cs="Arial"/>
                <w:lang w:eastAsia="es-MX"/>
              </w:rPr>
              <w:t>39.57</w:t>
            </w:r>
          </w:p>
        </w:tc>
      </w:tr>
      <w:tr w:rsidR="00202049" w:rsidRPr="00F43258" w14:paraId="396E456F" w14:textId="77777777" w:rsidTr="000635AB">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58A84B5A" w14:textId="77777777" w:rsidR="00202049" w:rsidRPr="00F43258" w:rsidRDefault="00202049" w:rsidP="00B205BA">
            <w:pPr>
              <w:spacing w:after="120" w:line="240" w:lineRule="auto"/>
              <w:rPr>
                <w:rFonts w:cs="Arial"/>
                <w:bCs/>
                <w:lang w:eastAsia="es-MX"/>
              </w:rPr>
            </w:pPr>
            <w:r w:rsidRPr="00F43258">
              <w:rPr>
                <w:rFonts w:cs="Arial"/>
                <w:bCs/>
                <w:lang w:eastAsia="es-MX"/>
              </w:rPr>
              <w:t>Pastizal inducido</w:t>
            </w:r>
          </w:p>
        </w:tc>
        <w:tc>
          <w:tcPr>
            <w:tcW w:w="1518" w:type="dxa"/>
            <w:tcBorders>
              <w:top w:val="nil"/>
              <w:left w:val="nil"/>
              <w:bottom w:val="single" w:sz="4" w:space="0" w:color="BFBFBF"/>
              <w:right w:val="single" w:sz="4" w:space="0" w:color="BFBFBF"/>
            </w:tcBorders>
            <w:shd w:val="clear" w:color="auto" w:fill="auto"/>
            <w:noWrap/>
            <w:vAlign w:val="center"/>
            <w:hideMark/>
          </w:tcPr>
          <w:p w14:paraId="4B5FA80B" w14:textId="77777777" w:rsidR="00202049" w:rsidRPr="00F43258" w:rsidRDefault="00202049" w:rsidP="00B205BA">
            <w:pPr>
              <w:spacing w:after="120" w:line="240" w:lineRule="auto"/>
              <w:rPr>
                <w:rFonts w:cs="Arial"/>
                <w:lang w:eastAsia="es-MX"/>
              </w:rPr>
            </w:pPr>
            <w:r w:rsidRPr="00F43258">
              <w:rPr>
                <w:rFonts w:cs="Arial"/>
                <w:lang w:eastAsia="es-MX"/>
              </w:rPr>
              <w:t>473.90</w:t>
            </w:r>
          </w:p>
        </w:tc>
        <w:tc>
          <w:tcPr>
            <w:tcW w:w="1070" w:type="dxa"/>
            <w:tcBorders>
              <w:top w:val="nil"/>
              <w:left w:val="nil"/>
              <w:bottom w:val="single" w:sz="4" w:space="0" w:color="BFBFBF"/>
              <w:right w:val="single" w:sz="4" w:space="0" w:color="BFBFBF"/>
            </w:tcBorders>
            <w:shd w:val="clear" w:color="auto" w:fill="auto"/>
            <w:noWrap/>
            <w:vAlign w:val="center"/>
            <w:hideMark/>
          </w:tcPr>
          <w:p w14:paraId="2FBE7A80" w14:textId="77777777" w:rsidR="00202049" w:rsidRPr="00F43258" w:rsidRDefault="00202049" w:rsidP="00B205BA">
            <w:pPr>
              <w:spacing w:after="120" w:line="240" w:lineRule="auto"/>
              <w:rPr>
                <w:rFonts w:cs="Arial"/>
                <w:lang w:eastAsia="es-MX"/>
              </w:rPr>
            </w:pPr>
            <w:r w:rsidRPr="00F43258">
              <w:rPr>
                <w:rFonts w:cs="Arial"/>
                <w:lang w:eastAsia="es-MX"/>
              </w:rPr>
              <w:t>3.03</w:t>
            </w:r>
          </w:p>
        </w:tc>
      </w:tr>
      <w:tr w:rsidR="00202049" w:rsidRPr="00F43258" w14:paraId="4EDA58C6" w14:textId="77777777" w:rsidTr="000635AB">
        <w:trPr>
          <w:trHeight w:val="267"/>
          <w:jc w:val="center"/>
        </w:trPr>
        <w:tc>
          <w:tcPr>
            <w:tcW w:w="3316" w:type="dxa"/>
            <w:tcBorders>
              <w:top w:val="nil"/>
              <w:left w:val="single" w:sz="4" w:space="0" w:color="BFBFBF"/>
              <w:bottom w:val="single" w:sz="4" w:space="0" w:color="BFBFBF"/>
              <w:right w:val="single" w:sz="4" w:space="0" w:color="BFBFBF"/>
            </w:tcBorders>
            <w:shd w:val="clear" w:color="auto" w:fill="auto"/>
            <w:noWrap/>
            <w:vAlign w:val="center"/>
            <w:hideMark/>
          </w:tcPr>
          <w:p w14:paraId="566A915C" w14:textId="77777777" w:rsidR="00202049" w:rsidRPr="00F43258" w:rsidRDefault="00202049" w:rsidP="00B205BA">
            <w:pPr>
              <w:spacing w:after="120" w:line="240" w:lineRule="auto"/>
              <w:rPr>
                <w:rFonts w:cs="Arial"/>
                <w:bCs/>
                <w:lang w:eastAsia="es-MX"/>
              </w:rPr>
            </w:pPr>
            <w:r w:rsidRPr="00F43258">
              <w:rPr>
                <w:rFonts w:cs="Arial"/>
                <w:bCs/>
                <w:lang w:eastAsia="es-MX"/>
              </w:rPr>
              <w:t>Selva baja caducifolia</w:t>
            </w:r>
          </w:p>
        </w:tc>
        <w:tc>
          <w:tcPr>
            <w:tcW w:w="1518" w:type="dxa"/>
            <w:tcBorders>
              <w:top w:val="nil"/>
              <w:left w:val="nil"/>
              <w:bottom w:val="single" w:sz="4" w:space="0" w:color="BFBFBF"/>
              <w:right w:val="single" w:sz="4" w:space="0" w:color="BFBFBF"/>
            </w:tcBorders>
            <w:shd w:val="clear" w:color="auto" w:fill="auto"/>
            <w:noWrap/>
            <w:vAlign w:val="center"/>
            <w:hideMark/>
          </w:tcPr>
          <w:p w14:paraId="51574EB0" w14:textId="77777777" w:rsidR="00202049" w:rsidRPr="00F43258" w:rsidRDefault="00202049" w:rsidP="00B205BA">
            <w:pPr>
              <w:spacing w:after="120" w:line="240" w:lineRule="auto"/>
              <w:rPr>
                <w:rFonts w:cs="Arial"/>
                <w:lang w:eastAsia="es-MX"/>
              </w:rPr>
            </w:pPr>
            <w:r w:rsidRPr="00F43258">
              <w:rPr>
                <w:rFonts w:cs="Arial"/>
                <w:lang w:eastAsia="es-MX"/>
              </w:rPr>
              <w:t>12.08</w:t>
            </w:r>
          </w:p>
        </w:tc>
        <w:tc>
          <w:tcPr>
            <w:tcW w:w="1070" w:type="dxa"/>
            <w:tcBorders>
              <w:top w:val="nil"/>
              <w:left w:val="nil"/>
              <w:bottom w:val="single" w:sz="4" w:space="0" w:color="BFBFBF"/>
              <w:right w:val="single" w:sz="4" w:space="0" w:color="BFBFBF"/>
            </w:tcBorders>
            <w:shd w:val="clear" w:color="auto" w:fill="auto"/>
            <w:noWrap/>
            <w:vAlign w:val="center"/>
            <w:hideMark/>
          </w:tcPr>
          <w:p w14:paraId="1D728EBB" w14:textId="77777777" w:rsidR="00202049" w:rsidRPr="00F43258" w:rsidRDefault="00202049" w:rsidP="00B205BA">
            <w:pPr>
              <w:spacing w:after="120" w:line="240" w:lineRule="auto"/>
              <w:rPr>
                <w:rFonts w:cs="Arial"/>
                <w:lang w:eastAsia="es-MX"/>
              </w:rPr>
            </w:pPr>
            <w:r w:rsidRPr="00F43258">
              <w:rPr>
                <w:rFonts w:cs="Arial"/>
                <w:lang w:eastAsia="es-MX"/>
              </w:rPr>
              <w:t>0.08</w:t>
            </w:r>
          </w:p>
        </w:tc>
      </w:tr>
      <w:tr w:rsidR="00202049" w:rsidRPr="00F43258" w14:paraId="0CAB8B8C" w14:textId="77777777" w:rsidTr="000635AB">
        <w:trPr>
          <w:trHeight w:val="267"/>
          <w:jc w:val="center"/>
        </w:trPr>
        <w:tc>
          <w:tcPr>
            <w:tcW w:w="3316" w:type="dxa"/>
            <w:tcBorders>
              <w:top w:val="nil"/>
              <w:left w:val="single" w:sz="4" w:space="0" w:color="BFBFBF"/>
              <w:bottom w:val="single" w:sz="4" w:space="0" w:color="BFBFBF"/>
              <w:right w:val="single" w:sz="4" w:space="0" w:color="BFBFBF"/>
            </w:tcBorders>
            <w:shd w:val="clear" w:color="000000" w:fill="F2F2F2"/>
            <w:noWrap/>
            <w:vAlign w:val="center"/>
            <w:hideMark/>
          </w:tcPr>
          <w:p w14:paraId="298C90A7" w14:textId="77777777" w:rsidR="00202049" w:rsidRPr="00F43258" w:rsidRDefault="00202049" w:rsidP="00B205BA">
            <w:pPr>
              <w:spacing w:after="120" w:line="240" w:lineRule="auto"/>
              <w:rPr>
                <w:rFonts w:cs="Arial"/>
                <w:b/>
                <w:bCs/>
                <w:lang w:eastAsia="es-MX"/>
              </w:rPr>
            </w:pPr>
            <w:r w:rsidRPr="00F43258">
              <w:rPr>
                <w:rFonts w:cs="Arial"/>
                <w:b/>
                <w:bCs/>
                <w:lang w:eastAsia="es-MX"/>
              </w:rPr>
              <w:t>Total</w:t>
            </w:r>
          </w:p>
        </w:tc>
        <w:tc>
          <w:tcPr>
            <w:tcW w:w="1518" w:type="dxa"/>
            <w:tcBorders>
              <w:top w:val="nil"/>
              <w:left w:val="nil"/>
              <w:bottom w:val="single" w:sz="4" w:space="0" w:color="BFBFBF"/>
              <w:right w:val="single" w:sz="4" w:space="0" w:color="BFBFBF"/>
            </w:tcBorders>
            <w:shd w:val="clear" w:color="000000" w:fill="F2F2F2"/>
            <w:noWrap/>
            <w:vAlign w:val="center"/>
            <w:hideMark/>
          </w:tcPr>
          <w:p w14:paraId="10961FA7" w14:textId="77777777" w:rsidR="00202049" w:rsidRPr="00F43258" w:rsidRDefault="00202049" w:rsidP="00B205BA">
            <w:pPr>
              <w:spacing w:after="120" w:line="240" w:lineRule="auto"/>
              <w:rPr>
                <w:rFonts w:cs="Arial"/>
                <w:lang w:eastAsia="es-MX"/>
              </w:rPr>
            </w:pPr>
            <w:r w:rsidRPr="00F43258">
              <w:rPr>
                <w:rFonts w:cs="Arial"/>
                <w:lang w:eastAsia="es-MX"/>
              </w:rPr>
              <w:t>15,623.13</w:t>
            </w:r>
          </w:p>
        </w:tc>
        <w:tc>
          <w:tcPr>
            <w:tcW w:w="1070" w:type="dxa"/>
            <w:tcBorders>
              <w:top w:val="nil"/>
              <w:left w:val="nil"/>
              <w:bottom w:val="single" w:sz="4" w:space="0" w:color="BFBFBF"/>
              <w:right w:val="single" w:sz="4" w:space="0" w:color="BFBFBF"/>
            </w:tcBorders>
            <w:shd w:val="clear" w:color="000000" w:fill="F2F2F2"/>
            <w:noWrap/>
            <w:vAlign w:val="center"/>
            <w:hideMark/>
          </w:tcPr>
          <w:p w14:paraId="6A48F9FF" w14:textId="77777777" w:rsidR="00202049" w:rsidRPr="00F43258" w:rsidRDefault="00202049" w:rsidP="00B205BA">
            <w:pPr>
              <w:spacing w:after="120" w:line="240" w:lineRule="auto"/>
              <w:rPr>
                <w:rFonts w:cs="Arial"/>
                <w:lang w:eastAsia="es-MX"/>
              </w:rPr>
            </w:pPr>
            <w:r w:rsidRPr="00F43258">
              <w:rPr>
                <w:rFonts w:cs="Arial"/>
                <w:lang w:eastAsia="es-MX"/>
              </w:rPr>
              <w:t>100.00</w:t>
            </w:r>
          </w:p>
        </w:tc>
      </w:tr>
    </w:tbl>
    <w:p w14:paraId="5C1B304F" w14:textId="7976A842" w:rsidR="00160DC6" w:rsidRPr="00F760B0" w:rsidRDefault="00202049" w:rsidP="00B205BA">
      <w:pPr>
        <w:spacing w:after="120" w:line="240" w:lineRule="auto"/>
        <w:rPr>
          <w:rFonts w:eastAsia="Calibri" w:cs="Arial"/>
          <w:bCs/>
          <w:sz w:val="18"/>
          <w:szCs w:val="18"/>
        </w:rPr>
      </w:pPr>
      <w:r w:rsidRPr="00516DB0">
        <w:rPr>
          <w:rFonts w:eastAsia="Calibri" w:cs="Arial"/>
          <w:bCs/>
          <w:sz w:val="18"/>
          <w:szCs w:val="18"/>
        </w:rPr>
        <w:t>Fuente: Atlas de Riesgos del Municipio de Hermosillo, 2014.</w:t>
      </w:r>
    </w:p>
    <w:p w14:paraId="5C818768" w14:textId="76EE6B25" w:rsidR="00202049" w:rsidRPr="00B205BA" w:rsidRDefault="00202049" w:rsidP="00B205BA">
      <w:pPr>
        <w:spacing w:after="120" w:line="240" w:lineRule="auto"/>
        <w:rPr>
          <w:rFonts w:eastAsia="Calibri" w:cs="Arial"/>
          <w:b/>
        </w:rPr>
      </w:pPr>
      <w:r w:rsidRPr="00B205BA">
        <w:rPr>
          <w:rFonts w:eastAsia="Calibri" w:cs="Arial"/>
          <w:b/>
        </w:rPr>
        <w:lastRenderedPageBreak/>
        <w:t>Áreas naturales protegidas</w:t>
      </w:r>
      <w:r w:rsidR="00261A27" w:rsidRPr="00B205BA">
        <w:rPr>
          <w:rFonts w:eastAsia="Calibri" w:cs="Arial"/>
          <w:b/>
        </w:rPr>
        <w:t>.</w:t>
      </w:r>
    </w:p>
    <w:p w14:paraId="7034822F" w14:textId="0F20A293" w:rsidR="00202049" w:rsidRPr="00F43258" w:rsidRDefault="00202049" w:rsidP="00B205BA">
      <w:pPr>
        <w:numPr>
          <w:ilvl w:val="0"/>
          <w:numId w:val="1"/>
        </w:numPr>
        <w:spacing w:after="120" w:line="240" w:lineRule="auto"/>
        <w:ind w:firstLine="0"/>
        <w:rPr>
          <w:rFonts w:eastAsia="Calibri" w:cs="Arial"/>
        </w:rPr>
      </w:pPr>
      <w:r w:rsidRPr="00F43258">
        <w:rPr>
          <w:rFonts w:eastAsia="Calibri" w:cs="Arial"/>
        </w:rPr>
        <w:t>Área natural protegida municipal: Cerro Johnson</w:t>
      </w:r>
      <w:r w:rsidR="00354340">
        <w:rPr>
          <w:rFonts w:eastAsia="Calibri" w:cs="Arial"/>
        </w:rPr>
        <w:t xml:space="preserve"> (Parque central de Hermosillo)</w:t>
      </w:r>
      <w:r w:rsidRPr="00F43258">
        <w:rPr>
          <w:rFonts w:eastAsia="Calibri" w:cs="Arial"/>
        </w:rPr>
        <w:t>.</w:t>
      </w:r>
    </w:p>
    <w:p w14:paraId="29734A60" w14:textId="2BCE4E81" w:rsidR="00202049" w:rsidRPr="00F43258" w:rsidRDefault="00202049" w:rsidP="00B205BA">
      <w:pPr>
        <w:numPr>
          <w:ilvl w:val="0"/>
          <w:numId w:val="1"/>
        </w:numPr>
        <w:spacing w:after="120" w:line="240" w:lineRule="auto"/>
        <w:ind w:firstLine="0"/>
        <w:rPr>
          <w:rFonts w:eastAsia="Calibri" w:cs="Arial"/>
        </w:rPr>
      </w:pPr>
      <w:r w:rsidRPr="00F43258">
        <w:rPr>
          <w:rFonts w:eastAsia="Calibri" w:cs="Arial"/>
        </w:rPr>
        <w:t>Área natural protegida estatal: Presa Abelardo L. Rodríguez- Presa El Molinito</w:t>
      </w:r>
      <w:r w:rsidR="00354340">
        <w:rPr>
          <w:rFonts w:eastAsia="Calibri" w:cs="Arial"/>
        </w:rPr>
        <w:t>;</w:t>
      </w:r>
      <w:r w:rsidRPr="00F43258">
        <w:rPr>
          <w:rFonts w:eastAsia="Calibri" w:cs="Arial"/>
        </w:rPr>
        <w:t xml:space="preserve"> </w:t>
      </w:r>
      <w:r w:rsidR="00B205BA" w:rsidRPr="00B205BA">
        <w:rPr>
          <w:rFonts w:eastAsia="Calibri" w:cs="Arial"/>
        </w:rPr>
        <w:t>Arivechi-Cerro Las Conchas; Estero El Soldado; y la Región de San Bernardino</w:t>
      </w:r>
      <w:r w:rsidR="00B205BA">
        <w:rPr>
          <w:rFonts w:eastAsia="Calibri" w:cs="Arial"/>
        </w:rPr>
        <w:t>.</w:t>
      </w:r>
    </w:p>
    <w:p w14:paraId="46F8FDBF" w14:textId="77777777" w:rsidR="00202049" w:rsidRPr="00F43258" w:rsidRDefault="00202049" w:rsidP="00B205BA">
      <w:pPr>
        <w:spacing w:after="120" w:line="240" w:lineRule="auto"/>
        <w:ind w:left="720"/>
        <w:rPr>
          <w:rFonts w:eastAsia="Calibri" w:cs="Arial"/>
        </w:rPr>
      </w:pPr>
    </w:p>
    <w:p w14:paraId="592B5D0E" w14:textId="6D19A93C" w:rsidR="00202049" w:rsidRPr="00B205BA" w:rsidRDefault="00202049" w:rsidP="00B205BA">
      <w:pPr>
        <w:spacing w:after="120" w:line="240" w:lineRule="auto"/>
        <w:rPr>
          <w:rFonts w:eastAsia="Calibri" w:cs="Arial"/>
          <w:b/>
        </w:rPr>
      </w:pPr>
      <w:r w:rsidRPr="00B205BA">
        <w:rPr>
          <w:rFonts w:eastAsia="Calibri" w:cs="Arial"/>
          <w:b/>
        </w:rPr>
        <w:t>Topografía</w:t>
      </w:r>
      <w:r w:rsidR="00B205BA" w:rsidRPr="00B205BA">
        <w:rPr>
          <w:rFonts w:eastAsia="Calibri" w:cs="Arial"/>
          <w:b/>
        </w:rPr>
        <w:t>.</w:t>
      </w:r>
    </w:p>
    <w:p w14:paraId="6F9DC5AA" w14:textId="77777777" w:rsidR="00202049" w:rsidRPr="00F43258" w:rsidRDefault="00202049" w:rsidP="00B205BA">
      <w:pPr>
        <w:spacing w:after="120" w:line="240" w:lineRule="auto"/>
        <w:rPr>
          <w:rFonts w:eastAsia="Calibri" w:cs="Arial"/>
        </w:rPr>
      </w:pPr>
      <w:r w:rsidRPr="00F43258">
        <w:rPr>
          <w:rFonts w:eastAsia="Calibri" w:cs="Arial"/>
        </w:rPr>
        <w:t>La topografía del municipio de Hermosillo es variada. Comprende valles, lomeríos suaves y cerriles. Las alturas van desde el nivel del mar hasta los 1,120 metros sobre el nivel del mar (msnm). En el municipio de Hermosillo, su altitud menor (10 msnm) se encuentra en Bahía de Kino, y la población más alta (250 msnm) en San Pedro El Saucito.</w:t>
      </w:r>
    </w:p>
    <w:p w14:paraId="42FFD8BE" w14:textId="77777777" w:rsidR="00202049" w:rsidRPr="00F43258" w:rsidRDefault="00202049" w:rsidP="00B205BA">
      <w:pPr>
        <w:spacing w:after="120" w:line="240" w:lineRule="auto"/>
        <w:rPr>
          <w:rFonts w:eastAsia="Calibri" w:cs="Arial"/>
        </w:rPr>
      </w:pPr>
      <w:r w:rsidRPr="00F43258">
        <w:rPr>
          <w:rFonts w:eastAsia="Calibri" w:cs="Arial"/>
        </w:rPr>
        <w:t>La ciudad de Hermosillo se encuentra a una altitud promedio de 200 msnm. La mancha urbana se encuentra, en un 90 por ciento aproximadamente, en terrenos sensiblemente planos, de escasa pendiente, orientada principalmente hacia el lecho del río Sonora. La Isla Tiburón va desde los 0 msnm hasta los 810 msnm.</w:t>
      </w:r>
    </w:p>
    <w:p w14:paraId="40847428" w14:textId="77777777" w:rsidR="00202049" w:rsidRPr="00F43258" w:rsidRDefault="00202049" w:rsidP="00B205BA">
      <w:pPr>
        <w:spacing w:after="120" w:line="240" w:lineRule="auto"/>
        <w:rPr>
          <w:rFonts w:eastAsia="Calibri" w:cs="Arial"/>
        </w:rPr>
      </w:pPr>
      <w:r w:rsidRPr="00F43258">
        <w:rPr>
          <w:rFonts w:eastAsia="Calibri" w:cs="Arial"/>
        </w:rPr>
        <w:t>Los puntos más bajos que se presentan en la ciudad se encuentran en la zona suroeste, a partir del cauce del río Sonora. El área en la cual se localiza la ciudad de Hermosillo presenta una disminución en su elevación que va de noreste a suroeste.</w:t>
      </w:r>
    </w:p>
    <w:p w14:paraId="39986657" w14:textId="4405A761" w:rsidR="00202049" w:rsidRPr="00F43258" w:rsidRDefault="00202049" w:rsidP="00B205BA">
      <w:pPr>
        <w:spacing w:after="120" w:line="240" w:lineRule="auto"/>
        <w:rPr>
          <w:rFonts w:eastAsia="Calibri" w:cs="Arial"/>
        </w:rPr>
      </w:pPr>
      <w:r w:rsidRPr="00F43258">
        <w:rPr>
          <w:rFonts w:eastAsia="Calibri" w:cs="Arial"/>
        </w:rPr>
        <w:t xml:space="preserve">Asimismo, el límite que forman los campos de la Universidad de Sonora, las colonias Centenario, Las Villas, San Ángel, Valle Escondido y El Sahuaro, y hacia el suroeste de la ciudad se localizan las áreas más bajas de la ciudad. En la tabla </w:t>
      </w:r>
      <w:r w:rsidR="00F760B0">
        <w:rPr>
          <w:rFonts w:eastAsia="Calibri" w:cs="Arial"/>
        </w:rPr>
        <w:t>6</w:t>
      </w:r>
      <w:r w:rsidRPr="00F43258">
        <w:rPr>
          <w:rFonts w:eastAsia="Calibri" w:cs="Arial"/>
        </w:rPr>
        <w:t xml:space="preserve"> se muestran las elevaciones principales en el municipio de Hermosillo.</w:t>
      </w:r>
    </w:p>
    <w:p w14:paraId="527641D7" w14:textId="77777777" w:rsidR="00261A27" w:rsidRPr="00F43258" w:rsidRDefault="00261A27" w:rsidP="00B205BA">
      <w:pPr>
        <w:spacing w:after="120" w:line="240" w:lineRule="auto"/>
        <w:rPr>
          <w:rFonts w:eastAsia="Calibri" w:cs="Arial"/>
          <w:b/>
          <w:bCs/>
        </w:rPr>
      </w:pPr>
    </w:p>
    <w:p w14:paraId="37E66056" w14:textId="22D858E4" w:rsidR="00261A27" w:rsidRPr="00F43258" w:rsidRDefault="00C70FEC" w:rsidP="00B205BA">
      <w:pPr>
        <w:spacing w:after="120" w:line="240" w:lineRule="auto"/>
        <w:rPr>
          <w:rFonts w:eastAsia="Calibri" w:cs="Arial"/>
          <w:b/>
          <w:bCs/>
        </w:rPr>
      </w:pPr>
      <w:bookmarkStart w:id="2" w:name="_Hlk187141079"/>
      <w:r w:rsidRPr="00F43258">
        <w:rPr>
          <w:rFonts w:eastAsia="Calibri" w:cs="Arial"/>
          <w:b/>
          <w:bCs/>
        </w:rPr>
        <w:t xml:space="preserve">TABLA </w:t>
      </w:r>
      <w:r>
        <w:rPr>
          <w:rFonts w:eastAsia="Calibri" w:cs="Arial"/>
          <w:b/>
          <w:bCs/>
        </w:rPr>
        <w:t>6</w:t>
      </w:r>
      <w:r w:rsidRPr="00F43258">
        <w:rPr>
          <w:rFonts w:eastAsia="Calibri" w:cs="Arial"/>
          <w:b/>
          <w:bCs/>
        </w:rPr>
        <w:t>. PRINCIPALES ELEVACIONES GEOLÓGICAS EN HERMOSILLO</w:t>
      </w:r>
      <w:r>
        <w:rPr>
          <w:rFonts w:eastAsia="Calibri" w:cs="Arial"/>
          <w:b/>
          <w:bCs/>
        </w:rPr>
        <w:t>.</w:t>
      </w:r>
    </w:p>
    <w:tbl>
      <w:tblPr>
        <w:tblW w:w="5103" w:type="dxa"/>
        <w:jc w:val="center"/>
        <w:tblCellMar>
          <w:left w:w="70" w:type="dxa"/>
          <w:right w:w="70" w:type="dxa"/>
        </w:tblCellMar>
        <w:tblLook w:val="04A0" w:firstRow="1" w:lastRow="0" w:firstColumn="1" w:lastColumn="0" w:noHBand="0" w:noVBand="1"/>
      </w:tblPr>
      <w:tblGrid>
        <w:gridCol w:w="3114"/>
        <w:gridCol w:w="1989"/>
      </w:tblGrid>
      <w:tr w:rsidR="00202049" w:rsidRPr="00F43258" w14:paraId="36DD4F01" w14:textId="77777777" w:rsidTr="000635AB">
        <w:trPr>
          <w:trHeight w:val="196"/>
          <w:jc w:val="center"/>
        </w:trPr>
        <w:tc>
          <w:tcPr>
            <w:tcW w:w="3114" w:type="dxa"/>
            <w:tcBorders>
              <w:top w:val="nil"/>
              <w:left w:val="single" w:sz="4" w:space="0" w:color="BFBFBF"/>
              <w:bottom w:val="single" w:sz="4" w:space="0" w:color="BFBFBF"/>
              <w:right w:val="single" w:sz="4" w:space="0" w:color="BFBFBF"/>
            </w:tcBorders>
            <w:shd w:val="clear" w:color="auto" w:fill="F2F2F2" w:themeFill="background1" w:themeFillShade="F2"/>
            <w:noWrap/>
            <w:vAlign w:val="center"/>
            <w:hideMark/>
          </w:tcPr>
          <w:p w14:paraId="5BE57C92" w14:textId="77777777" w:rsidR="00202049" w:rsidRPr="00F43258" w:rsidRDefault="00202049" w:rsidP="00B205BA">
            <w:pPr>
              <w:spacing w:after="120" w:line="240" w:lineRule="auto"/>
              <w:rPr>
                <w:rFonts w:cs="Arial"/>
                <w:lang w:eastAsia="es-MX"/>
              </w:rPr>
            </w:pPr>
            <w:r w:rsidRPr="00F43258">
              <w:rPr>
                <w:rFonts w:cs="Arial"/>
                <w:lang w:eastAsia="es-MX"/>
              </w:rPr>
              <w:t>Nombre</w:t>
            </w:r>
          </w:p>
        </w:tc>
        <w:tc>
          <w:tcPr>
            <w:tcW w:w="1989" w:type="dxa"/>
            <w:tcBorders>
              <w:top w:val="nil"/>
              <w:left w:val="nil"/>
              <w:bottom w:val="single" w:sz="4" w:space="0" w:color="BFBFBF"/>
              <w:right w:val="single" w:sz="4" w:space="0" w:color="BFBFBF"/>
            </w:tcBorders>
            <w:shd w:val="clear" w:color="auto" w:fill="F2F2F2" w:themeFill="background1" w:themeFillShade="F2"/>
            <w:noWrap/>
            <w:vAlign w:val="center"/>
            <w:hideMark/>
          </w:tcPr>
          <w:p w14:paraId="0DE8CBC0" w14:textId="77777777" w:rsidR="00202049" w:rsidRPr="00F43258" w:rsidRDefault="00202049" w:rsidP="00B205BA">
            <w:pPr>
              <w:spacing w:after="120" w:line="240" w:lineRule="auto"/>
              <w:rPr>
                <w:rFonts w:cs="Arial"/>
                <w:lang w:eastAsia="es-MX"/>
              </w:rPr>
            </w:pPr>
            <w:r w:rsidRPr="00F43258">
              <w:rPr>
                <w:rFonts w:cs="Arial"/>
                <w:lang w:eastAsia="es-MX"/>
              </w:rPr>
              <w:t>Altitud (Metros)</w:t>
            </w:r>
          </w:p>
        </w:tc>
      </w:tr>
      <w:tr w:rsidR="00202049" w:rsidRPr="00F43258" w14:paraId="36D9E260" w14:textId="77777777" w:rsidTr="000635AB">
        <w:trPr>
          <w:trHeight w:val="196"/>
          <w:jc w:val="center"/>
        </w:trPr>
        <w:tc>
          <w:tcPr>
            <w:tcW w:w="3114" w:type="dxa"/>
            <w:tcBorders>
              <w:top w:val="nil"/>
              <w:left w:val="single" w:sz="4" w:space="0" w:color="BFBFBF"/>
              <w:bottom w:val="single" w:sz="4" w:space="0" w:color="BFBFBF"/>
              <w:right w:val="single" w:sz="4" w:space="0" w:color="BFBFBF"/>
            </w:tcBorders>
            <w:shd w:val="clear" w:color="auto" w:fill="auto"/>
            <w:noWrap/>
            <w:vAlign w:val="center"/>
            <w:hideMark/>
          </w:tcPr>
          <w:p w14:paraId="632CB36D" w14:textId="77777777" w:rsidR="00202049" w:rsidRPr="00F43258" w:rsidRDefault="00202049" w:rsidP="00B205BA">
            <w:pPr>
              <w:spacing w:after="120" w:line="240" w:lineRule="auto"/>
              <w:rPr>
                <w:rFonts w:cs="Arial"/>
                <w:lang w:eastAsia="es-MX"/>
              </w:rPr>
            </w:pPr>
            <w:r w:rsidRPr="00F43258">
              <w:rPr>
                <w:rFonts w:cs="Arial"/>
                <w:lang w:eastAsia="es-MX"/>
              </w:rPr>
              <w:t>Cerro Johnson</w:t>
            </w:r>
          </w:p>
        </w:tc>
        <w:tc>
          <w:tcPr>
            <w:tcW w:w="1989" w:type="dxa"/>
            <w:tcBorders>
              <w:top w:val="nil"/>
              <w:left w:val="nil"/>
              <w:bottom w:val="single" w:sz="4" w:space="0" w:color="BFBFBF"/>
              <w:right w:val="single" w:sz="4" w:space="0" w:color="BFBFBF"/>
            </w:tcBorders>
            <w:shd w:val="clear" w:color="auto" w:fill="auto"/>
            <w:noWrap/>
            <w:vAlign w:val="center"/>
            <w:hideMark/>
          </w:tcPr>
          <w:p w14:paraId="44EC432D" w14:textId="77777777" w:rsidR="00202049" w:rsidRPr="00F43258" w:rsidRDefault="00202049" w:rsidP="00B205BA">
            <w:pPr>
              <w:spacing w:after="120" w:line="240" w:lineRule="auto"/>
              <w:rPr>
                <w:rFonts w:cs="Arial"/>
                <w:lang w:eastAsia="es-MX"/>
              </w:rPr>
            </w:pPr>
            <w:r w:rsidRPr="00F43258">
              <w:rPr>
                <w:rFonts w:cs="Arial"/>
                <w:lang w:eastAsia="es-MX"/>
              </w:rPr>
              <w:t>1,060</w:t>
            </w:r>
          </w:p>
        </w:tc>
      </w:tr>
      <w:tr w:rsidR="00202049" w:rsidRPr="00F43258" w14:paraId="5BE2D4DD" w14:textId="77777777" w:rsidTr="000635AB">
        <w:trPr>
          <w:trHeight w:val="196"/>
          <w:jc w:val="center"/>
        </w:trPr>
        <w:tc>
          <w:tcPr>
            <w:tcW w:w="3114" w:type="dxa"/>
            <w:tcBorders>
              <w:top w:val="nil"/>
              <w:left w:val="single" w:sz="4" w:space="0" w:color="BFBFBF"/>
              <w:bottom w:val="single" w:sz="4" w:space="0" w:color="BFBFBF"/>
              <w:right w:val="single" w:sz="4" w:space="0" w:color="BFBFBF"/>
            </w:tcBorders>
            <w:shd w:val="clear" w:color="auto" w:fill="auto"/>
            <w:noWrap/>
            <w:vAlign w:val="center"/>
            <w:hideMark/>
          </w:tcPr>
          <w:p w14:paraId="5FCE4C39" w14:textId="77777777" w:rsidR="00202049" w:rsidRPr="00F43258" w:rsidRDefault="00202049" w:rsidP="00B205BA">
            <w:pPr>
              <w:spacing w:after="120" w:line="240" w:lineRule="auto"/>
              <w:rPr>
                <w:rFonts w:cs="Arial"/>
                <w:lang w:eastAsia="es-MX"/>
              </w:rPr>
            </w:pPr>
            <w:r w:rsidRPr="00F43258">
              <w:rPr>
                <w:rFonts w:cs="Arial"/>
                <w:lang w:eastAsia="es-MX"/>
              </w:rPr>
              <w:t>Cerro El Carnero</w:t>
            </w:r>
          </w:p>
        </w:tc>
        <w:tc>
          <w:tcPr>
            <w:tcW w:w="1989" w:type="dxa"/>
            <w:tcBorders>
              <w:top w:val="nil"/>
              <w:left w:val="nil"/>
              <w:bottom w:val="single" w:sz="4" w:space="0" w:color="BFBFBF"/>
              <w:right w:val="single" w:sz="4" w:space="0" w:color="BFBFBF"/>
            </w:tcBorders>
            <w:shd w:val="clear" w:color="auto" w:fill="auto"/>
            <w:noWrap/>
            <w:vAlign w:val="center"/>
            <w:hideMark/>
          </w:tcPr>
          <w:p w14:paraId="084F0E43" w14:textId="77777777" w:rsidR="00202049" w:rsidRPr="00F43258" w:rsidRDefault="00202049" w:rsidP="00B205BA">
            <w:pPr>
              <w:spacing w:after="120" w:line="240" w:lineRule="auto"/>
              <w:rPr>
                <w:rFonts w:cs="Arial"/>
                <w:lang w:eastAsia="es-MX"/>
              </w:rPr>
            </w:pPr>
            <w:r w:rsidRPr="00F43258">
              <w:rPr>
                <w:rFonts w:cs="Arial"/>
                <w:lang w:eastAsia="es-MX"/>
              </w:rPr>
              <w:t>1,040</w:t>
            </w:r>
          </w:p>
        </w:tc>
      </w:tr>
      <w:tr w:rsidR="00202049" w:rsidRPr="00F43258" w14:paraId="66860985" w14:textId="77777777" w:rsidTr="000635AB">
        <w:trPr>
          <w:trHeight w:val="196"/>
          <w:jc w:val="center"/>
        </w:trPr>
        <w:tc>
          <w:tcPr>
            <w:tcW w:w="3114" w:type="dxa"/>
            <w:tcBorders>
              <w:top w:val="nil"/>
              <w:left w:val="single" w:sz="4" w:space="0" w:color="BFBFBF"/>
              <w:bottom w:val="single" w:sz="4" w:space="0" w:color="BFBFBF"/>
              <w:right w:val="single" w:sz="4" w:space="0" w:color="BFBFBF"/>
            </w:tcBorders>
            <w:shd w:val="clear" w:color="auto" w:fill="auto"/>
            <w:noWrap/>
            <w:vAlign w:val="center"/>
            <w:hideMark/>
          </w:tcPr>
          <w:p w14:paraId="280D08CA" w14:textId="77777777" w:rsidR="00202049" w:rsidRPr="00F43258" w:rsidRDefault="00202049" w:rsidP="00B205BA">
            <w:pPr>
              <w:spacing w:after="120" w:line="240" w:lineRule="auto"/>
              <w:rPr>
                <w:rFonts w:cs="Arial"/>
                <w:lang w:eastAsia="es-MX"/>
              </w:rPr>
            </w:pPr>
            <w:r w:rsidRPr="00F43258">
              <w:rPr>
                <w:rFonts w:cs="Arial"/>
                <w:lang w:eastAsia="es-MX"/>
              </w:rPr>
              <w:t>Sierra Libre</w:t>
            </w:r>
          </w:p>
        </w:tc>
        <w:tc>
          <w:tcPr>
            <w:tcW w:w="1989" w:type="dxa"/>
            <w:tcBorders>
              <w:top w:val="nil"/>
              <w:left w:val="nil"/>
              <w:bottom w:val="single" w:sz="4" w:space="0" w:color="BFBFBF"/>
              <w:right w:val="single" w:sz="4" w:space="0" w:color="BFBFBF"/>
            </w:tcBorders>
            <w:shd w:val="clear" w:color="auto" w:fill="auto"/>
            <w:noWrap/>
            <w:vAlign w:val="center"/>
            <w:hideMark/>
          </w:tcPr>
          <w:p w14:paraId="1716F372" w14:textId="77777777" w:rsidR="00202049" w:rsidRPr="00F43258" w:rsidRDefault="00202049" w:rsidP="00B205BA">
            <w:pPr>
              <w:spacing w:after="120" w:line="240" w:lineRule="auto"/>
              <w:rPr>
                <w:rFonts w:cs="Arial"/>
                <w:lang w:eastAsia="es-MX"/>
              </w:rPr>
            </w:pPr>
            <w:r w:rsidRPr="00F43258">
              <w:rPr>
                <w:rFonts w:cs="Arial"/>
                <w:lang w:eastAsia="es-MX"/>
              </w:rPr>
              <w:t>1,020</w:t>
            </w:r>
          </w:p>
        </w:tc>
      </w:tr>
      <w:tr w:rsidR="00202049" w:rsidRPr="00F43258" w14:paraId="43CB09D1" w14:textId="77777777" w:rsidTr="000635AB">
        <w:trPr>
          <w:trHeight w:val="196"/>
          <w:jc w:val="center"/>
        </w:trPr>
        <w:tc>
          <w:tcPr>
            <w:tcW w:w="3114" w:type="dxa"/>
            <w:tcBorders>
              <w:top w:val="nil"/>
              <w:left w:val="single" w:sz="4" w:space="0" w:color="BFBFBF"/>
              <w:bottom w:val="single" w:sz="4" w:space="0" w:color="BFBFBF"/>
              <w:right w:val="single" w:sz="4" w:space="0" w:color="BFBFBF"/>
            </w:tcBorders>
            <w:shd w:val="clear" w:color="auto" w:fill="auto"/>
            <w:noWrap/>
            <w:vAlign w:val="center"/>
            <w:hideMark/>
          </w:tcPr>
          <w:p w14:paraId="3F281A7E" w14:textId="77777777" w:rsidR="00202049" w:rsidRPr="00F43258" w:rsidRDefault="00202049" w:rsidP="00B205BA">
            <w:pPr>
              <w:spacing w:after="120" w:line="240" w:lineRule="auto"/>
              <w:rPr>
                <w:rFonts w:cs="Arial"/>
                <w:lang w:eastAsia="es-MX"/>
              </w:rPr>
            </w:pPr>
            <w:r w:rsidRPr="00F43258">
              <w:rPr>
                <w:rFonts w:cs="Arial"/>
                <w:lang w:eastAsia="es-MX"/>
              </w:rPr>
              <w:t>Sierra Santa Teresa</w:t>
            </w:r>
          </w:p>
        </w:tc>
        <w:tc>
          <w:tcPr>
            <w:tcW w:w="1989" w:type="dxa"/>
            <w:tcBorders>
              <w:top w:val="nil"/>
              <w:left w:val="nil"/>
              <w:bottom w:val="single" w:sz="4" w:space="0" w:color="BFBFBF"/>
              <w:right w:val="single" w:sz="4" w:space="0" w:color="BFBFBF"/>
            </w:tcBorders>
            <w:shd w:val="clear" w:color="auto" w:fill="auto"/>
            <w:noWrap/>
            <w:vAlign w:val="center"/>
            <w:hideMark/>
          </w:tcPr>
          <w:p w14:paraId="008D3230" w14:textId="77777777" w:rsidR="00202049" w:rsidRPr="00F43258" w:rsidRDefault="00202049" w:rsidP="00B205BA">
            <w:pPr>
              <w:spacing w:after="120" w:line="240" w:lineRule="auto"/>
              <w:rPr>
                <w:rFonts w:cs="Arial"/>
                <w:lang w:eastAsia="es-MX"/>
              </w:rPr>
            </w:pPr>
            <w:r w:rsidRPr="00F43258">
              <w:rPr>
                <w:rFonts w:cs="Arial"/>
                <w:lang w:eastAsia="es-MX"/>
              </w:rPr>
              <w:t>910</w:t>
            </w:r>
          </w:p>
        </w:tc>
      </w:tr>
      <w:tr w:rsidR="00202049" w:rsidRPr="00F43258" w14:paraId="311BD499" w14:textId="77777777" w:rsidTr="000635AB">
        <w:trPr>
          <w:trHeight w:val="196"/>
          <w:jc w:val="center"/>
        </w:trPr>
        <w:tc>
          <w:tcPr>
            <w:tcW w:w="3114" w:type="dxa"/>
            <w:tcBorders>
              <w:top w:val="nil"/>
              <w:left w:val="single" w:sz="4" w:space="0" w:color="BFBFBF"/>
              <w:bottom w:val="single" w:sz="4" w:space="0" w:color="BFBFBF"/>
              <w:right w:val="single" w:sz="4" w:space="0" w:color="BFBFBF"/>
            </w:tcBorders>
            <w:shd w:val="clear" w:color="auto" w:fill="auto"/>
            <w:noWrap/>
            <w:vAlign w:val="center"/>
            <w:hideMark/>
          </w:tcPr>
          <w:p w14:paraId="5F448179" w14:textId="77777777" w:rsidR="00202049" w:rsidRPr="00F43258" w:rsidRDefault="00202049" w:rsidP="00B205BA">
            <w:pPr>
              <w:spacing w:after="120" w:line="240" w:lineRule="auto"/>
              <w:rPr>
                <w:rFonts w:cs="Arial"/>
                <w:lang w:eastAsia="es-MX"/>
              </w:rPr>
            </w:pPr>
            <w:r w:rsidRPr="00F43258">
              <w:rPr>
                <w:rFonts w:cs="Arial"/>
                <w:lang w:eastAsia="es-MX"/>
              </w:rPr>
              <w:t>Cerro El Tordillo</w:t>
            </w:r>
          </w:p>
        </w:tc>
        <w:tc>
          <w:tcPr>
            <w:tcW w:w="1989" w:type="dxa"/>
            <w:tcBorders>
              <w:top w:val="nil"/>
              <w:left w:val="nil"/>
              <w:bottom w:val="single" w:sz="4" w:space="0" w:color="BFBFBF"/>
              <w:right w:val="single" w:sz="4" w:space="0" w:color="BFBFBF"/>
            </w:tcBorders>
            <w:shd w:val="clear" w:color="auto" w:fill="auto"/>
            <w:noWrap/>
            <w:vAlign w:val="center"/>
            <w:hideMark/>
          </w:tcPr>
          <w:p w14:paraId="6227EF7F" w14:textId="77777777" w:rsidR="00202049" w:rsidRPr="00F43258" w:rsidRDefault="00202049" w:rsidP="00B205BA">
            <w:pPr>
              <w:spacing w:after="120" w:line="240" w:lineRule="auto"/>
              <w:rPr>
                <w:rFonts w:cs="Arial"/>
                <w:lang w:eastAsia="es-MX"/>
              </w:rPr>
            </w:pPr>
            <w:r w:rsidRPr="00F43258">
              <w:rPr>
                <w:rFonts w:cs="Arial"/>
                <w:lang w:eastAsia="es-MX"/>
              </w:rPr>
              <w:t>900</w:t>
            </w:r>
          </w:p>
        </w:tc>
      </w:tr>
      <w:tr w:rsidR="00202049" w:rsidRPr="00F43258" w14:paraId="42F54A0D" w14:textId="77777777" w:rsidTr="000635AB">
        <w:trPr>
          <w:trHeight w:val="196"/>
          <w:jc w:val="center"/>
        </w:trPr>
        <w:tc>
          <w:tcPr>
            <w:tcW w:w="3114" w:type="dxa"/>
            <w:tcBorders>
              <w:top w:val="nil"/>
              <w:left w:val="single" w:sz="4" w:space="0" w:color="BFBFBF"/>
              <w:bottom w:val="single" w:sz="4" w:space="0" w:color="BFBFBF"/>
              <w:right w:val="single" w:sz="4" w:space="0" w:color="BFBFBF"/>
            </w:tcBorders>
            <w:shd w:val="clear" w:color="auto" w:fill="auto"/>
            <w:noWrap/>
            <w:vAlign w:val="center"/>
            <w:hideMark/>
          </w:tcPr>
          <w:p w14:paraId="13B7B5EB" w14:textId="77777777" w:rsidR="00202049" w:rsidRPr="00F43258" w:rsidRDefault="00202049" w:rsidP="00B205BA">
            <w:pPr>
              <w:spacing w:after="120" w:line="240" w:lineRule="auto"/>
              <w:rPr>
                <w:rFonts w:cs="Arial"/>
                <w:lang w:eastAsia="es-MX"/>
              </w:rPr>
            </w:pPr>
            <w:r w:rsidRPr="00F43258">
              <w:rPr>
                <w:rFonts w:cs="Arial"/>
                <w:lang w:eastAsia="es-MX"/>
              </w:rPr>
              <w:t>Cerro Las Trancas</w:t>
            </w:r>
          </w:p>
        </w:tc>
        <w:tc>
          <w:tcPr>
            <w:tcW w:w="1989" w:type="dxa"/>
            <w:tcBorders>
              <w:top w:val="nil"/>
              <w:left w:val="nil"/>
              <w:bottom w:val="single" w:sz="4" w:space="0" w:color="BFBFBF"/>
              <w:right w:val="single" w:sz="4" w:space="0" w:color="BFBFBF"/>
            </w:tcBorders>
            <w:shd w:val="clear" w:color="auto" w:fill="auto"/>
            <w:noWrap/>
            <w:vAlign w:val="center"/>
            <w:hideMark/>
          </w:tcPr>
          <w:p w14:paraId="09CAC507" w14:textId="77777777" w:rsidR="00202049" w:rsidRPr="00F43258" w:rsidRDefault="00202049" w:rsidP="00B205BA">
            <w:pPr>
              <w:spacing w:after="120" w:line="240" w:lineRule="auto"/>
              <w:rPr>
                <w:rFonts w:cs="Arial"/>
                <w:lang w:eastAsia="es-MX"/>
              </w:rPr>
            </w:pPr>
            <w:r w:rsidRPr="00F43258">
              <w:rPr>
                <w:rFonts w:cs="Arial"/>
                <w:lang w:eastAsia="es-MX"/>
              </w:rPr>
              <w:t>880</w:t>
            </w:r>
          </w:p>
        </w:tc>
      </w:tr>
      <w:tr w:rsidR="00202049" w:rsidRPr="00F43258" w14:paraId="1CA995D8" w14:textId="77777777" w:rsidTr="000635AB">
        <w:trPr>
          <w:trHeight w:val="196"/>
          <w:jc w:val="center"/>
        </w:trPr>
        <w:tc>
          <w:tcPr>
            <w:tcW w:w="3114" w:type="dxa"/>
            <w:tcBorders>
              <w:top w:val="nil"/>
              <w:left w:val="single" w:sz="4" w:space="0" w:color="BFBFBF"/>
              <w:bottom w:val="single" w:sz="4" w:space="0" w:color="BFBFBF"/>
              <w:right w:val="single" w:sz="4" w:space="0" w:color="BFBFBF"/>
            </w:tcBorders>
            <w:shd w:val="clear" w:color="auto" w:fill="auto"/>
            <w:noWrap/>
            <w:vAlign w:val="center"/>
            <w:hideMark/>
          </w:tcPr>
          <w:p w14:paraId="5726AA84" w14:textId="77777777" w:rsidR="00202049" w:rsidRPr="00F43258" w:rsidRDefault="00202049" w:rsidP="00B205BA">
            <w:pPr>
              <w:spacing w:after="120" w:line="240" w:lineRule="auto"/>
              <w:rPr>
                <w:rFonts w:cs="Arial"/>
                <w:lang w:eastAsia="es-MX"/>
              </w:rPr>
            </w:pPr>
            <w:r w:rsidRPr="00F43258">
              <w:rPr>
                <w:rFonts w:cs="Arial"/>
                <w:lang w:eastAsia="es-MX"/>
              </w:rPr>
              <w:t>Cerro El Picacho</w:t>
            </w:r>
          </w:p>
        </w:tc>
        <w:tc>
          <w:tcPr>
            <w:tcW w:w="1989" w:type="dxa"/>
            <w:tcBorders>
              <w:top w:val="nil"/>
              <w:left w:val="nil"/>
              <w:bottom w:val="single" w:sz="4" w:space="0" w:color="BFBFBF"/>
              <w:right w:val="single" w:sz="4" w:space="0" w:color="BFBFBF"/>
            </w:tcBorders>
            <w:shd w:val="clear" w:color="auto" w:fill="auto"/>
            <w:noWrap/>
            <w:vAlign w:val="center"/>
            <w:hideMark/>
          </w:tcPr>
          <w:p w14:paraId="016862F9" w14:textId="77777777" w:rsidR="00202049" w:rsidRPr="00F43258" w:rsidRDefault="00202049" w:rsidP="00B205BA">
            <w:pPr>
              <w:spacing w:after="120" w:line="240" w:lineRule="auto"/>
              <w:rPr>
                <w:rFonts w:cs="Arial"/>
                <w:lang w:eastAsia="es-MX"/>
              </w:rPr>
            </w:pPr>
            <w:r w:rsidRPr="00F43258">
              <w:rPr>
                <w:rFonts w:cs="Arial"/>
                <w:lang w:eastAsia="es-MX"/>
              </w:rPr>
              <w:t>840</w:t>
            </w:r>
          </w:p>
        </w:tc>
      </w:tr>
      <w:tr w:rsidR="00202049" w:rsidRPr="00F43258" w14:paraId="66646F84" w14:textId="77777777" w:rsidTr="000635AB">
        <w:trPr>
          <w:trHeight w:val="196"/>
          <w:jc w:val="center"/>
        </w:trPr>
        <w:tc>
          <w:tcPr>
            <w:tcW w:w="3114" w:type="dxa"/>
            <w:tcBorders>
              <w:top w:val="nil"/>
              <w:left w:val="single" w:sz="4" w:space="0" w:color="BFBFBF"/>
              <w:bottom w:val="single" w:sz="4" w:space="0" w:color="BFBFBF"/>
              <w:right w:val="single" w:sz="4" w:space="0" w:color="BFBFBF"/>
            </w:tcBorders>
            <w:shd w:val="clear" w:color="auto" w:fill="auto"/>
            <w:noWrap/>
            <w:vAlign w:val="center"/>
            <w:hideMark/>
          </w:tcPr>
          <w:p w14:paraId="30E63977" w14:textId="77777777" w:rsidR="00202049" w:rsidRPr="00F43258" w:rsidRDefault="00202049" w:rsidP="00B205BA">
            <w:pPr>
              <w:spacing w:after="120" w:line="240" w:lineRule="auto"/>
              <w:rPr>
                <w:rFonts w:cs="Arial"/>
                <w:lang w:eastAsia="es-MX"/>
              </w:rPr>
            </w:pPr>
            <w:r w:rsidRPr="00F43258">
              <w:rPr>
                <w:rFonts w:cs="Arial"/>
                <w:lang w:eastAsia="es-MX"/>
              </w:rPr>
              <w:t>Cerro La Tinaja</w:t>
            </w:r>
          </w:p>
        </w:tc>
        <w:tc>
          <w:tcPr>
            <w:tcW w:w="1989" w:type="dxa"/>
            <w:tcBorders>
              <w:top w:val="nil"/>
              <w:left w:val="nil"/>
              <w:bottom w:val="single" w:sz="4" w:space="0" w:color="BFBFBF"/>
              <w:right w:val="single" w:sz="4" w:space="0" w:color="BFBFBF"/>
            </w:tcBorders>
            <w:shd w:val="clear" w:color="auto" w:fill="auto"/>
            <w:noWrap/>
            <w:vAlign w:val="center"/>
            <w:hideMark/>
          </w:tcPr>
          <w:p w14:paraId="0B375FD7" w14:textId="77777777" w:rsidR="00202049" w:rsidRPr="00F43258" w:rsidRDefault="00202049" w:rsidP="00B205BA">
            <w:pPr>
              <w:spacing w:after="120" w:line="240" w:lineRule="auto"/>
              <w:rPr>
                <w:rFonts w:cs="Arial"/>
                <w:lang w:eastAsia="es-MX"/>
              </w:rPr>
            </w:pPr>
            <w:r w:rsidRPr="00F43258">
              <w:rPr>
                <w:rFonts w:cs="Arial"/>
                <w:lang w:eastAsia="es-MX"/>
              </w:rPr>
              <w:t>750</w:t>
            </w:r>
          </w:p>
        </w:tc>
      </w:tr>
    </w:tbl>
    <w:p w14:paraId="36170A2F" w14:textId="77777777" w:rsidR="00202049" w:rsidRPr="00516DB0" w:rsidRDefault="00202049" w:rsidP="00B205BA">
      <w:pPr>
        <w:spacing w:after="120" w:line="240" w:lineRule="auto"/>
        <w:rPr>
          <w:rFonts w:cs="Arial"/>
          <w:sz w:val="18"/>
          <w:szCs w:val="18"/>
        </w:rPr>
      </w:pPr>
      <w:r w:rsidRPr="00516DB0">
        <w:rPr>
          <w:rFonts w:cs="Arial"/>
          <w:sz w:val="18"/>
          <w:szCs w:val="18"/>
        </w:rPr>
        <w:t>Fuente: Elaboración propia con datos del INEGI.</w:t>
      </w:r>
    </w:p>
    <w:bookmarkEnd w:id="2"/>
    <w:p w14:paraId="1D7D071A" w14:textId="608626B1" w:rsidR="00261A27" w:rsidRDefault="00261A27" w:rsidP="00B205BA">
      <w:pPr>
        <w:spacing w:after="120" w:line="240" w:lineRule="auto"/>
        <w:rPr>
          <w:rFonts w:cs="Arial"/>
          <w:b/>
          <w:bCs/>
          <w:color w:val="000000" w:themeColor="text1"/>
          <w:sz w:val="24"/>
          <w:szCs w:val="24"/>
        </w:rPr>
      </w:pPr>
    </w:p>
    <w:p w14:paraId="40BD5746" w14:textId="77777777" w:rsidR="00BB0F02" w:rsidRDefault="00BB0F02" w:rsidP="00B205BA">
      <w:pPr>
        <w:spacing w:after="120" w:line="240" w:lineRule="auto"/>
        <w:rPr>
          <w:rFonts w:cs="Arial"/>
          <w:b/>
          <w:bCs/>
          <w:color w:val="000000" w:themeColor="text1"/>
          <w:sz w:val="24"/>
          <w:szCs w:val="24"/>
        </w:rPr>
      </w:pPr>
    </w:p>
    <w:p w14:paraId="1E6AF51C" w14:textId="38FBA8D0" w:rsidR="00A96101" w:rsidRPr="00516DB0" w:rsidRDefault="00583B06" w:rsidP="00B205BA">
      <w:pPr>
        <w:pStyle w:val="Ttulo1"/>
        <w:spacing w:after="120" w:line="240" w:lineRule="auto"/>
      </w:pPr>
      <w:bookmarkStart w:id="3" w:name="_Toc187396115"/>
      <w:r w:rsidRPr="00516DB0">
        <w:lastRenderedPageBreak/>
        <w:t>CULTURA INSTITUCIONAL</w:t>
      </w:r>
      <w:bookmarkEnd w:id="3"/>
    </w:p>
    <w:p w14:paraId="0D9F6A71" w14:textId="77777777" w:rsidR="00B205BA" w:rsidRDefault="00070D83" w:rsidP="00B205BA">
      <w:pPr>
        <w:pStyle w:val="NormalWeb"/>
        <w:spacing w:after="120" w:afterAutospacing="0"/>
        <w:jc w:val="both"/>
        <w:rPr>
          <w:rFonts w:ascii="Arial" w:hAnsi="Arial" w:cs="Arial"/>
          <w:sz w:val="22"/>
          <w:szCs w:val="22"/>
        </w:rPr>
      </w:pPr>
      <w:r w:rsidRPr="00CC6C2E">
        <w:rPr>
          <w:rFonts w:ascii="Arial" w:hAnsi="Arial" w:cs="Arial"/>
          <w:sz w:val="22"/>
          <w:szCs w:val="22"/>
        </w:rPr>
        <w:t xml:space="preserve">El H. Ayuntamiento de Hermosillo ha establecido los principios éticos y los valores que orientan las acciones de los servidores públicos. Valores como la </w:t>
      </w:r>
      <w:r w:rsidRPr="00CC6C2E">
        <w:rPr>
          <w:rStyle w:val="Textoennegrita"/>
          <w:rFonts w:ascii="Arial" w:hAnsi="Arial" w:cs="Arial"/>
          <w:b w:val="0"/>
          <w:bCs w:val="0"/>
          <w:sz w:val="22"/>
          <w:szCs w:val="22"/>
        </w:rPr>
        <w:t>transparencia</w:t>
      </w:r>
      <w:r w:rsidRPr="00CC6C2E">
        <w:rPr>
          <w:rFonts w:ascii="Arial" w:hAnsi="Arial" w:cs="Arial"/>
          <w:b/>
          <w:bCs/>
          <w:sz w:val="22"/>
          <w:szCs w:val="22"/>
        </w:rPr>
        <w:t xml:space="preserve">, </w:t>
      </w:r>
      <w:r>
        <w:rPr>
          <w:rFonts w:ascii="Arial" w:hAnsi="Arial" w:cs="Arial"/>
          <w:sz w:val="22"/>
          <w:szCs w:val="22"/>
        </w:rPr>
        <w:t xml:space="preserve">la </w:t>
      </w:r>
      <w:r w:rsidRPr="00CC6C2E">
        <w:rPr>
          <w:rStyle w:val="Textoennegrita"/>
          <w:rFonts w:ascii="Arial" w:hAnsi="Arial" w:cs="Arial"/>
          <w:b w:val="0"/>
          <w:bCs w:val="0"/>
          <w:sz w:val="22"/>
          <w:szCs w:val="22"/>
        </w:rPr>
        <w:t>responsabilidad</w:t>
      </w:r>
      <w:r w:rsidRPr="00CC6C2E">
        <w:rPr>
          <w:rFonts w:ascii="Arial" w:hAnsi="Arial" w:cs="Arial"/>
          <w:b/>
          <w:bCs/>
          <w:sz w:val="22"/>
          <w:szCs w:val="22"/>
        </w:rPr>
        <w:t xml:space="preserve">, </w:t>
      </w:r>
      <w:r w:rsidRPr="00CC6C2E">
        <w:rPr>
          <w:rFonts w:ascii="Arial" w:hAnsi="Arial" w:cs="Arial"/>
          <w:sz w:val="22"/>
          <w:szCs w:val="22"/>
        </w:rPr>
        <w:t xml:space="preserve">la </w:t>
      </w:r>
      <w:r w:rsidRPr="00CC6C2E">
        <w:rPr>
          <w:rStyle w:val="Textoennegrita"/>
          <w:rFonts w:ascii="Arial" w:hAnsi="Arial" w:cs="Arial"/>
          <w:b w:val="0"/>
          <w:bCs w:val="0"/>
          <w:sz w:val="22"/>
          <w:szCs w:val="22"/>
        </w:rPr>
        <w:t>integridad</w:t>
      </w:r>
      <w:r w:rsidRPr="00CC6C2E">
        <w:rPr>
          <w:rFonts w:ascii="Arial" w:hAnsi="Arial" w:cs="Arial"/>
          <w:b/>
          <w:bCs/>
          <w:sz w:val="22"/>
          <w:szCs w:val="22"/>
        </w:rPr>
        <w:t xml:space="preserve"> </w:t>
      </w:r>
      <w:r w:rsidRPr="00CC6C2E">
        <w:rPr>
          <w:rFonts w:ascii="Arial" w:hAnsi="Arial" w:cs="Arial"/>
          <w:sz w:val="22"/>
          <w:szCs w:val="22"/>
        </w:rPr>
        <w:t>y el</w:t>
      </w:r>
      <w:r w:rsidRPr="00CC6C2E">
        <w:rPr>
          <w:rFonts w:ascii="Arial" w:hAnsi="Arial" w:cs="Arial"/>
          <w:b/>
          <w:bCs/>
          <w:sz w:val="22"/>
          <w:szCs w:val="22"/>
        </w:rPr>
        <w:t xml:space="preserve"> </w:t>
      </w:r>
      <w:r w:rsidRPr="00CC6C2E">
        <w:rPr>
          <w:rStyle w:val="Textoennegrita"/>
          <w:rFonts w:ascii="Arial" w:hAnsi="Arial" w:cs="Arial"/>
          <w:b w:val="0"/>
          <w:bCs w:val="0"/>
          <w:sz w:val="22"/>
          <w:szCs w:val="22"/>
        </w:rPr>
        <w:t>compromiso con el bienestar de la comunidad</w:t>
      </w:r>
      <w:r w:rsidRPr="00CC6C2E">
        <w:rPr>
          <w:rFonts w:ascii="Arial" w:hAnsi="Arial" w:cs="Arial"/>
          <w:sz w:val="22"/>
          <w:szCs w:val="22"/>
        </w:rPr>
        <w:t xml:space="preserve"> son fundamentales para garantizar un gobierno municipal eficiente y confiable. Estos mismos principios también influyen en el desempeño de los servidores públicos y facilitan la implementación de nuevas políticas, procedimientos y tecnologías dentro de la </w:t>
      </w:r>
      <w:r w:rsidR="00160DC6">
        <w:rPr>
          <w:rFonts w:ascii="Arial" w:hAnsi="Arial" w:cs="Arial"/>
          <w:sz w:val="22"/>
          <w:szCs w:val="22"/>
        </w:rPr>
        <w:t>A</w:t>
      </w:r>
      <w:r w:rsidRPr="00CC6C2E">
        <w:rPr>
          <w:rFonts w:ascii="Arial" w:hAnsi="Arial" w:cs="Arial"/>
          <w:sz w:val="22"/>
          <w:szCs w:val="22"/>
        </w:rPr>
        <w:t xml:space="preserve">dministración </w:t>
      </w:r>
      <w:r w:rsidR="00160DC6">
        <w:rPr>
          <w:rFonts w:ascii="Arial" w:hAnsi="Arial" w:cs="Arial"/>
          <w:sz w:val="22"/>
          <w:szCs w:val="22"/>
        </w:rPr>
        <w:t>P</w:t>
      </w:r>
      <w:r w:rsidRPr="00CC6C2E">
        <w:rPr>
          <w:rFonts w:ascii="Arial" w:hAnsi="Arial" w:cs="Arial"/>
          <w:sz w:val="22"/>
          <w:szCs w:val="22"/>
        </w:rPr>
        <w:t xml:space="preserve">ública </w:t>
      </w:r>
      <w:r w:rsidR="00160DC6">
        <w:rPr>
          <w:rFonts w:ascii="Arial" w:hAnsi="Arial" w:cs="Arial"/>
          <w:sz w:val="22"/>
          <w:szCs w:val="22"/>
        </w:rPr>
        <w:t>M</w:t>
      </w:r>
      <w:r w:rsidRPr="00CC6C2E">
        <w:rPr>
          <w:rFonts w:ascii="Arial" w:hAnsi="Arial" w:cs="Arial"/>
          <w:sz w:val="22"/>
          <w:szCs w:val="22"/>
        </w:rPr>
        <w:t>unicipal.</w:t>
      </w:r>
    </w:p>
    <w:p w14:paraId="32EF5CC6" w14:textId="1F1BEEA8" w:rsidR="00070D83" w:rsidRPr="00CC6C2E" w:rsidRDefault="00070D83" w:rsidP="00B205BA">
      <w:pPr>
        <w:pStyle w:val="NormalWeb"/>
        <w:spacing w:after="120" w:afterAutospacing="0"/>
        <w:jc w:val="both"/>
        <w:rPr>
          <w:rFonts w:ascii="Arial" w:hAnsi="Arial" w:cs="Arial"/>
          <w:sz w:val="22"/>
          <w:szCs w:val="22"/>
        </w:rPr>
      </w:pPr>
      <w:r w:rsidRPr="00CC6C2E">
        <w:rPr>
          <w:rFonts w:ascii="Arial" w:hAnsi="Arial" w:cs="Arial"/>
          <w:sz w:val="22"/>
          <w:szCs w:val="22"/>
        </w:rPr>
        <w:t xml:space="preserve">El gobierno municipal enfrenta diversos desafíos, los cuales requieren una </w:t>
      </w:r>
      <w:r w:rsidRPr="00CC6C2E">
        <w:rPr>
          <w:rStyle w:val="Textoennegrita"/>
          <w:rFonts w:ascii="Arial" w:hAnsi="Arial" w:cs="Arial"/>
          <w:b w:val="0"/>
          <w:bCs w:val="0"/>
          <w:sz w:val="22"/>
          <w:szCs w:val="22"/>
        </w:rPr>
        <w:t>cultura institucional sólida</w:t>
      </w:r>
      <w:r w:rsidRPr="00CC6C2E">
        <w:rPr>
          <w:rFonts w:ascii="Arial" w:hAnsi="Arial" w:cs="Arial"/>
          <w:b/>
          <w:bCs/>
          <w:sz w:val="22"/>
          <w:szCs w:val="22"/>
        </w:rPr>
        <w:t>.</w:t>
      </w:r>
      <w:r w:rsidRPr="00CC6C2E">
        <w:rPr>
          <w:rFonts w:ascii="Arial" w:hAnsi="Arial" w:cs="Arial"/>
          <w:sz w:val="22"/>
          <w:szCs w:val="22"/>
        </w:rPr>
        <w:t xml:space="preserve"> Un entorno que fomente la </w:t>
      </w:r>
      <w:r w:rsidRPr="00CC6C2E">
        <w:rPr>
          <w:rStyle w:val="Textoennegrita"/>
          <w:rFonts w:ascii="Arial" w:hAnsi="Arial" w:cs="Arial"/>
          <w:b w:val="0"/>
          <w:bCs w:val="0"/>
          <w:sz w:val="22"/>
          <w:szCs w:val="22"/>
        </w:rPr>
        <w:t>adaptabilidad</w:t>
      </w:r>
      <w:r w:rsidRPr="00CC6C2E">
        <w:rPr>
          <w:rFonts w:ascii="Arial" w:hAnsi="Arial" w:cs="Arial"/>
          <w:b/>
          <w:bCs/>
          <w:sz w:val="22"/>
          <w:szCs w:val="22"/>
        </w:rPr>
        <w:t xml:space="preserve">, </w:t>
      </w:r>
      <w:r w:rsidRPr="00CC6C2E">
        <w:rPr>
          <w:rFonts w:ascii="Arial" w:hAnsi="Arial" w:cs="Arial"/>
          <w:sz w:val="22"/>
          <w:szCs w:val="22"/>
        </w:rPr>
        <w:t>el</w:t>
      </w:r>
      <w:r w:rsidRPr="00CC6C2E">
        <w:rPr>
          <w:rFonts w:ascii="Arial" w:hAnsi="Arial" w:cs="Arial"/>
          <w:b/>
          <w:bCs/>
          <w:sz w:val="22"/>
          <w:szCs w:val="22"/>
        </w:rPr>
        <w:t xml:space="preserve"> </w:t>
      </w:r>
      <w:r w:rsidRPr="00CC6C2E">
        <w:rPr>
          <w:rStyle w:val="Textoennegrita"/>
          <w:rFonts w:ascii="Arial" w:hAnsi="Arial" w:cs="Arial"/>
          <w:b w:val="0"/>
          <w:bCs w:val="0"/>
          <w:sz w:val="22"/>
          <w:szCs w:val="22"/>
        </w:rPr>
        <w:t>trabajo en equipo</w:t>
      </w:r>
      <w:r w:rsidRPr="00CC6C2E">
        <w:rPr>
          <w:rFonts w:ascii="Arial" w:hAnsi="Arial" w:cs="Arial"/>
          <w:b/>
          <w:bCs/>
          <w:sz w:val="22"/>
          <w:szCs w:val="22"/>
        </w:rPr>
        <w:t xml:space="preserve"> </w:t>
      </w:r>
      <w:r w:rsidRPr="00CC6C2E">
        <w:rPr>
          <w:rFonts w:ascii="Arial" w:hAnsi="Arial" w:cs="Arial"/>
          <w:sz w:val="22"/>
          <w:szCs w:val="22"/>
        </w:rPr>
        <w:t>y la</w:t>
      </w:r>
      <w:r w:rsidRPr="00CC6C2E">
        <w:rPr>
          <w:rFonts w:ascii="Arial" w:hAnsi="Arial" w:cs="Arial"/>
          <w:b/>
          <w:bCs/>
          <w:sz w:val="22"/>
          <w:szCs w:val="22"/>
        </w:rPr>
        <w:t xml:space="preserve"> </w:t>
      </w:r>
      <w:r w:rsidRPr="00CC6C2E">
        <w:rPr>
          <w:rStyle w:val="Textoennegrita"/>
          <w:rFonts w:ascii="Arial" w:hAnsi="Arial" w:cs="Arial"/>
          <w:b w:val="0"/>
          <w:bCs w:val="0"/>
          <w:sz w:val="22"/>
          <w:szCs w:val="22"/>
        </w:rPr>
        <w:t>innovación</w:t>
      </w:r>
      <w:r w:rsidR="00160DC6">
        <w:rPr>
          <w:rFonts w:ascii="Arial" w:hAnsi="Arial" w:cs="Arial"/>
          <w:b/>
          <w:bCs/>
          <w:sz w:val="22"/>
          <w:szCs w:val="22"/>
        </w:rPr>
        <w:t xml:space="preserve">, </w:t>
      </w:r>
      <w:r w:rsidR="00160DC6" w:rsidRPr="00160DC6">
        <w:rPr>
          <w:rFonts w:ascii="Arial" w:hAnsi="Arial" w:cs="Arial"/>
          <w:sz w:val="22"/>
          <w:szCs w:val="22"/>
        </w:rPr>
        <w:t xml:space="preserve">factores </w:t>
      </w:r>
      <w:r w:rsidRPr="00CC6C2E">
        <w:rPr>
          <w:rFonts w:ascii="Arial" w:hAnsi="Arial" w:cs="Arial"/>
          <w:sz w:val="22"/>
          <w:szCs w:val="22"/>
        </w:rPr>
        <w:t>clave para mejorar la calidad de la gestión pública y elevar la satisfacción ciudadana.</w:t>
      </w:r>
    </w:p>
    <w:p w14:paraId="0849F902" w14:textId="468EE7B6" w:rsidR="00A96101" w:rsidRPr="00160DC6" w:rsidRDefault="00070D83" w:rsidP="00B205BA">
      <w:pPr>
        <w:pStyle w:val="NormalWeb"/>
        <w:spacing w:after="120" w:afterAutospacing="0"/>
        <w:jc w:val="both"/>
        <w:rPr>
          <w:rFonts w:ascii="Arial" w:hAnsi="Arial" w:cs="Arial"/>
          <w:sz w:val="22"/>
          <w:szCs w:val="22"/>
        </w:rPr>
      </w:pPr>
      <w:r w:rsidRPr="00CC6C2E">
        <w:rPr>
          <w:rFonts w:ascii="Arial" w:hAnsi="Arial" w:cs="Arial"/>
          <w:sz w:val="22"/>
          <w:szCs w:val="22"/>
        </w:rPr>
        <w:t xml:space="preserve">Las y los servidores públicos, con su esfuerzo y dedicación, son los que, día a día, hacen posible el cumplimiento de los objetivos y metas del gobierno. Su trabajo, realizado con un profundo sentido de </w:t>
      </w:r>
      <w:r w:rsidRPr="00CC6C2E">
        <w:rPr>
          <w:rStyle w:val="Textoennegrita"/>
          <w:rFonts w:ascii="Arial" w:hAnsi="Arial" w:cs="Arial"/>
          <w:b w:val="0"/>
          <w:bCs w:val="0"/>
          <w:sz w:val="22"/>
          <w:szCs w:val="22"/>
        </w:rPr>
        <w:t>pertenencia</w:t>
      </w:r>
      <w:r w:rsidRPr="00CC6C2E">
        <w:rPr>
          <w:rFonts w:ascii="Arial" w:hAnsi="Arial" w:cs="Arial"/>
          <w:b/>
          <w:bCs/>
          <w:sz w:val="22"/>
          <w:szCs w:val="22"/>
        </w:rPr>
        <w:t xml:space="preserve"> </w:t>
      </w:r>
      <w:r w:rsidRPr="00CC6C2E">
        <w:rPr>
          <w:rFonts w:ascii="Arial" w:hAnsi="Arial" w:cs="Arial"/>
          <w:sz w:val="22"/>
          <w:szCs w:val="22"/>
        </w:rPr>
        <w:t>y</w:t>
      </w:r>
      <w:r w:rsidRPr="00CC6C2E">
        <w:rPr>
          <w:rFonts w:ascii="Arial" w:hAnsi="Arial" w:cs="Arial"/>
          <w:b/>
          <w:bCs/>
          <w:sz w:val="22"/>
          <w:szCs w:val="22"/>
        </w:rPr>
        <w:t xml:space="preserve"> </w:t>
      </w:r>
      <w:r w:rsidRPr="00CC6C2E">
        <w:rPr>
          <w:rStyle w:val="Textoennegrita"/>
          <w:rFonts w:ascii="Arial" w:hAnsi="Arial" w:cs="Arial"/>
          <w:b w:val="0"/>
          <w:bCs w:val="0"/>
          <w:sz w:val="22"/>
          <w:szCs w:val="22"/>
        </w:rPr>
        <w:t>compromiso con la misión pública</w:t>
      </w:r>
      <w:r w:rsidRPr="00CC6C2E">
        <w:rPr>
          <w:rFonts w:ascii="Arial" w:hAnsi="Arial" w:cs="Arial"/>
          <w:b/>
          <w:bCs/>
          <w:sz w:val="22"/>
          <w:szCs w:val="22"/>
        </w:rPr>
        <w:t xml:space="preserve">, </w:t>
      </w:r>
      <w:r w:rsidRPr="00CC6C2E">
        <w:rPr>
          <w:rFonts w:ascii="Arial" w:hAnsi="Arial" w:cs="Arial"/>
          <w:sz w:val="22"/>
          <w:szCs w:val="22"/>
        </w:rPr>
        <w:t>es esencial para enfrentar los cambios de manera eficaz, adoptando un enfoque constructivo. Además, garantizan que la atención al ciudadano se realice con cordialidad, eficiencia y calidad, reflejando el verdadero propósito de servicio público.</w:t>
      </w:r>
    </w:p>
    <w:p w14:paraId="79DF7F5E" w14:textId="3D483ED6" w:rsidR="002D3DD6" w:rsidRDefault="002D3DD6" w:rsidP="00B205BA">
      <w:pPr>
        <w:spacing w:after="120" w:line="240" w:lineRule="auto"/>
        <w:rPr>
          <w:rFonts w:cs="Arial"/>
          <w:b/>
          <w:bCs/>
          <w:color w:val="000000" w:themeColor="text1"/>
        </w:rPr>
      </w:pPr>
      <w:r w:rsidRPr="00160DC6">
        <w:rPr>
          <w:rFonts w:cs="Arial"/>
          <w:b/>
          <w:bCs/>
          <w:color w:val="000000" w:themeColor="text1"/>
        </w:rPr>
        <w:t>Misión</w:t>
      </w:r>
      <w:r w:rsidR="00261A27">
        <w:rPr>
          <w:rFonts w:cs="Arial"/>
          <w:b/>
          <w:bCs/>
          <w:color w:val="000000" w:themeColor="text1"/>
        </w:rPr>
        <w:t>.</w:t>
      </w:r>
    </w:p>
    <w:p w14:paraId="6E6F2CAE" w14:textId="5821E50F" w:rsidR="00516DB0" w:rsidRPr="00F760B0" w:rsidRDefault="002D3DD6" w:rsidP="00B205BA">
      <w:pPr>
        <w:spacing w:after="120" w:line="240" w:lineRule="auto"/>
        <w:rPr>
          <w:rFonts w:cs="Arial"/>
          <w:color w:val="000000" w:themeColor="text1"/>
        </w:rPr>
      </w:pPr>
      <w:r w:rsidRPr="00160DC6">
        <w:rPr>
          <w:rFonts w:cs="Arial"/>
          <w:color w:val="000000" w:themeColor="text1"/>
        </w:rPr>
        <w:t>Construir con la sociedad las bases sólidas para el desarrollo sostenido del municipio de Hermosillo, a partir de un gran acuerdo que establezca la ruta clara de acción, en lo inmediato, en el mediano y largo plazo.</w:t>
      </w:r>
    </w:p>
    <w:p w14:paraId="30813D3E" w14:textId="0CD3FFF7" w:rsidR="002D3DD6" w:rsidRDefault="002D3DD6" w:rsidP="00B205BA">
      <w:pPr>
        <w:spacing w:after="120" w:line="240" w:lineRule="auto"/>
        <w:rPr>
          <w:rFonts w:cs="Arial"/>
          <w:b/>
          <w:bCs/>
          <w:color w:val="000000" w:themeColor="text1"/>
        </w:rPr>
      </w:pPr>
      <w:r w:rsidRPr="00160DC6">
        <w:rPr>
          <w:rFonts w:cs="Arial"/>
          <w:b/>
          <w:bCs/>
          <w:color w:val="000000" w:themeColor="text1"/>
        </w:rPr>
        <w:t>Visión</w:t>
      </w:r>
      <w:r w:rsidR="00261A27">
        <w:rPr>
          <w:rFonts w:cs="Arial"/>
          <w:b/>
          <w:bCs/>
          <w:color w:val="000000" w:themeColor="text1"/>
        </w:rPr>
        <w:t>.</w:t>
      </w:r>
    </w:p>
    <w:p w14:paraId="39DDEA0D" w14:textId="0128B9EE" w:rsidR="002D3DD6" w:rsidRPr="00160DC6" w:rsidRDefault="002D3DD6" w:rsidP="00B205BA">
      <w:pPr>
        <w:spacing w:after="120" w:line="240" w:lineRule="auto"/>
        <w:rPr>
          <w:rFonts w:cs="Arial"/>
          <w:color w:val="000000" w:themeColor="text1"/>
        </w:rPr>
      </w:pPr>
      <w:r w:rsidRPr="00160DC6">
        <w:rPr>
          <w:rFonts w:cs="Arial"/>
          <w:color w:val="000000" w:themeColor="text1"/>
        </w:rPr>
        <w:t>Hacer de Hermosillo una metrópoli con alta calidad de vida, que la transforme en el mejor lugar para vivir y prosperar.</w:t>
      </w:r>
    </w:p>
    <w:p w14:paraId="1F7BC776" w14:textId="77777777" w:rsidR="002D3DD6" w:rsidRPr="00160DC6" w:rsidRDefault="002D3DD6" w:rsidP="00B205BA">
      <w:pPr>
        <w:spacing w:after="120" w:line="240" w:lineRule="auto"/>
        <w:rPr>
          <w:rFonts w:cs="Arial"/>
          <w:color w:val="000000" w:themeColor="text1"/>
        </w:rPr>
      </w:pPr>
    </w:p>
    <w:p w14:paraId="7AE9D8DD" w14:textId="78318806" w:rsidR="00261A27" w:rsidRPr="00160DC6" w:rsidRDefault="002D3DD6" w:rsidP="00B205BA">
      <w:pPr>
        <w:spacing w:after="120" w:line="240" w:lineRule="auto"/>
        <w:rPr>
          <w:rFonts w:cs="Arial"/>
          <w:b/>
          <w:bCs/>
          <w:color w:val="000000" w:themeColor="text1"/>
        </w:rPr>
      </w:pPr>
      <w:r w:rsidRPr="00160DC6">
        <w:rPr>
          <w:rFonts w:cs="Arial"/>
          <w:b/>
          <w:bCs/>
          <w:color w:val="000000" w:themeColor="text1"/>
        </w:rPr>
        <w:t>Principios</w:t>
      </w:r>
      <w:r w:rsidR="00261A27">
        <w:rPr>
          <w:rFonts w:cs="Arial"/>
          <w:b/>
          <w:bCs/>
          <w:color w:val="000000" w:themeColor="text1"/>
        </w:rPr>
        <w:t>.</w:t>
      </w:r>
    </w:p>
    <w:p w14:paraId="7A061BCC"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Disciplina: Poner en práctica, en toda circunstancia u ocasión, acciones de una manera ordenada, metódica y perseverante, con el propósito de obtener los mejores resultados en el servicio o bienes ofrecidos; </w:t>
      </w:r>
    </w:p>
    <w:p w14:paraId="57654AD5"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Economía: Para administrar los bienes, recursos y servicios públicos con legalidad, austeridad y disciplina, satisfaciendo los objetivos y metas a los que estén destinados, siendo estos de interés social; </w:t>
      </w:r>
    </w:p>
    <w:p w14:paraId="63F4B29B"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Eficacia: Para actuar conforme a una cultura de servicio orientada al logro de resultados, procurando en todo momento el mejor desempeño de sus funciones, a fin de alcanzar las metas institucionales según sus responsabilidades y mediante el uso responsable y claro de los recursos públicos, eliminando cualquier ostentación y discrecionalidad indebida en su aplicación; </w:t>
      </w:r>
    </w:p>
    <w:p w14:paraId="3D74CD5C"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Eficiencia: Para actuar en apego a los planes y programas previamente establecidos, optimizado el uso y la asignación de los recursos públicos en el desarrollo de sus actividades para lograr los objetivos propuestos; </w:t>
      </w:r>
    </w:p>
    <w:p w14:paraId="44F70F39" w14:textId="6610E8EF"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lastRenderedPageBreak/>
        <w:t xml:space="preserve">Equidad: Para procurar que toda persona acceda con justicia e igualdad al uso, disfrute y beneficio de los bienes, servicios, recursos y oportunidades que brinda el </w:t>
      </w:r>
      <w:r w:rsidR="00261A27">
        <w:rPr>
          <w:rFonts w:cs="Arial"/>
          <w:color w:val="000000" w:themeColor="text1"/>
        </w:rPr>
        <w:t>m</w:t>
      </w:r>
      <w:r w:rsidRPr="00160DC6">
        <w:rPr>
          <w:rFonts w:cs="Arial"/>
          <w:color w:val="000000" w:themeColor="text1"/>
        </w:rPr>
        <w:t xml:space="preserve">unicipio; </w:t>
      </w:r>
    </w:p>
    <w:p w14:paraId="550FDE83"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Honradez: Para conducirse con rectitud, sin utilizar su empleo, cargo o comisión para obtener o pretender obtener algún beneficio, provecho o ventaja personal o a favor de terceras personas; así como no buscar ni aceptar compensaciones, prestaciones, dádivas, obsequios o regalos de cualquier persona u organización, debido a que están conscientes que ello compromete sus funciones y que el ejercicio de cualquier cargo público implica un alto sentido de austeridad y vocación de servicio; </w:t>
      </w:r>
    </w:p>
    <w:p w14:paraId="5CD83B81"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Imparcialidad: Para dar a la ciudadanía, en general, el mismo trato sin conceder privilegios o preferencias a organizaciones o personas, ni permiten que influencias, intereses o prejuicios afecten su compromiso para tomar decisiones o ejercer sus funciones de manera objetiva;</w:t>
      </w:r>
    </w:p>
    <w:p w14:paraId="6E6F9DA0"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Integridad: Para actuar siempre de manera congruente con los principios que se deben observar en el desempeño de un empleo, cargo o comisión, convencidas en el compromiso de ajustar su conducta para que impere en su desempeño una ética que responda al interés público y generen certeza plena de su conducta frente a todas las personas con las que se vinculen u observen su actuar;</w:t>
      </w:r>
    </w:p>
    <w:p w14:paraId="4AFEF431"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Lealtad: Corresponder a la confianza que se les ha conferido; teniendo una vocación absoluta de servicio a la sociedad, en aras de satisfacer el interés superior de las necesidades colectivas por encima de los intereses particulares, personales o ajenos al interés general y bienestar de la población; </w:t>
      </w:r>
    </w:p>
    <w:p w14:paraId="31EAD963"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Legalidad: Para hacer sólo aquello que las normas expresamente les confieren y, en todo momento, someter su actuación a las facultades que las leyes, reglamentos y demás disposiciones jurídicas atribuyen a su empleo, cargo o comisión, por lo que conocen y cumplen las disposiciones que regulan el ejercicio de sus funciones, facultades y atribuciones; </w:t>
      </w:r>
    </w:p>
    <w:p w14:paraId="19A27FC9"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Objetividad: Para preservar el interés superior de las necesidades colectivas por encima de intereses particulares, personales o ajenos al interés general, actuando de manera neutral e imparcial en la toma de decisiones, que a su vez deberán de ser informadas en estricto apego a la legalidad; </w:t>
      </w:r>
    </w:p>
    <w:p w14:paraId="0A0D0D2D"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Profesionalismo: Para conocer, actuar y cumplir con las funciones, atribuciones y comisiones encomendadas de conformidad con las leyes, reglamentos y demás disposiciones jurídicas atribuibles a su empleo, cargo o comisión, observando en todo momento disciplina, integridad y respeto, tanto a las demás servidoras y servidores públicos como a las y los particulares con los que llegare a tratar; </w:t>
      </w:r>
    </w:p>
    <w:p w14:paraId="31BF31F1" w14:textId="77777777"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Rendición de cuentas: Asumir plenamente, ante la sociedad y sus autoridades, la responsabilidad que deriva del ejercicio de su empleo, cargo o comisión, por lo que informan, explican, justifican sus decisiones y acciones, se sujetan a un sistema de sanciones, así como a la evaluación y al escrutinio público de sus funciones por parte de la ciudadanía; </w:t>
      </w:r>
    </w:p>
    <w:p w14:paraId="06193F29" w14:textId="6850D213" w:rsidR="002D3DD6" w:rsidRPr="00160DC6" w:rsidRDefault="002D3DD6" w:rsidP="00B205BA">
      <w:pPr>
        <w:pStyle w:val="Prrafodelista"/>
        <w:numPr>
          <w:ilvl w:val="0"/>
          <w:numId w:val="14"/>
        </w:numPr>
        <w:spacing w:after="120" w:line="240" w:lineRule="auto"/>
        <w:contextualSpacing w:val="0"/>
        <w:rPr>
          <w:rFonts w:cs="Arial"/>
          <w:color w:val="000000" w:themeColor="text1"/>
        </w:rPr>
      </w:pPr>
      <w:r w:rsidRPr="00160DC6">
        <w:rPr>
          <w:rFonts w:cs="Arial"/>
          <w:color w:val="000000" w:themeColor="text1"/>
        </w:rPr>
        <w:t xml:space="preserve">Transparencia: Para ejercer sus funciones privilegiando siempre el principio de máxima publicidad de la información pública, atendiendo con diligencia los </w:t>
      </w:r>
      <w:r w:rsidRPr="00160DC6">
        <w:rPr>
          <w:rFonts w:cs="Arial"/>
          <w:color w:val="000000" w:themeColor="text1"/>
        </w:rPr>
        <w:lastRenderedPageBreak/>
        <w:t xml:space="preserve">requerimientos de acceso y proporcionando la documentación que generen, obtengan, adquieran, transformen o conserven en el ámbito de su competencia, promoviendo un gobierno </w:t>
      </w:r>
      <w:r w:rsidR="00B205BA" w:rsidRPr="00160DC6">
        <w:rPr>
          <w:rFonts w:cs="Arial"/>
          <w:color w:val="000000" w:themeColor="text1"/>
        </w:rPr>
        <w:t>abierto,</w:t>
      </w:r>
      <w:r w:rsidRPr="00160DC6">
        <w:rPr>
          <w:rFonts w:cs="Arial"/>
          <w:color w:val="000000" w:themeColor="text1"/>
        </w:rPr>
        <w:t xml:space="preserve"> pero protegiendo los datos personales que estén bajo su custodia.</w:t>
      </w:r>
    </w:p>
    <w:p w14:paraId="5B266274" w14:textId="5C694C34" w:rsidR="002D3DD6" w:rsidRPr="00160DC6" w:rsidRDefault="002D3DD6" w:rsidP="00B205BA">
      <w:pPr>
        <w:spacing w:after="120" w:line="240" w:lineRule="auto"/>
        <w:rPr>
          <w:rFonts w:cs="Arial"/>
          <w:b/>
          <w:bCs/>
          <w:color w:val="000000" w:themeColor="text1"/>
        </w:rPr>
      </w:pPr>
      <w:r w:rsidRPr="00160DC6">
        <w:rPr>
          <w:rFonts w:cs="Arial"/>
          <w:b/>
          <w:bCs/>
          <w:color w:val="000000" w:themeColor="text1"/>
        </w:rPr>
        <w:t>Valores Institucionales</w:t>
      </w:r>
    </w:p>
    <w:p w14:paraId="6A9BF586"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Compromiso: Ejercer la función pública con una amplia participación ciudadana hacia la consolidación de una sociedad que funcione en un ambiente de legalidad y certidumbre; </w:t>
      </w:r>
    </w:p>
    <w:p w14:paraId="7C26F968"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Cooperación: Colaborar entre sí y propiciar el trabajo en equipo para alcanzar los objetivos comunes previstos en los planes y programas gubernamentales, generando así una plena vocación de servicio público; </w:t>
      </w:r>
    </w:p>
    <w:p w14:paraId="7E3B01EA"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Eficiencia: Aplicar los conocimientos, experiencia y trabajo para el logro de los resultados, con estricto apego a la normatividad, racionalidad y austeridad en el uso de los recursos públicos; </w:t>
      </w:r>
    </w:p>
    <w:p w14:paraId="38C56705"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Entorno Cultural y Ecológico: Las y los servidores públicos, en el desarrollo de sus actividades evitan la afectación del patrimonio cultural de cualquier nación y de los ecosistemas del planeta; a su vez, asumen una férrea voluntad de respeto, defensa, preservación de la cultura y del medio ambiente; y, en el ejercicio de sus funciones y atribuciones, promueven en la sociedad la protección y conservación de la cultura y el medio ambiente, al ser el principal legado para las generaciones futuras; </w:t>
      </w:r>
    </w:p>
    <w:p w14:paraId="080DEBC8"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Equidad de género: Las y los servidores públicos en el ámbito de sus competencias y atribuciones, garantizan que tanto mujeres como hombres accedan con las mismas condiciones, posibilidades y oportunidades a los bienes y servicios; a los programas y beneficios institucionales y a los empleos, cargos y comisiones gubernamentales;</w:t>
      </w:r>
    </w:p>
    <w:p w14:paraId="191B1DA4" w14:textId="31C51090"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Ética: En toda decisión y acción de las y los servidores públicos prevalecerá el bienestar de la sociedad y el cumplimiento del deber</w:t>
      </w:r>
      <w:r w:rsidR="00261A27">
        <w:rPr>
          <w:rFonts w:cs="Arial"/>
          <w:color w:val="000000" w:themeColor="text1"/>
        </w:rPr>
        <w:t>;</w:t>
      </w:r>
    </w:p>
    <w:p w14:paraId="404CE915" w14:textId="0F33A0BA"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Honestidad: Actuar con rectitud, transparencia y verdad en todo momento y preservar la buena convivencia</w:t>
      </w:r>
      <w:r w:rsidR="00261A27">
        <w:rPr>
          <w:rFonts w:cs="Arial"/>
          <w:color w:val="000000" w:themeColor="text1"/>
        </w:rPr>
        <w:t>;</w:t>
      </w:r>
      <w:r w:rsidRPr="00160DC6">
        <w:rPr>
          <w:rFonts w:cs="Arial"/>
          <w:color w:val="000000" w:themeColor="text1"/>
        </w:rPr>
        <w:t xml:space="preserve"> </w:t>
      </w:r>
    </w:p>
    <w:p w14:paraId="61968F90"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Humanidad: Mostrar empatía, solidaridad y generosidad con las personas; </w:t>
      </w:r>
    </w:p>
    <w:p w14:paraId="680E6558"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Igualdad y no discriminación: Las y los servidores públicos prestan sus servicios a todas las personas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w:t>
      </w:r>
    </w:p>
    <w:p w14:paraId="0B52DF9A"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Interés Público: Las y los servidores públicos actúan buscando en todo momento la máxima atención de las necesidades y demandas de la sociedad por encima de intereses y beneficios particulares, ajenos a la satisfacción colectiva; </w:t>
      </w:r>
    </w:p>
    <w:p w14:paraId="0558C960"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Liderazgo: Las y los servidores públicos son guía, ejemplo y promotoras del Código de Ética y las Reglas de Integridad; fomentan y aplican en el desempeño de sus funciones los principios que la constitución y las leyes les imponen, así </w:t>
      </w:r>
      <w:r w:rsidRPr="00160DC6">
        <w:rPr>
          <w:rFonts w:cs="Arial"/>
          <w:color w:val="000000" w:themeColor="text1"/>
        </w:rPr>
        <w:lastRenderedPageBreak/>
        <w:t>como aquellos valores adicionales que por su importancia son intrínsecos a la función pública;</w:t>
      </w:r>
    </w:p>
    <w:p w14:paraId="3A3224B8"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Respeto: Las y los servidores públicos se conducen con austeridad, sin ostentación, otorgan un trato digno y cordial a las personas en general, a sus compañeros y compañeras de trabajo, superiores y subordinadas, considerando sus derechos de tal manera que propician el diálogo cortés y la aplicación armónica de instrumentos que conduzcan al entendimiento, a través de la eficacia y el interés público; </w:t>
      </w:r>
    </w:p>
    <w:p w14:paraId="30B76D34" w14:textId="46FECC1F"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 xml:space="preserve">Respeto a los Derechos Humanos: Las y los servidores públicos respetan los derechos humanos, y en el ámbito de sus competencias y atribuciones, los garantizan, promueven y protegen de conformidad con los principios de: universalidad, que establece que los derechos humanos corresponden a toda persona por el simple hecho de serlo; de </w:t>
      </w:r>
      <w:r w:rsidR="00F760B0">
        <w:rPr>
          <w:rFonts w:cs="Arial"/>
          <w:color w:val="000000" w:themeColor="text1"/>
        </w:rPr>
        <w:t>i</w:t>
      </w:r>
      <w:r w:rsidRPr="00160DC6">
        <w:rPr>
          <w:rFonts w:cs="Arial"/>
          <w:color w:val="000000" w:themeColor="text1"/>
        </w:rPr>
        <w:t xml:space="preserve">nterdependencia, que implica que los derechos humanos se encuentran vinculados 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 </w:t>
      </w:r>
    </w:p>
    <w:p w14:paraId="07E52CE0" w14:textId="77777777" w:rsidR="002D3DD6" w:rsidRPr="00160DC6" w:rsidRDefault="002D3DD6" w:rsidP="00B205BA">
      <w:pPr>
        <w:pStyle w:val="Prrafodelista"/>
        <w:numPr>
          <w:ilvl w:val="0"/>
          <w:numId w:val="13"/>
        </w:numPr>
        <w:spacing w:after="120" w:line="240" w:lineRule="auto"/>
        <w:contextualSpacing w:val="0"/>
        <w:rPr>
          <w:rFonts w:cs="Arial"/>
          <w:color w:val="000000" w:themeColor="text1"/>
        </w:rPr>
      </w:pPr>
      <w:r w:rsidRPr="00160DC6">
        <w:rPr>
          <w:rFonts w:cs="Arial"/>
          <w:color w:val="000000" w:themeColor="text1"/>
        </w:rPr>
        <w:t>Responsabilidad: Las y los servidores públicos en su actuación mostrarán alta lealtad, imparcialidad, eficiencia y honradez en las funciones que realizan.</w:t>
      </w:r>
    </w:p>
    <w:p w14:paraId="39861F84" w14:textId="1C4B978E" w:rsidR="00BB0F02" w:rsidRPr="00160DC6" w:rsidRDefault="00BB0F02" w:rsidP="00B205BA">
      <w:pPr>
        <w:spacing w:after="120" w:line="240" w:lineRule="auto"/>
        <w:rPr>
          <w:rFonts w:cs="Arial"/>
          <w:color w:val="808080" w:themeColor="background1" w:themeShade="80"/>
        </w:rPr>
      </w:pPr>
    </w:p>
    <w:p w14:paraId="1B01F17D" w14:textId="349A0627" w:rsidR="00202049" w:rsidRPr="00160DC6" w:rsidRDefault="00202049" w:rsidP="00B205BA">
      <w:pPr>
        <w:spacing w:after="120" w:line="240" w:lineRule="auto"/>
        <w:rPr>
          <w:rFonts w:cs="Arial"/>
          <w:color w:val="808080" w:themeColor="background1" w:themeShade="80"/>
        </w:rPr>
      </w:pPr>
    </w:p>
    <w:p w14:paraId="13EAD36C" w14:textId="32BD9420" w:rsidR="00202049" w:rsidRPr="00160DC6" w:rsidRDefault="00202049" w:rsidP="00B205BA">
      <w:pPr>
        <w:spacing w:after="120" w:line="240" w:lineRule="auto"/>
        <w:rPr>
          <w:rFonts w:cs="Arial"/>
          <w:color w:val="808080" w:themeColor="background1" w:themeShade="80"/>
        </w:rPr>
      </w:pPr>
    </w:p>
    <w:p w14:paraId="2DE86AD0" w14:textId="48568993" w:rsidR="00202049" w:rsidRPr="00160DC6" w:rsidRDefault="00202049" w:rsidP="00B205BA">
      <w:pPr>
        <w:spacing w:after="120" w:line="240" w:lineRule="auto"/>
        <w:rPr>
          <w:rFonts w:cs="Arial"/>
          <w:color w:val="808080" w:themeColor="background1" w:themeShade="80"/>
        </w:rPr>
      </w:pPr>
    </w:p>
    <w:p w14:paraId="3AE8A857" w14:textId="0A8EE694" w:rsidR="00202049" w:rsidRPr="00160DC6" w:rsidRDefault="00202049" w:rsidP="00B205BA">
      <w:pPr>
        <w:spacing w:after="120" w:line="240" w:lineRule="auto"/>
        <w:rPr>
          <w:rFonts w:cs="Arial"/>
          <w:color w:val="808080" w:themeColor="background1" w:themeShade="80"/>
        </w:rPr>
      </w:pPr>
    </w:p>
    <w:p w14:paraId="27306E7E" w14:textId="080BB07E" w:rsidR="00202049" w:rsidRPr="00160DC6" w:rsidRDefault="00202049" w:rsidP="00B205BA">
      <w:pPr>
        <w:spacing w:after="120" w:line="240" w:lineRule="auto"/>
        <w:rPr>
          <w:rFonts w:cs="Arial"/>
          <w:color w:val="808080" w:themeColor="background1" w:themeShade="80"/>
        </w:rPr>
      </w:pPr>
    </w:p>
    <w:p w14:paraId="7AC32406" w14:textId="5BCC88D3" w:rsidR="002D3DD6" w:rsidRDefault="002D3DD6" w:rsidP="00B205BA">
      <w:pPr>
        <w:spacing w:after="120" w:line="240" w:lineRule="auto"/>
        <w:rPr>
          <w:rFonts w:cs="Arial"/>
          <w:b/>
          <w:bCs/>
          <w:color w:val="808080" w:themeColor="background1" w:themeShade="80"/>
        </w:rPr>
      </w:pPr>
    </w:p>
    <w:p w14:paraId="50A9F22C" w14:textId="22BC74ED" w:rsidR="00160DC6" w:rsidRDefault="00160DC6" w:rsidP="00B205BA">
      <w:pPr>
        <w:spacing w:after="120" w:line="240" w:lineRule="auto"/>
        <w:rPr>
          <w:rFonts w:cs="Arial"/>
          <w:b/>
          <w:bCs/>
          <w:color w:val="808080" w:themeColor="background1" w:themeShade="80"/>
        </w:rPr>
      </w:pPr>
    </w:p>
    <w:p w14:paraId="32DE7400" w14:textId="1B14FDEB" w:rsidR="00160DC6" w:rsidRDefault="00160DC6" w:rsidP="00B205BA">
      <w:pPr>
        <w:spacing w:after="120" w:line="240" w:lineRule="auto"/>
        <w:rPr>
          <w:rFonts w:cs="Arial"/>
          <w:b/>
          <w:bCs/>
          <w:color w:val="808080" w:themeColor="background1" w:themeShade="80"/>
        </w:rPr>
      </w:pPr>
    </w:p>
    <w:p w14:paraId="0F5DD2A7" w14:textId="735C1B36" w:rsidR="00160DC6" w:rsidRDefault="00160DC6" w:rsidP="00B205BA">
      <w:pPr>
        <w:spacing w:after="120" w:line="240" w:lineRule="auto"/>
        <w:rPr>
          <w:rFonts w:cs="Arial"/>
          <w:b/>
          <w:bCs/>
          <w:color w:val="808080" w:themeColor="background1" w:themeShade="80"/>
        </w:rPr>
      </w:pPr>
    </w:p>
    <w:p w14:paraId="2F8CEE9D" w14:textId="4CAACA96" w:rsidR="00160DC6" w:rsidRDefault="00160DC6" w:rsidP="00B205BA">
      <w:pPr>
        <w:spacing w:after="120" w:line="240" w:lineRule="auto"/>
        <w:rPr>
          <w:rFonts w:cs="Arial"/>
          <w:b/>
          <w:bCs/>
          <w:color w:val="808080" w:themeColor="background1" w:themeShade="80"/>
        </w:rPr>
      </w:pPr>
    </w:p>
    <w:p w14:paraId="4F2AB641" w14:textId="349ECCAE" w:rsidR="00160DC6" w:rsidRDefault="00160DC6" w:rsidP="00B205BA">
      <w:pPr>
        <w:spacing w:after="120" w:line="240" w:lineRule="auto"/>
        <w:rPr>
          <w:rFonts w:cs="Arial"/>
          <w:b/>
          <w:bCs/>
          <w:color w:val="808080" w:themeColor="background1" w:themeShade="80"/>
        </w:rPr>
      </w:pPr>
    </w:p>
    <w:p w14:paraId="4B1F0CB9" w14:textId="0137E310" w:rsidR="00160DC6" w:rsidRDefault="00160DC6" w:rsidP="00B205BA">
      <w:pPr>
        <w:spacing w:after="120" w:line="240" w:lineRule="auto"/>
        <w:rPr>
          <w:rFonts w:cs="Arial"/>
          <w:b/>
          <w:bCs/>
          <w:color w:val="808080" w:themeColor="background1" w:themeShade="80"/>
        </w:rPr>
      </w:pPr>
    </w:p>
    <w:p w14:paraId="580E85B9" w14:textId="27F3053D" w:rsidR="00160DC6" w:rsidRDefault="00160DC6" w:rsidP="00B205BA">
      <w:pPr>
        <w:spacing w:after="120" w:line="240" w:lineRule="auto"/>
        <w:rPr>
          <w:rFonts w:cs="Arial"/>
          <w:b/>
          <w:bCs/>
          <w:color w:val="808080" w:themeColor="background1" w:themeShade="80"/>
        </w:rPr>
      </w:pPr>
    </w:p>
    <w:p w14:paraId="311CB633" w14:textId="35868F7B" w:rsidR="00F760B0" w:rsidRDefault="00F760B0" w:rsidP="00B205BA">
      <w:pPr>
        <w:spacing w:after="120" w:line="240" w:lineRule="auto"/>
        <w:rPr>
          <w:rFonts w:cs="Arial"/>
          <w:b/>
          <w:bCs/>
          <w:color w:val="808080" w:themeColor="background1" w:themeShade="80"/>
        </w:rPr>
      </w:pPr>
    </w:p>
    <w:p w14:paraId="1E2BD690" w14:textId="77777777" w:rsidR="00F760B0" w:rsidRDefault="00F760B0" w:rsidP="00B205BA">
      <w:pPr>
        <w:spacing w:after="120" w:line="240" w:lineRule="auto"/>
        <w:rPr>
          <w:rFonts w:cs="Arial"/>
          <w:b/>
          <w:bCs/>
          <w:color w:val="808080" w:themeColor="background1" w:themeShade="80"/>
        </w:rPr>
      </w:pPr>
    </w:p>
    <w:p w14:paraId="16C2BF13" w14:textId="77777777" w:rsidR="008905CC" w:rsidRPr="00D503D0" w:rsidRDefault="008905CC" w:rsidP="00B205BA">
      <w:pPr>
        <w:spacing w:after="120" w:line="240" w:lineRule="auto"/>
        <w:rPr>
          <w:rFonts w:cs="Arial"/>
          <w:b/>
          <w:bCs/>
          <w:color w:val="808080" w:themeColor="background1" w:themeShade="80"/>
          <w:sz w:val="24"/>
          <w:szCs w:val="24"/>
        </w:rPr>
      </w:pPr>
    </w:p>
    <w:p w14:paraId="6EB07DB7" w14:textId="0C88854B" w:rsidR="00261A27" w:rsidRPr="00C32544" w:rsidRDefault="00354340" w:rsidP="00B205BA">
      <w:pPr>
        <w:pStyle w:val="Ttulo1"/>
        <w:spacing w:after="120" w:line="240" w:lineRule="auto"/>
      </w:pPr>
      <w:bookmarkStart w:id="4" w:name="_Toc187396116"/>
      <w:r w:rsidRPr="00261A27">
        <w:lastRenderedPageBreak/>
        <w:t>SISTEMA MUNICIPAL DE PLANEACIÓN DEMOCRÁTICA</w:t>
      </w:r>
      <w:bookmarkEnd w:id="4"/>
    </w:p>
    <w:p w14:paraId="379AB628" w14:textId="77777777" w:rsidR="006004FD" w:rsidRDefault="006004FD" w:rsidP="00B205BA">
      <w:pPr>
        <w:spacing w:before="100" w:beforeAutospacing="1" w:after="120" w:line="240" w:lineRule="auto"/>
        <w:rPr>
          <w:rFonts w:cs="Arial"/>
        </w:rPr>
      </w:pPr>
      <w:r w:rsidRPr="005E10D1">
        <w:rPr>
          <w:rFonts w:cs="Arial"/>
        </w:rPr>
        <w:t>El municipio de Hermosillo posee un gran potencial para el desarrollo su ubicación estratégica, recursos naturales, sector industrial en expansión, así como su capacidad para generar energías renovables. Sin embargo, enfrenta amenazas como el cambio climático, la inseguridad, las desigualdades regionales, entre otras. Para fortalecer su desarrollo municipal, es esencial abordar estos retos de manera integral, con políticas públicas que fomenten la inversión en infraestructura, la sostenibilidad ambiental, la inclusión social y la seguridad, garantizando así, que el progreso llegue de manera equitativa a todos sus habitantes.</w:t>
      </w:r>
    </w:p>
    <w:p w14:paraId="784D6976" w14:textId="626AD5D8" w:rsidR="006004FD" w:rsidRPr="005E10D1" w:rsidRDefault="006004FD" w:rsidP="00B205BA">
      <w:pPr>
        <w:spacing w:before="100" w:beforeAutospacing="1" w:after="120" w:line="240" w:lineRule="auto"/>
        <w:rPr>
          <w:rFonts w:cs="Arial"/>
        </w:rPr>
      </w:pPr>
      <w:r w:rsidRPr="005E10D1">
        <w:rPr>
          <w:rFonts w:cs="Arial"/>
        </w:rPr>
        <w:t xml:space="preserve">La planeación del desarrollo es un proceso fundamental para garantizar el bienestar y el progreso de sus habitantes, para generar un crecimiento ordenado, sostenible y equitativo; el municipio está inmerso en una creciente urbanización, sujeta a cambios sociales, económicos y ambientales, por lo que es una herramienta esencial para enfrentar los desafíos y aprovechar las oportunidades, establecer objetivos claros y definidos que guíen las acciones y decisiones a lo largo del tiempo.   </w:t>
      </w:r>
    </w:p>
    <w:p w14:paraId="4CD3C409" w14:textId="77777777" w:rsidR="006004FD" w:rsidRPr="005E10D1" w:rsidRDefault="006004FD" w:rsidP="00B205BA">
      <w:pPr>
        <w:spacing w:before="100" w:beforeAutospacing="1" w:after="120" w:line="240" w:lineRule="auto"/>
        <w:rPr>
          <w:rFonts w:cs="Arial"/>
        </w:rPr>
      </w:pPr>
      <w:r w:rsidRPr="005E10D1">
        <w:rPr>
          <w:rFonts w:cs="Arial"/>
        </w:rPr>
        <w:t>En esta visión de futuro, se deben identificar las prioridades y coordinar los esfuerzos de los diferentes actores (gobierno, sociedad civil, sector privado) en función de un desarrollo común que operativice de forma coherente y organizada la inversión y la función gubernamental en todos sus ámbitos.</w:t>
      </w:r>
    </w:p>
    <w:p w14:paraId="731463F5" w14:textId="77777777" w:rsidR="006004FD" w:rsidRPr="005E10D1" w:rsidRDefault="006004FD" w:rsidP="00B205BA">
      <w:pPr>
        <w:spacing w:before="100" w:beforeAutospacing="1" w:after="120" w:line="240" w:lineRule="auto"/>
        <w:rPr>
          <w:rFonts w:cs="Arial"/>
        </w:rPr>
      </w:pPr>
      <w:r w:rsidRPr="005E10D1">
        <w:rPr>
          <w:rFonts w:cs="Arial"/>
        </w:rPr>
        <w:t>El desarrollo municipal implica la movilización de recursos económicos, humanos y naturales. La planeación permite administrarlos de manera más eficiente, maximizando su impacto a través de inversiones y gasto priorizados, que aseguren que cada peso invertido genere el máximo beneficio para la comunidad, procurando un equilibrio entre el crecimiento económico y la preservación de los recursos naturales. La planeación estratégica debe incluir medidas para la protección de áreas naturales, la gestión eficiente del agua y la adaptación al cambio climático, promoviendo un desarrollo que sea viable a largo plazo.</w:t>
      </w:r>
    </w:p>
    <w:p w14:paraId="39D99035" w14:textId="28588C5A" w:rsidR="006004FD" w:rsidRDefault="006004FD" w:rsidP="00B205BA">
      <w:pPr>
        <w:spacing w:before="100" w:beforeAutospacing="1" w:after="120" w:line="240" w:lineRule="auto"/>
        <w:rPr>
          <w:rFonts w:cs="Arial"/>
        </w:rPr>
      </w:pPr>
      <w:r w:rsidRPr="005E10D1">
        <w:rPr>
          <w:rFonts w:cs="Arial"/>
        </w:rPr>
        <w:t>Para lograr una eficaz planificación del desarrollo del municipio es fundamental la participación de todas las partes interesadas, por lo que se ha constru</w:t>
      </w:r>
      <w:r w:rsidR="00261A27">
        <w:rPr>
          <w:rFonts w:cs="Arial"/>
        </w:rPr>
        <w:t>i</w:t>
      </w:r>
      <w:r w:rsidRPr="005E10D1">
        <w:rPr>
          <w:rFonts w:cs="Arial"/>
        </w:rPr>
        <w:t>do un interés en la comunidad, en los diversos organismos tanto públicos y privados, así como de la academia para opinar, presentar propuestas y crear en conjunto alternativas de solución en la diversidad de temáticas a abordar, para enfrentar los desafíos futuros, y consolidar una base sólida para el progreso, que de certeza de la implementación de políticas públicas inclusivas y equitativas, para beneficio de todos los sectores, incluyendo a los grupos vulnerables.</w:t>
      </w:r>
    </w:p>
    <w:p w14:paraId="6ABC2C6D" w14:textId="6D5FF0E8" w:rsidR="006004FD" w:rsidRDefault="006004FD" w:rsidP="00B205BA">
      <w:pPr>
        <w:spacing w:before="100" w:beforeAutospacing="1" w:after="120" w:line="240" w:lineRule="auto"/>
        <w:rPr>
          <w:rFonts w:cs="Arial"/>
        </w:rPr>
      </w:pPr>
      <w:r w:rsidRPr="005E10D1">
        <w:rPr>
          <w:rFonts w:cs="Arial"/>
        </w:rPr>
        <w:t xml:space="preserve">En cumplimiento de la Ley de Planeación del Estado de Sonora y en el marco del Sistema Municipal de Planeación Democrática, se instaló el Comité de Planeación Municipal el 11 de octubre de 2024, el cual está conformado por los representantes de la sociedad, consejeros académicos, organismos empresariales, así como titulares de las dependencias y entidades de la Administración Pública Municipal, con su apoyo se integró el Plan Municipal de Desarrollo de Hermosillo 2025-2027, y por primera vez  se han incorporado los resultados de la Agenda Municipal de Largo Plazo, la cual se elaboró por especialistas ciudadanos y de la academia para colaborar con información relevante </w:t>
      </w:r>
      <w:r w:rsidRPr="005E10D1">
        <w:rPr>
          <w:rFonts w:cs="Arial"/>
          <w:color w:val="000000" w:themeColor="text1"/>
        </w:rPr>
        <w:t xml:space="preserve">de la ruta a seguir </w:t>
      </w:r>
      <w:r w:rsidRPr="005E10D1">
        <w:rPr>
          <w:rFonts w:cs="Arial"/>
          <w:color w:val="000000" w:themeColor="text1"/>
        </w:rPr>
        <w:lastRenderedPageBreak/>
        <w:t xml:space="preserve">para avanzar en los retos y problemáticas actuales, con mecanismos de medición imparcial que permitan evaluar con objetividad los cambios que se generen en el tiempo, como resultado de la actuación gubernamental, así como de los cambios en el contexto. </w:t>
      </w:r>
      <w:r w:rsidR="00261A27">
        <w:rPr>
          <w:rFonts w:cs="Arial"/>
          <w:color w:val="000000" w:themeColor="text1"/>
        </w:rPr>
        <w:t>Durante e</w:t>
      </w:r>
      <w:r w:rsidRPr="005E10D1">
        <w:rPr>
          <w:rFonts w:cs="Arial"/>
          <w:color w:val="000000" w:themeColor="text1"/>
        </w:rPr>
        <w:t xml:space="preserve">ste periodo gubernamental será la segunda vez consecutiva que se propone esta Agenda de Largo Plazo, en la cual se </w:t>
      </w:r>
      <w:r w:rsidR="00261A27">
        <w:rPr>
          <w:rFonts w:cs="Arial"/>
          <w:color w:val="000000" w:themeColor="text1"/>
        </w:rPr>
        <w:t>ha realizado</w:t>
      </w:r>
      <w:r w:rsidRPr="005E10D1">
        <w:rPr>
          <w:rFonts w:cs="Arial"/>
          <w:color w:val="000000" w:themeColor="text1"/>
        </w:rPr>
        <w:t xml:space="preserve"> una revisión de los indicadores</w:t>
      </w:r>
      <w:r w:rsidR="00261A27">
        <w:rPr>
          <w:rFonts w:cs="Arial"/>
          <w:color w:val="000000" w:themeColor="text1"/>
        </w:rPr>
        <w:t xml:space="preserve"> y </w:t>
      </w:r>
      <w:r w:rsidRPr="005E10D1">
        <w:rPr>
          <w:rFonts w:cs="Arial"/>
          <w:color w:val="000000" w:themeColor="text1"/>
        </w:rPr>
        <w:t xml:space="preserve">los ajustes </w:t>
      </w:r>
      <w:r w:rsidRPr="005E10D1">
        <w:rPr>
          <w:rFonts w:cs="Arial"/>
        </w:rPr>
        <w:t>necesarios para mantener la cobertura de indicadores de resultados e impacto, acorde a la situación prevaleciente en la localidad, considerando las coyunturas políticas, económicas y sociales existentes.</w:t>
      </w:r>
    </w:p>
    <w:p w14:paraId="35D59B49" w14:textId="77777777" w:rsidR="006004FD" w:rsidRDefault="006004FD" w:rsidP="00B205BA">
      <w:pPr>
        <w:spacing w:before="100" w:beforeAutospacing="1" w:after="120" w:line="240" w:lineRule="auto"/>
        <w:rPr>
          <w:rFonts w:cs="Arial"/>
        </w:rPr>
      </w:pPr>
      <w:r w:rsidRPr="005E10D1">
        <w:rPr>
          <w:rFonts w:cs="Arial"/>
        </w:rPr>
        <w:t>La Administración Pública Municipal deberá contar para la operación del Sistema Municipal de Planeación Democrática, con los elementos que le permitan formular, instrumentar, evaluar y dar seguimiento al Plan Municipal de Desarrollo 2025-2027 y a los programas y proyectos derivados del mismo, con la participación de sociedad y gobiernos hacia el logro de los objetivos planteados.</w:t>
      </w:r>
    </w:p>
    <w:p w14:paraId="567CBF4D" w14:textId="4C103A03" w:rsidR="006004FD" w:rsidRPr="00516DB0" w:rsidRDefault="006004FD" w:rsidP="00B205BA">
      <w:pPr>
        <w:spacing w:before="100" w:beforeAutospacing="1" w:after="120" w:line="240" w:lineRule="auto"/>
        <w:rPr>
          <w:rFonts w:cs="Arial"/>
        </w:rPr>
      </w:pPr>
      <w:r w:rsidRPr="005E10D1">
        <w:rPr>
          <w:rFonts w:cs="Arial"/>
        </w:rPr>
        <w:t>Los servidores públicos de esta administración están claros de sus responsabilidades para instrumentar la planeación en programas y acciones bajo los principios legalidad y transparencia, en estricto apego a la disciplina presupuestaria.</w:t>
      </w:r>
    </w:p>
    <w:p w14:paraId="4F9FCE65" w14:textId="77777777" w:rsidR="006004FD" w:rsidRDefault="006004FD" w:rsidP="00B205BA">
      <w:pPr>
        <w:autoSpaceDE w:val="0"/>
        <w:autoSpaceDN w:val="0"/>
        <w:adjustRightInd w:val="0"/>
        <w:spacing w:after="120" w:line="240" w:lineRule="auto"/>
        <w:rPr>
          <w:rFonts w:cs="Arial"/>
        </w:rPr>
      </w:pPr>
      <w:r w:rsidRPr="005E10D1">
        <w:rPr>
          <w:rFonts w:cs="Arial"/>
        </w:rPr>
        <w:t>La participación de la Administración Pública Federal y Estatal, en las tareas de planeación del desarrollo municipal se realizan mediante los convenios de coordinación que para tal efecto se celebren, mientras que la sociedad civil organizada se integra de forma permanente y en su caso mediante convenios de participación.</w:t>
      </w:r>
    </w:p>
    <w:p w14:paraId="3A884E83" w14:textId="7F9804FB" w:rsidR="007046E2" w:rsidRPr="00B205BA" w:rsidRDefault="006004FD" w:rsidP="00B205BA">
      <w:pPr>
        <w:autoSpaceDE w:val="0"/>
        <w:autoSpaceDN w:val="0"/>
        <w:adjustRightInd w:val="0"/>
        <w:spacing w:after="120" w:line="240" w:lineRule="auto"/>
        <w:rPr>
          <w:rFonts w:cs="Arial"/>
        </w:rPr>
      </w:pPr>
      <w:r w:rsidRPr="005E10D1">
        <w:rPr>
          <w:rFonts w:cs="Arial"/>
        </w:rPr>
        <w:t xml:space="preserve">Se dispuso para una participación social abierta de mecanismos digitales a través de la página oficial Hermosillo.gob.mx, para </w:t>
      </w:r>
      <w:r w:rsidR="002F194E">
        <w:rPr>
          <w:rFonts w:cs="Arial"/>
        </w:rPr>
        <w:t>la recepción de</w:t>
      </w:r>
      <w:r w:rsidRPr="005E10D1">
        <w:rPr>
          <w:rFonts w:cs="Arial"/>
        </w:rPr>
        <w:t xml:space="preserve"> propuestas</w:t>
      </w:r>
      <w:r w:rsidR="002F194E">
        <w:rPr>
          <w:rFonts w:cs="Arial"/>
        </w:rPr>
        <w:t xml:space="preserve"> ciudadanas</w:t>
      </w:r>
      <w:r w:rsidR="00261A27">
        <w:rPr>
          <w:rFonts w:cs="Arial"/>
        </w:rPr>
        <w:t xml:space="preserve">; </w:t>
      </w:r>
      <w:r w:rsidRPr="005E10D1">
        <w:rPr>
          <w:rFonts w:cs="Arial"/>
        </w:rPr>
        <w:t xml:space="preserve">adicionalmente se realizaron </w:t>
      </w:r>
      <w:r w:rsidR="002F194E" w:rsidRPr="002F194E">
        <w:rPr>
          <w:rFonts w:cs="Arial"/>
        </w:rPr>
        <w:t xml:space="preserve">7 </w:t>
      </w:r>
      <w:r w:rsidRPr="002F194E">
        <w:rPr>
          <w:rFonts w:cs="Arial"/>
        </w:rPr>
        <w:t>foros temáticos</w:t>
      </w:r>
      <w:r w:rsidRPr="005E10D1">
        <w:rPr>
          <w:rFonts w:cs="Arial"/>
        </w:rPr>
        <w:t xml:space="preserve"> los días </w:t>
      </w:r>
      <w:r w:rsidR="002F194E">
        <w:rPr>
          <w:rFonts w:cs="Arial"/>
        </w:rPr>
        <w:t xml:space="preserve">5, 6, 7, 8, y 12 </w:t>
      </w:r>
      <w:r w:rsidRPr="005E10D1">
        <w:rPr>
          <w:rFonts w:cs="Arial"/>
        </w:rPr>
        <w:t>de noviembre de</w:t>
      </w:r>
      <w:r w:rsidR="002F194E">
        <w:rPr>
          <w:rFonts w:cs="Arial"/>
        </w:rPr>
        <w:t xml:space="preserve"> 2024</w:t>
      </w:r>
      <w:r w:rsidRPr="005E10D1">
        <w:rPr>
          <w:rFonts w:cs="Arial"/>
        </w:rPr>
        <w:t xml:space="preserve">, donde especialistas de los sectores económicos y sociales y así como aquellas personas interesadas estuvieron presentes con sus ponencias y proyectos para el desarrollo de Hermosillo.  En estos foros se recibieron </w:t>
      </w:r>
      <w:r w:rsidR="002F194E">
        <w:rPr>
          <w:rFonts w:cs="Arial"/>
        </w:rPr>
        <w:t xml:space="preserve">411 </w:t>
      </w:r>
      <w:r w:rsidRPr="005E10D1">
        <w:rPr>
          <w:rFonts w:cs="Arial"/>
        </w:rPr>
        <w:t xml:space="preserve">propuestas, las cuales fueron consideradas en la elaboración del presente Plan, </w:t>
      </w:r>
      <w:r w:rsidRPr="005E10D1">
        <w:rPr>
          <w:rFonts w:cs="Arial"/>
          <w:bCs/>
        </w:rPr>
        <w:t xml:space="preserve">también participaron servidores públicos de las diversas dependencias y entidades de la Administración Pública Municipal. Como parte de los insumos para la construcción del </w:t>
      </w:r>
      <w:r w:rsidR="002F194E">
        <w:rPr>
          <w:rFonts w:cs="Arial"/>
          <w:bCs/>
        </w:rPr>
        <w:t>p</w:t>
      </w:r>
      <w:r w:rsidRPr="005E10D1">
        <w:rPr>
          <w:rFonts w:cs="Arial"/>
          <w:bCs/>
        </w:rPr>
        <w:t xml:space="preserve">lan de </w:t>
      </w:r>
      <w:r w:rsidR="002F194E">
        <w:rPr>
          <w:rFonts w:cs="Arial"/>
          <w:bCs/>
        </w:rPr>
        <w:t>d</w:t>
      </w:r>
      <w:r w:rsidRPr="005E10D1">
        <w:rPr>
          <w:rFonts w:cs="Arial"/>
          <w:bCs/>
        </w:rPr>
        <w:t xml:space="preserve">esarrollo, se consideró la información estadística y geográfica de fuentes oficiales, principalmente para definir los indicadores </w:t>
      </w:r>
      <w:r w:rsidRPr="002F194E">
        <w:rPr>
          <w:rFonts w:cs="Arial"/>
          <w:bCs/>
        </w:rPr>
        <w:t>aplicables, los</w:t>
      </w:r>
      <w:r w:rsidRPr="005E10D1">
        <w:rPr>
          <w:rFonts w:cs="Arial"/>
          <w:bCs/>
        </w:rPr>
        <w:t xml:space="preserve"> retos y estrategias para el desarrollo municipal, así como los sistemas de información y de gestión necesarios para su seguimiento, y que forman parte integral de la Plataforma de información gubernamental.</w:t>
      </w:r>
    </w:p>
    <w:p w14:paraId="385BFB82" w14:textId="06040879" w:rsidR="00A75875" w:rsidRPr="00070D83" w:rsidRDefault="00A75875" w:rsidP="00B205BA">
      <w:pPr>
        <w:pStyle w:val="NormalWeb"/>
        <w:spacing w:after="120" w:afterAutospacing="0"/>
        <w:jc w:val="both"/>
        <w:rPr>
          <w:rFonts w:ascii="Arial" w:hAnsi="Arial" w:cs="Arial"/>
          <w:b/>
          <w:bCs/>
        </w:rPr>
      </w:pPr>
      <w:r w:rsidRPr="00070D83">
        <w:rPr>
          <w:rStyle w:val="Textoennegrita"/>
          <w:rFonts w:ascii="Arial" w:hAnsi="Arial" w:cs="Arial"/>
        </w:rPr>
        <w:t>Alineación del Plan Municipal de Desarrollo con el Plan Nacional de Desarrollo, el Plan Estatal de Desarrollo y</w:t>
      </w:r>
      <w:r w:rsidR="00070D83">
        <w:rPr>
          <w:rStyle w:val="Textoennegrita"/>
          <w:rFonts w:ascii="Arial" w:hAnsi="Arial" w:cs="Arial"/>
        </w:rPr>
        <w:t xml:space="preserve"> </w:t>
      </w:r>
      <w:r w:rsidRPr="00070D83">
        <w:rPr>
          <w:rStyle w:val="Textoennegrita"/>
          <w:rFonts w:ascii="Arial" w:hAnsi="Arial" w:cs="Arial"/>
        </w:rPr>
        <w:t>los Objetivos de Desarrollo Sostenible</w:t>
      </w:r>
      <w:r w:rsidR="00B205BA">
        <w:rPr>
          <w:rStyle w:val="Textoennegrita"/>
          <w:rFonts w:ascii="Arial" w:hAnsi="Arial" w:cs="Arial"/>
        </w:rPr>
        <w:t>.</w:t>
      </w:r>
    </w:p>
    <w:p w14:paraId="3BCC6FFC" w14:textId="77777777" w:rsidR="00A75875" w:rsidRPr="00D5057A" w:rsidRDefault="00A75875" w:rsidP="00B205BA">
      <w:pPr>
        <w:pStyle w:val="NormalWeb"/>
        <w:spacing w:after="120" w:afterAutospacing="0"/>
        <w:jc w:val="both"/>
        <w:rPr>
          <w:rFonts w:ascii="Arial" w:hAnsi="Arial" w:cs="Arial"/>
          <w:sz w:val="22"/>
          <w:szCs w:val="22"/>
        </w:rPr>
      </w:pPr>
      <w:r w:rsidRPr="00D5057A">
        <w:rPr>
          <w:rFonts w:ascii="Arial" w:hAnsi="Arial" w:cs="Arial"/>
          <w:sz w:val="22"/>
          <w:szCs w:val="22"/>
        </w:rPr>
        <w:t>La sociedad demanda que los gobiernos asuman un compromiso firme con el desarrollo sostenible y la justicia social. Vivimos en un mundo interconectado, enfrentando retos universales que requieren respuestas globales, como el cambio climático, las crisis económicas, la interculturalidad y los problemas de salud. Ante estos desafíos, la visión debe ser sistémica, entendiendo la relación entre lo local y lo global, y viceversa. Es necesario adoptar una visión flexible y dinámica que permita ajustar las políticas y acciones a las necesidades cambiantes del contexto.</w:t>
      </w:r>
    </w:p>
    <w:p w14:paraId="2CF0F482" w14:textId="77777777" w:rsidR="00A75875" w:rsidRPr="00D5057A" w:rsidRDefault="00A75875" w:rsidP="00B205BA">
      <w:pPr>
        <w:pStyle w:val="NormalWeb"/>
        <w:spacing w:after="120" w:afterAutospacing="0"/>
        <w:jc w:val="both"/>
        <w:rPr>
          <w:rFonts w:ascii="Arial" w:hAnsi="Arial" w:cs="Arial"/>
          <w:sz w:val="22"/>
          <w:szCs w:val="22"/>
        </w:rPr>
      </w:pPr>
      <w:r w:rsidRPr="00D5057A">
        <w:rPr>
          <w:rFonts w:ascii="Arial" w:hAnsi="Arial" w:cs="Arial"/>
          <w:sz w:val="22"/>
          <w:szCs w:val="22"/>
        </w:rPr>
        <w:lastRenderedPageBreak/>
        <w:t>Esta era exige que los gobiernos adopten enfoques innovadores, inclusivos y eficaces, capaces de adaptarse a distintos escenarios. Esto debe lograrse mediante un trabajo conjunto, en cooperación y solidaridad con la sociedad civil y las organizaciones no gubernamentales, con el fin de resolver las problemáticas mediante acciones congruentes y coherentes, orientadas a construir sociedades más justas, sostenibles y resilientes. A su vez, se deben aprovechar las oportunidades que brinda la globalización y la tecnología para mejorar la calidad de vida de todos los ciudadanos.</w:t>
      </w:r>
    </w:p>
    <w:p w14:paraId="32E0F086" w14:textId="77777777" w:rsidR="00A75875" w:rsidRPr="00D5057A" w:rsidRDefault="00A75875" w:rsidP="00B205BA">
      <w:pPr>
        <w:pStyle w:val="NormalWeb"/>
        <w:spacing w:after="120" w:afterAutospacing="0"/>
        <w:jc w:val="both"/>
        <w:rPr>
          <w:rFonts w:ascii="Arial" w:hAnsi="Arial" w:cs="Arial"/>
          <w:sz w:val="22"/>
          <w:szCs w:val="22"/>
        </w:rPr>
      </w:pPr>
      <w:r w:rsidRPr="00D5057A">
        <w:rPr>
          <w:rFonts w:ascii="Arial" w:hAnsi="Arial" w:cs="Arial"/>
          <w:sz w:val="22"/>
          <w:szCs w:val="22"/>
        </w:rPr>
        <w:t>Los tres niveles de gobierno—federal, estatal y municipal—tienen responsabilidades específicas pero interdependientes, por lo que la coordinación, colaboración y cooperación son fundamentales para el funcionamiento armónico y eficiente del sistema democrático. En un marco de trabajo conjunto, debe respetarse la autonomía de cada nivel de gobierno, al mismo tiempo que se promueva el trabajo en equipo para alcanzar objetivos comunes.</w:t>
      </w:r>
    </w:p>
    <w:p w14:paraId="7A782196" w14:textId="77777777" w:rsidR="00A75875" w:rsidRPr="00D5057A" w:rsidRDefault="00A75875" w:rsidP="00B205BA">
      <w:pPr>
        <w:pStyle w:val="NormalWeb"/>
        <w:spacing w:after="120" w:afterAutospacing="0"/>
        <w:jc w:val="both"/>
        <w:rPr>
          <w:rFonts w:ascii="Arial" w:hAnsi="Arial" w:cs="Arial"/>
          <w:sz w:val="22"/>
          <w:szCs w:val="22"/>
        </w:rPr>
      </w:pPr>
      <w:r w:rsidRPr="00D5057A">
        <w:rPr>
          <w:rFonts w:ascii="Arial" w:hAnsi="Arial" w:cs="Arial"/>
          <w:sz w:val="22"/>
          <w:szCs w:val="22"/>
        </w:rPr>
        <w:t>En este sentido, es crucial que, desde la planificación, se identifiquen las concordancias entre los retos y las estrategias, transformándolas en acciones concretas en áreas temáticas comunes, tales como infraestructura, seguridad, recursos naturales, salud, desarrollo social, desarrollo económico, igualdad de género, entre otros. Es fundamental conformar proyectos específicos que atiendan las demandas y necesidades de los habitantes de Hermosillo, mediante esfuerzos complementarios, estableciendo canales claros de comunicación y coordinación para el uso eficiente de los recursos públicos.</w:t>
      </w:r>
    </w:p>
    <w:p w14:paraId="6DAD80AF" w14:textId="77777777" w:rsidR="00A75875" w:rsidRPr="00D5057A" w:rsidRDefault="00A75875" w:rsidP="00B205BA">
      <w:pPr>
        <w:pStyle w:val="NormalWeb"/>
        <w:spacing w:after="120" w:afterAutospacing="0"/>
        <w:jc w:val="both"/>
        <w:rPr>
          <w:rFonts w:ascii="Arial" w:hAnsi="Arial" w:cs="Arial"/>
          <w:sz w:val="22"/>
          <w:szCs w:val="22"/>
        </w:rPr>
      </w:pPr>
      <w:r w:rsidRPr="00D5057A">
        <w:rPr>
          <w:rFonts w:ascii="Arial" w:hAnsi="Arial" w:cs="Arial"/>
          <w:sz w:val="22"/>
          <w:szCs w:val="22"/>
        </w:rPr>
        <w:t xml:space="preserve">Hermosillo tiene una fuerte interconexión comercial con diversos países y está directamente influenciada por convenios y tratados internacionales como el </w:t>
      </w:r>
      <w:r w:rsidRPr="00D5057A">
        <w:rPr>
          <w:rStyle w:val="Textoennegrita"/>
          <w:rFonts w:ascii="Arial" w:hAnsi="Arial" w:cs="Arial"/>
          <w:b w:val="0"/>
          <w:bCs w:val="0"/>
          <w:sz w:val="22"/>
          <w:szCs w:val="22"/>
        </w:rPr>
        <w:t>T-MEC</w:t>
      </w:r>
      <w:r w:rsidRPr="00D5057A">
        <w:rPr>
          <w:rFonts w:ascii="Arial" w:hAnsi="Arial" w:cs="Arial"/>
          <w:b/>
          <w:bCs/>
          <w:sz w:val="22"/>
          <w:szCs w:val="22"/>
        </w:rPr>
        <w:t xml:space="preserve">, </w:t>
      </w:r>
      <w:r w:rsidRPr="00D5057A">
        <w:rPr>
          <w:rFonts w:ascii="Arial" w:hAnsi="Arial" w:cs="Arial"/>
          <w:sz w:val="22"/>
          <w:szCs w:val="22"/>
        </w:rPr>
        <w:t>el</w:t>
      </w:r>
      <w:r w:rsidRPr="00D5057A">
        <w:rPr>
          <w:rFonts w:ascii="Arial" w:hAnsi="Arial" w:cs="Arial"/>
          <w:b/>
          <w:bCs/>
          <w:sz w:val="22"/>
          <w:szCs w:val="22"/>
        </w:rPr>
        <w:t xml:space="preserve"> </w:t>
      </w:r>
      <w:r w:rsidRPr="00D5057A">
        <w:rPr>
          <w:rStyle w:val="Textoennegrita"/>
          <w:rFonts w:ascii="Arial" w:hAnsi="Arial" w:cs="Arial"/>
          <w:b w:val="0"/>
          <w:bCs w:val="0"/>
          <w:sz w:val="22"/>
          <w:szCs w:val="22"/>
        </w:rPr>
        <w:t>Acuerdo de París</w:t>
      </w:r>
      <w:r w:rsidRPr="00D5057A">
        <w:rPr>
          <w:rFonts w:ascii="Arial" w:hAnsi="Arial" w:cs="Arial"/>
          <w:b/>
          <w:bCs/>
          <w:sz w:val="22"/>
          <w:szCs w:val="22"/>
        </w:rPr>
        <w:t xml:space="preserve">, </w:t>
      </w:r>
      <w:r w:rsidRPr="00D5057A">
        <w:rPr>
          <w:rFonts w:ascii="Arial" w:hAnsi="Arial" w:cs="Arial"/>
          <w:sz w:val="22"/>
          <w:szCs w:val="22"/>
        </w:rPr>
        <w:t>la</w:t>
      </w:r>
      <w:r w:rsidRPr="00D5057A">
        <w:rPr>
          <w:rFonts w:ascii="Arial" w:hAnsi="Arial" w:cs="Arial"/>
          <w:b/>
          <w:bCs/>
          <w:sz w:val="22"/>
          <w:szCs w:val="22"/>
        </w:rPr>
        <w:t xml:space="preserve"> </w:t>
      </w:r>
      <w:r w:rsidRPr="00D5057A">
        <w:rPr>
          <w:rStyle w:val="Textoennegrita"/>
          <w:rFonts w:ascii="Arial" w:hAnsi="Arial" w:cs="Arial"/>
          <w:b w:val="0"/>
          <w:bCs w:val="0"/>
          <w:sz w:val="22"/>
          <w:szCs w:val="22"/>
        </w:rPr>
        <w:t>Agenda 2030</w:t>
      </w:r>
      <w:r w:rsidRPr="00D5057A">
        <w:rPr>
          <w:rFonts w:ascii="Arial" w:hAnsi="Arial" w:cs="Arial"/>
          <w:sz w:val="22"/>
          <w:szCs w:val="22"/>
        </w:rPr>
        <w:t>, y los compromisos sobre derechos humanos y biodiversidad. Estos acuerdos impactan directamente la formulación de sus políticas públicas locales. Esta Administración ha fortalecido su posición en el contexto global y ha actuado para propiciar un futuro más sostenible y equitativo para sus habitantes, dando seguimiento a dichos compromisos internacionales con alta responsabilidad.</w:t>
      </w:r>
    </w:p>
    <w:p w14:paraId="342EA9E5" w14:textId="77777777" w:rsidR="00A75875" w:rsidRPr="00D5057A" w:rsidRDefault="00A75875" w:rsidP="00B205BA">
      <w:pPr>
        <w:pStyle w:val="NormalWeb"/>
        <w:spacing w:after="120" w:afterAutospacing="0"/>
        <w:jc w:val="both"/>
        <w:rPr>
          <w:rFonts w:ascii="Arial" w:hAnsi="Arial" w:cs="Arial"/>
          <w:sz w:val="22"/>
          <w:szCs w:val="22"/>
        </w:rPr>
      </w:pPr>
      <w:r w:rsidRPr="00D5057A">
        <w:rPr>
          <w:rFonts w:ascii="Arial" w:hAnsi="Arial" w:cs="Arial"/>
          <w:sz w:val="22"/>
          <w:szCs w:val="22"/>
        </w:rPr>
        <w:t xml:space="preserve">La vinculación de la planeación estratégica de Hermosillo con los </w:t>
      </w:r>
      <w:r w:rsidRPr="00D5057A">
        <w:rPr>
          <w:rStyle w:val="Textoennegrita"/>
          <w:rFonts w:ascii="Arial" w:hAnsi="Arial" w:cs="Arial"/>
          <w:b w:val="0"/>
          <w:bCs w:val="0"/>
          <w:sz w:val="22"/>
          <w:szCs w:val="22"/>
        </w:rPr>
        <w:t>Objetivos de Desarrollo Sostenible (ODS)</w:t>
      </w:r>
      <w:r w:rsidRPr="00D5057A">
        <w:rPr>
          <w:rFonts w:ascii="Arial" w:hAnsi="Arial" w:cs="Arial"/>
          <w:sz w:val="22"/>
          <w:szCs w:val="22"/>
        </w:rPr>
        <w:t xml:space="preserve"> contribuye al cumplimiento de metas cruciales como la sostenibilidad ambiental, la inclusión social y el desarrollo económico. Entre los ODS más relevantes para la ciudad se destacan el </w:t>
      </w:r>
      <w:r w:rsidRPr="00D5057A">
        <w:rPr>
          <w:rStyle w:val="Textoennegrita"/>
          <w:rFonts w:ascii="Arial" w:hAnsi="Arial" w:cs="Arial"/>
          <w:b w:val="0"/>
          <w:bCs w:val="0"/>
          <w:sz w:val="22"/>
          <w:szCs w:val="22"/>
        </w:rPr>
        <w:t>ODS 1 (Fin de la pobreza)</w:t>
      </w:r>
      <w:r w:rsidRPr="00D5057A">
        <w:rPr>
          <w:rFonts w:ascii="Arial" w:hAnsi="Arial" w:cs="Arial"/>
          <w:b/>
          <w:bCs/>
          <w:sz w:val="22"/>
          <w:szCs w:val="22"/>
        </w:rPr>
        <w:t xml:space="preserve">, </w:t>
      </w:r>
      <w:r w:rsidRPr="00D5057A">
        <w:rPr>
          <w:rFonts w:ascii="Arial" w:hAnsi="Arial" w:cs="Arial"/>
          <w:sz w:val="22"/>
          <w:szCs w:val="22"/>
        </w:rPr>
        <w:t>el</w:t>
      </w:r>
      <w:r w:rsidRPr="00D5057A">
        <w:rPr>
          <w:rFonts w:ascii="Arial" w:hAnsi="Arial" w:cs="Arial"/>
          <w:b/>
          <w:bCs/>
          <w:sz w:val="22"/>
          <w:szCs w:val="22"/>
        </w:rPr>
        <w:t xml:space="preserve"> </w:t>
      </w:r>
      <w:r w:rsidRPr="00D5057A">
        <w:rPr>
          <w:rStyle w:val="Textoennegrita"/>
          <w:rFonts w:ascii="Arial" w:hAnsi="Arial" w:cs="Arial"/>
          <w:b w:val="0"/>
          <w:bCs w:val="0"/>
          <w:sz w:val="22"/>
          <w:szCs w:val="22"/>
        </w:rPr>
        <w:t>ODS 3 (Salud y bienestar)</w:t>
      </w:r>
      <w:r w:rsidRPr="00D5057A">
        <w:rPr>
          <w:rFonts w:ascii="Arial" w:hAnsi="Arial" w:cs="Arial"/>
          <w:b/>
          <w:bCs/>
          <w:sz w:val="22"/>
          <w:szCs w:val="22"/>
        </w:rPr>
        <w:t xml:space="preserve">, </w:t>
      </w:r>
      <w:r w:rsidRPr="00D5057A">
        <w:rPr>
          <w:rFonts w:ascii="Arial" w:hAnsi="Arial" w:cs="Arial"/>
          <w:sz w:val="22"/>
          <w:szCs w:val="22"/>
        </w:rPr>
        <w:t xml:space="preserve">el </w:t>
      </w:r>
      <w:r w:rsidRPr="00D5057A">
        <w:rPr>
          <w:rStyle w:val="Textoennegrita"/>
          <w:rFonts w:ascii="Arial" w:hAnsi="Arial" w:cs="Arial"/>
          <w:b w:val="0"/>
          <w:bCs w:val="0"/>
          <w:sz w:val="22"/>
          <w:szCs w:val="22"/>
        </w:rPr>
        <w:t>ODS 6 (Agua limpia y saneamiento)</w:t>
      </w:r>
      <w:r w:rsidRPr="00D5057A">
        <w:rPr>
          <w:rFonts w:ascii="Arial" w:hAnsi="Arial" w:cs="Arial"/>
          <w:sz w:val="22"/>
          <w:szCs w:val="22"/>
        </w:rPr>
        <w:t>, el</w:t>
      </w:r>
      <w:r w:rsidRPr="00D5057A">
        <w:rPr>
          <w:rFonts w:ascii="Arial" w:hAnsi="Arial" w:cs="Arial"/>
          <w:b/>
          <w:bCs/>
          <w:sz w:val="22"/>
          <w:szCs w:val="22"/>
        </w:rPr>
        <w:t xml:space="preserve"> </w:t>
      </w:r>
      <w:r w:rsidRPr="00D5057A">
        <w:rPr>
          <w:rStyle w:val="Textoennegrita"/>
          <w:rFonts w:ascii="Arial" w:hAnsi="Arial" w:cs="Arial"/>
          <w:b w:val="0"/>
          <w:bCs w:val="0"/>
          <w:sz w:val="22"/>
          <w:szCs w:val="22"/>
        </w:rPr>
        <w:t>ODS 11 (Ciudades y comunidades sostenibles)</w:t>
      </w:r>
      <w:r w:rsidRPr="00D5057A">
        <w:rPr>
          <w:rFonts w:ascii="Arial" w:hAnsi="Arial" w:cs="Arial"/>
          <w:b/>
          <w:bCs/>
          <w:sz w:val="22"/>
          <w:szCs w:val="22"/>
        </w:rPr>
        <w:t xml:space="preserve"> </w:t>
      </w:r>
      <w:r w:rsidRPr="00D5057A">
        <w:rPr>
          <w:rFonts w:ascii="Arial" w:hAnsi="Arial" w:cs="Arial"/>
          <w:sz w:val="22"/>
          <w:szCs w:val="22"/>
        </w:rPr>
        <w:t>y el</w:t>
      </w:r>
      <w:r w:rsidRPr="00D5057A">
        <w:rPr>
          <w:rFonts w:ascii="Arial" w:hAnsi="Arial" w:cs="Arial"/>
          <w:b/>
          <w:bCs/>
          <w:sz w:val="22"/>
          <w:szCs w:val="22"/>
        </w:rPr>
        <w:t xml:space="preserve"> </w:t>
      </w:r>
      <w:r w:rsidRPr="00D5057A">
        <w:rPr>
          <w:rStyle w:val="Textoennegrita"/>
          <w:rFonts w:ascii="Arial" w:hAnsi="Arial" w:cs="Arial"/>
          <w:b w:val="0"/>
          <w:bCs w:val="0"/>
          <w:sz w:val="22"/>
          <w:szCs w:val="22"/>
        </w:rPr>
        <w:t>ODS 13 (Acción por el clima)</w:t>
      </w:r>
      <w:r w:rsidRPr="00D5057A">
        <w:rPr>
          <w:rFonts w:ascii="Arial" w:hAnsi="Arial" w:cs="Arial"/>
          <w:sz w:val="22"/>
          <w:szCs w:val="22"/>
        </w:rPr>
        <w:t>, entre otros.</w:t>
      </w:r>
    </w:p>
    <w:p w14:paraId="7D387474" w14:textId="77777777" w:rsidR="00A75875" w:rsidRPr="00D5057A" w:rsidRDefault="00A75875" w:rsidP="00B205BA">
      <w:pPr>
        <w:pStyle w:val="NormalWeb"/>
        <w:spacing w:after="120" w:afterAutospacing="0"/>
        <w:jc w:val="both"/>
        <w:rPr>
          <w:rFonts w:ascii="Arial" w:hAnsi="Arial" w:cs="Arial"/>
          <w:sz w:val="22"/>
          <w:szCs w:val="22"/>
        </w:rPr>
      </w:pPr>
      <w:r w:rsidRPr="00D5057A">
        <w:rPr>
          <w:rFonts w:ascii="Arial" w:hAnsi="Arial" w:cs="Arial"/>
          <w:sz w:val="22"/>
          <w:szCs w:val="22"/>
        </w:rPr>
        <w:t>El gobierno municipal tiene la oportunidad de incidir de manera significativa, mediante políticas públicas que favorezcan la</w:t>
      </w:r>
      <w:r w:rsidRPr="00D5057A">
        <w:rPr>
          <w:rFonts w:ascii="Arial" w:hAnsi="Arial" w:cs="Arial"/>
          <w:b/>
          <w:bCs/>
          <w:sz w:val="22"/>
          <w:szCs w:val="22"/>
        </w:rPr>
        <w:t xml:space="preserve"> </w:t>
      </w:r>
      <w:r w:rsidRPr="00D5057A">
        <w:rPr>
          <w:rStyle w:val="Textoennegrita"/>
          <w:rFonts w:ascii="Arial" w:hAnsi="Arial" w:cs="Arial"/>
          <w:b w:val="0"/>
          <w:bCs w:val="0"/>
          <w:sz w:val="22"/>
          <w:szCs w:val="22"/>
        </w:rPr>
        <w:t>adaptación al cambio climático</w:t>
      </w:r>
      <w:r w:rsidRPr="00D5057A">
        <w:rPr>
          <w:rFonts w:ascii="Arial" w:hAnsi="Arial" w:cs="Arial"/>
          <w:b/>
          <w:bCs/>
          <w:sz w:val="22"/>
          <w:szCs w:val="22"/>
        </w:rPr>
        <w:t xml:space="preserve">, </w:t>
      </w:r>
      <w:r w:rsidRPr="00D5057A">
        <w:rPr>
          <w:rFonts w:ascii="Arial" w:hAnsi="Arial" w:cs="Arial"/>
          <w:sz w:val="22"/>
          <w:szCs w:val="22"/>
        </w:rPr>
        <w:t>la</w:t>
      </w:r>
      <w:r w:rsidRPr="00D5057A">
        <w:rPr>
          <w:rFonts w:ascii="Arial" w:hAnsi="Arial" w:cs="Arial"/>
          <w:b/>
          <w:bCs/>
          <w:sz w:val="22"/>
          <w:szCs w:val="22"/>
        </w:rPr>
        <w:t xml:space="preserve"> </w:t>
      </w:r>
      <w:r w:rsidRPr="00D5057A">
        <w:rPr>
          <w:rStyle w:val="Textoennegrita"/>
          <w:rFonts w:ascii="Arial" w:hAnsi="Arial" w:cs="Arial"/>
          <w:b w:val="0"/>
          <w:bCs w:val="0"/>
          <w:sz w:val="22"/>
          <w:szCs w:val="22"/>
        </w:rPr>
        <w:t>protección de los ecosistemas locales</w:t>
      </w:r>
      <w:r w:rsidRPr="00D5057A">
        <w:rPr>
          <w:rFonts w:ascii="Arial" w:hAnsi="Arial" w:cs="Arial"/>
          <w:b/>
          <w:bCs/>
          <w:sz w:val="22"/>
          <w:szCs w:val="22"/>
        </w:rPr>
        <w:t xml:space="preserve"> </w:t>
      </w:r>
      <w:r w:rsidRPr="00D5057A">
        <w:rPr>
          <w:rFonts w:ascii="Arial" w:hAnsi="Arial" w:cs="Arial"/>
          <w:sz w:val="22"/>
          <w:szCs w:val="22"/>
        </w:rPr>
        <w:t>y la</w:t>
      </w:r>
      <w:r w:rsidRPr="00D5057A">
        <w:rPr>
          <w:rFonts w:ascii="Arial" w:hAnsi="Arial" w:cs="Arial"/>
          <w:b/>
          <w:bCs/>
          <w:sz w:val="22"/>
          <w:szCs w:val="22"/>
        </w:rPr>
        <w:t xml:space="preserve"> </w:t>
      </w:r>
      <w:r w:rsidRPr="00D5057A">
        <w:rPr>
          <w:rStyle w:val="Textoennegrita"/>
          <w:rFonts w:ascii="Arial" w:hAnsi="Arial" w:cs="Arial"/>
          <w:b w:val="0"/>
          <w:bCs w:val="0"/>
          <w:sz w:val="22"/>
          <w:szCs w:val="22"/>
        </w:rPr>
        <w:t>transición hacia fuentes de energía renovable</w:t>
      </w:r>
      <w:r w:rsidRPr="00D5057A">
        <w:rPr>
          <w:rFonts w:ascii="Arial" w:hAnsi="Arial" w:cs="Arial"/>
          <w:b/>
          <w:bCs/>
          <w:sz w:val="22"/>
          <w:szCs w:val="22"/>
        </w:rPr>
        <w:t xml:space="preserve">. </w:t>
      </w:r>
      <w:r w:rsidRPr="00D5057A">
        <w:rPr>
          <w:rFonts w:ascii="Arial" w:hAnsi="Arial" w:cs="Arial"/>
          <w:sz w:val="22"/>
          <w:szCs w:val="22"/>
        </w:rPr>
        <w:t>Esto se logra</w:t>
      </w:r>
      <w:r w:rsidRPr="00D5057A">
        <w:rPr>
          <w:rFonts w:ascii="Arial" w:hAnsi="Arial" w:cs="Arial"/>
          <w:b/>
          <w:bCs/>
          <w:sz w:val="22"/>
          <w:szCs w:val="22"/>
        </w:rPr>
        <w:t xml:space="preserve"> </w:t>
      </w:r>
      <w:r w:rsidRPr="00D5057A">
        <w:rPr>
          <w:rFonts w:ascii="Arial" w:hAnsi="Arial" w:cs="Arial"/>
          <w:sz w:val="22"/>
          <w:szCs w:val="22"/>
        </w:rPr>
        <w:t>promoviendo el desarrollo de</w:t>
      </w:r>
      <w:r w:rsidRPr="00D5057A">
        <w:rPr>
          <w:rFonts w:ascii="Arial" w:hAnsi="Arial" w:cs="Arial"/>
          <w:b/>
          <w:bCs/>
          <w:sz w:val="22"/>
          <w:szCs w:val="22"/>
        </w:rPr>
        <w:t xml:space="preserve"> </w:t>
      </w:r>
      <w:r w:rsidRPr="00D5057A">
        <w:rPr>
          <w:rStyle w:val="Textoennegrita"/>
          <w:rFonts w:ascii="Arial" w:hAnsi="Arial" w:cs="Arial"/>
          <w:b w:val="0"/>
          <w:bCs w:val="0"/>
          <w:sz w:val="22"/>
          <w:szCs w:val="22"/>
        </w:rPr>
        <w:t>ciudades sostenibles</w:t>
      </w:r>
      <w:r w:rsidRPr="00D5057A">
        <w:rPr>
          <w:rFonts w:ascii="Arial" w:hAnsi="Arial" w:cs="Arial"/>
          <w:b/>
          <w:bCs/>
          <w:sz w:val="22"/>
          <w:szCs w:val="22"/>
        </w:rPr>
        <w:t xml:space="preserve"> </w:t>
      </w:r>
      <w:r w:rsidRPr="00D5057A">
        <w:rPr>
          <w:rFonts w:ascii="Arial" w:hAnsi="Arial" w:cs="Arial"/>
          <w:sz w:val="22"/>
          <w:szCs w:val="22"/>
        </w:rPr>
        <w:t>a través de un diseño urbano inteligente, la mejora de la movilidad, la promoción de la eficiencia energética y otras acciones que contribuyan a un entorno más sustentable y resiliente.</w:t>
      </w:r>
    </w:p>
    <w:p w14:paraId="0D5D61F4" w14:textId="6B122221" w:rsidR="007046E2" w:rsidRDefault="00A75875" w:rsidP="00B205BA">
      <w:pPr>
        <w:spacing w:after="120" w:line="240" w:lineRule="auto"/>
        <w:rPr>
          <w:rFonts w:cs="Arial"/>
          <w:b/>
          <w:bCs/>
          <w:color w:val="000000" w:themeColor="text1"/>
          <w:sz w:val="24"/>
          <w:szCs w:val="24"/>
        </w:rPr>
      </w:pPr>
      <w:r w:rsidRPr="00D5057A">
        <w:rPr>
          <w:rFonts w:cs="Arial"/>
        </w:rPr>
        <w:t>Este enfoque integral permite a Hermosillo avanzar de manera coherente y efectiva hacia el cumplimiento de sus compromisos, generando un impacto positivo en la calidad de vida de sus habitantes y en el bienestar global</w:t>
      </w:r>
      <w:r w:rsidR="002F194E">
        <w:rPr>
          <w:rFonts w:cs="Arial"/>
        </w:rPr>
        <w:t>.</w:t>
      </w:r>
    </w:p>
    <w:p w14:paraId="1F84D1CD" w14:textId="77777777" w:rsidR="007046E2" w:rsidRDefault="007046E2" w:rsidP="00B205BA">
      <w:pPr>
        <w:spacing w:after="120" w:line="240" w:lineRule="auto"/>
        <w:rPr>
          <w:rFonts w:cs="Arial"/>
          <w:b/>
          <w:bCs/>
          <w:color w:val="000000" w:themeColor="text1"/>
          <w:sz w:val="24"/>
          <w:szCs w:val="24"/>
        </w:rPr>
      </w:pPr>
    </w:p>
    <w:p w14:paraId="2C5686F2" w14:textId="77777777" w:rsidR="007046E2" w:rsidRDefault="007046E2" w:rsidP="00B205BA">
      <w:pPr>
        <w:spacing w:after="120" w:line="240" w:lineRule="auto"/>
        <w:jc w:val="center"/>
        <w:rPr>
          <w:rFonts w:cs="Arial"/>
          <w:b/>
          <w:bCs/>
          <w:color w:val="000000" w:themeColor="text1"/>
          <w:sz w:val="24"/>
          <w:szCs w:val="24"/>
        </w:rPr>
      </w:pPr>
    </w:p>
    <w:p w14:paraId="61C0D213" w14:textId="689454F7" w:rsidR="00670906" w:rsidRDefault="00670906" w:rsidP="00B205BA">
      <w:pPr>
        <w:spacing w:after="120" w:line="240" w:lineRule="auto"/>
        <w:jc w:val="center"/>
        <w:rPr>
          <w:rFonts w:cs="Arial"/>
          <w:b/>
          <w:bCs/>
          <w:color w:val="000000" w:themeColor="text1"/>
          <w:sz w:val="24"/>
          <w:szCs w:val="24"/>
        </w:rPr>
      </w:pPr>
      <w:r w:rsidRPr="00C028AC">
        <w:rPr>
          <w:rFonts w:cs="Arial"/>
          <w:b/>
          <w:bCs/>
          <w:color w:val="000000" w:themeColor="text1"/>
          <w:sz w:val="24"/>
          <w:szCs w:val="24"/>
        </w:rPr>
        <w:lastRenderedPageBreak/>
        <w:t>ALINEACIÓN CON EL PLAN NACIONAL DE DESARROLLO  2018-2024 Y EL PLAN ESTATAL DE DESARROLLO 202</w:t>
      </w:r>
      <w:r w:rsidR="008D0057">
        <w:rPr>
          <w:rFonts w:cs="Arial"/>
          <w:b/>
          <w:bCs/>
          <w:color w:val="000000" w:themeColor="text1"/>
          <w:sz w:val="24"/>
          <w:szCs w:val="24"/>
        </w:rPr>
        <w:t>1</w:t>
      </w:r>
      <w:r w:rsidR="00070D83">
        <w:rPr>
          <w:rFonts w:cs="Arial"/>
          <w:b/>
          <w:bCs/>
          <w:color w:val="000000" w:themeColor="text1"/>
          <w:sz w:val="24"/>
          <w:szCs w:val="24"/>
        </w:rPr>
        <w:t xml:space="preserve">- </w:t>
      </w:r>
      <w:r w:rsidRPr="00C028AC">
        <w:rPr>
          <w:rFonts w:cs="Arial"/>
          <w:b/>
          <w:bCs/>
          <w:color w:val="000000" w:themeColor="text1"/>
          <w:sz w:val="24"/>
          <w:szCs w:val="24"/>
        </w:rPr>
        <w:t>2027</w:t>
      </w:r>
      <w:r w:rsidR="00C70FEC">
        <w:rPr>
          <w:rFonts w:cs="Arial"/>
          <w:b/>
          <w:bCs/>
          <w:color w:val="000000" w:themeColor="text1"/>
          <w:sz w:val="24"/>
          <w:szCs w:val="24"/>
        </w:rPr>
        <w:t>.</w:t>
      </w:r>
    </w:p>
    <w:p w14:paraId="1E2B4F3A" w14:textId="77777777" w:rsidR="008B04D0" w:rsidRDefault="008B04D0" w:rsidP="00B205BA">
      <w:pPr>
        <w:spacing w:after="120" w:line="240" w:lineRule="auto"/>
        <w:jc w:val="center"/>
        <w:rPr>
          <w:rFonts w:cs="Arial"/>
          <w:b/>
          <w:bCs/>
          <w:color w:val="000000" w:themeColor="text1"/>
          <w:sz w:val="24"/>
          <w:szCs w:val="24"/>
        </w:rPr>
      </w:pPr>
    </w:p>
    <w:p w14:paraId="25F8F991" w14:textId="7566B50F" w:rsidR="008B04D0" w:rsidRDefault="00C028AC" w:rsidP="00B205BA">
      <w:pPr>
        <w:spacing w:after="120" w:line="240" w:lineRule="auto"/>
        <w:jc w:val="center"/>
        <w:rPr>
          <w:rFonts w:cs="Arial"/>
          <w:b/>
          <w:bCs/>
          <w:color w:val="000000" w:themeColor="text1"/>
          <w:sz w:val="24"/>
          <w:szCs w:val="24"/>
        </w:rPr>
      </w:pPr>
      <w:r w:rsidRPr="00C028AC">
        <w:rPr>
          <w:rFonts w:cs="Arial"/>
          <w:b/>
          <w:bCs/>
          <w:noProof/>
          <w:color w:val="000000" w:themeColor="text1"/>
          <w:sz w:val="24"/>
          <w:szCs w:val="24"/>
        </w:rPr>
        <w:drawing>
          <wp:inline distT="0" distB="0" distL="0" distR="0" wp14:anchorId="003CE528" wp14:editId="6F582EC8">
            <wp:extent cx="5612130" cy="3721100"/>
            <wp:effectExtent l="0" t="0" r="7620" b="0"/>
            <wp:docPr id="1160775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75819" name=""/>
                    <pic:cNvPicPr/>
                  </pic:nvPicPr>
                  <pic:blipFill>
                    <a:blip r:embed="rId11"/>
                    <a:stretch>
                      <a:fillRect/>
                    </a:stretch>
                  </pic:blipFill>
                  <pic:spPr>
                    <a:xfrm>
                      <a:off x="0" y="0"/>
                      <a:ext cx="5612130" cy="3721100"/>
                    </a:xfrm>
                    <a:prstGeom prst="rect">
                      <a:avLst/>
                    </a:prstGeom>
                  </pic:spPr>
                </pic:pic>
              </a:graphicData>
            </a:graphic>
          </wp:inline>
        </w:drawing>
      </w:r>
    </w:p>
    <w:p w14:paraId="7A923CD4" w14:textId="070878A8" w:rsidR="008B04D0" w:rsidRDefault="008B04D0" w:rsidP="00B205BA">
      <w:pPr>
        <w:spacing w:after="120" w:line="240" w:lineRule="auto"/>
        <w:jc w:val="center"/>
        <w:rPr>
          <w:rFonts w:cs="Arial"/>
          <w:b/>
          <w:bCs/>
          <w:color w:val="000000" w:themeColor="text1"/>
          <w:sz w:val="24"/>
          <w:szCs w:val="24"/>
        </w:rPr>
      </w:pPr>
    </w:p>
    <w:p w14:paraId="75F7B81C" w14:textId="31B4350A" w:rsidR="008B04D0" w:rsidRDefault="008B04D0" w:rsidP="00B205BA">
      <w:pPr>
        <w:spacing w:after="120" w:line="240" w:lineRule="auto"/>
        <w:jc w:val="center"/>
        <w:rPr>
          <w:rFonts w:cs="Arial"/>
          <w:b/>
          <w:bCs/>
          <w:color w:val="000000" w:themeColor="text1"/>
          <w:sz w:val="24"/>
          <w:szCs w:val="24"/>
        </w:rPr>
      </w:pPr>
    </w:p>
    <w:p w14:paraId="69638D95" w14:textId="6EEDB908" w:rsidR="002F194E" w:rsidRPr="002F194E" w:rsidRDefault="002F194E" w:rsidP="00B205BA">
      <w:pPr>
        <w:spacing w:after="120" w:line="240" w:lineRule="auto"/>
        <w:jc w:val="left"/>
        <w:rPr>
          <w:rFonts w:cs="Arial"/>
          <w:color w:val="000000" w:themeColor="text1"/>
          <w:sz w:val="18"/>
          <w:szCs w:val="18"/>
        </w:rPr>
      </w:pPr>
      <w:r w:rsidRPr="002F194E">
        <w:rPr>
          <w:rFonts w:cs="Arial"/>
          <w:color w:val="000000" w:themeColor="text1"/>
          <w:sz w:val="18"/>
          <w:szCs w:val="18"/>
        </w:rPr>
        <w:t>Fuente: Elabora</w:t>
      </w:r>
      <w:r>
        <w:rPr>
          <w:rFonts w:cs="Arial"/>
          <w:color w:val="000000" w:themeColor="text1"/>
          <w:sz w:val="18"/>
          <w:szCs w:val="18"/>
        </w:rPr>
        <w:t>do por la Dirección de Planeación y Evaluación del desempeño.</w:t>
      </w:r>
    </w:p>
    <w:p w14:paraId="240C05B0" w14:textId="7C42E516" w:rsidR="002F194E" w:rsidRDefault="002F194E" w:rsidP="00B205BA">
      <w:pPr>
        <w:spacing w:after="120" w:line="240" w:lineRule="auto"/>
        <w:jc w:val="center"/>
        <w:rPr>
          <w:rFonts w:cs="Arial"/>
          <w:b/>
          <w:bCs/>
          <w:color w:val="000000" w:themeColor="text1"/>
          <w:sz w:val="24"/>
          <w:szCs w:val="24"/>
        </w:rPr>
      </w:pPr>
    </w:p>
    <w:p w14:paraId="2D5B6704" w14:textId="268BDF31" w:rsidR="002F194E" w:rsidRDefault="002F194E" w:rsidP="00B205BA">
      <w:pPr>
        <w:spacing w:after="120" w:line="240" w:lineRule="auto"/>
        <w:jc w:val="center"/>
        <w:rPr>
          <w:rFonts w:cs="Arial"/>
          <w:b/>
          <w:bCs/>
          <w:color w:val="000000" w:themeColor="text1"/>
          <w:sz w:val="24"/>
          <w:szCs w:val="24"/>
        </w:rPr>
      </w:pPr>
    </w:p>
    <w:p w14:paraId="5EFE335D" w14:textId="59056B73" w:rsidR="002F194E" w:rsidRDefault="002F194E" w:rsidP="00B205BA">
      <w:pPr>
        <w:spacing w:after="120" w:line="240" w:lineRule="auto"/>
        <w:jc w:val="center"/>
        <w:rPr>
          <w:rFonts w:cs="Arial"/>
          <w:b/>
          <w:bCs/>
          <w:color w:val="000000" w:themeColor="text1"/>
          <w:sz w:val="24"/>
          <w:szCs w:val="24"/>
        </w:rPr>
      </w:pPr>
    </w:p>
    <w:p w14:paraId="3FF7ED80" w14:textId="255F0F5C" w:rsidR="002F194E" w:rsidRDefault="002F194E" w:rsidP="00B205BA">
      <w:pPr>
        <w:spacing w:after="120" w:line="240" w:lineRule="auto"/>
        <w:jc w:val="center"/>
        <w:rPr>
          <w:rFonts w:cs="Arial"/>
          <w:b/>
          <w:bCs/>
          <w:color w:val="000000" w:themeColor="text1"/>
          <w:sz w:val="24"/>
          <w:szCs w:val="24"/>
        </w:rPr>
      </w:pPr>
    </w:p>
    <w:p w14:paraId="1A4A9210" w14:textId="77777777" w:rsidR="002F194E" w:rsidRDefault="002F194E" w:rsidP="00B205BA">
      <w:pPr>
        <w:spacing w:after="120" w:line="240" w:lineRule="auto"/>
        <w:rPr>
          <w:rFonts w:cs="Arial"/>
          <w:b/>
          <w:bCs/>
          <w:color w:val="000000" w:themeColor="text1"/>
          <w:sz w:val="24"/>
          <w:szCs w:val="24"/>
        </w:rPr>
      </w:pPr>
    </w:p>
    <w:p w14:paraId="62911F6F" w14:textId="77777777" w:rsidR="00C32544" w:rsidRDefault="00C32544" w:rsidP="00B205BA">
      <w:pPr>
        <w:spacing w:after="120" w:line="240" w:lineRule="auto"/>
        <w:rPr>
          <w:rFonts w:cs="Arial"/>
          <w:b/>
          <w:bCs/>
          <w:color w:val="000000" w:themeColor="text1"/>
          <w:sz w:val="24"/>
          <w:szCs w:val="24"/>
        </w:rPr>
      </w:pPr>
    </w:p>
    <w:p w14:paraId="34FE119E" w14:textId="77777777" w:rsidR="00B205BA" w:rsidRDefault="00B205BA" w:rsidP="00B205BA">
      <w:pPr>
        <w:spacing w:after="120" w:line="240" w:lineRule="auto"/>
        <w:rPr>
          <w:rFonts w:cs="Arial"/>
          <w:b/>
          <w:bCs/>
          <w:color w:val="000000" w:themeColor="text1"/>
          <w:sz w:val="24"/>
          <w:szCs w:val="24"/>
        </w:rPr>
      </w:pPr>
    </w:p>
    <w:p w14:paraId="3DC1389D" w14:textId="77777777" w:rsidR="00B205BA" w:rsidRDefault="00B205BA" w:rsidP="00B205BA">
      <w:pPr>
        <w:spacing w:after="120" w:line="240" w:lineRule="auto"/>
        <w:rPr>
          <w:rFonts w:cs="Arial"/>
          <w:b/>
          <w:bCs/>
          <w:color w:val="000000" w:themeColor="text1"/>
          <w:sz w:val="24"/>
          <w:szCs w:val="24"/>
        </w:rPr>
      </w:pPr>
    </w:p>
    <w:p w14:paraId="4622D888" w14:textId="77777777" w:rsidR="00B205BA" w:rsidRDefault="00B205BA" w:rsidP="00B205BA">
      <w:pPr>
        <w:spacing w:after="120" w:line="240" w:lineRule="auto"/>
        <w:rPr>
          <w:rFonts w:cs="Arial"/>
          <w:b/>
          <w:bCs/>
          <w:color w:val="000000" w:themeColor="text1"/>
          <w:sz w:val="24"/>
          <w:szCs w:val="24"/>
        </w:rPr>
      </w:pPr>
    </w:p>
    <w:p w14:paraId="5A8169BE" w14:textId="77777777" w:rsidR="00B205BA" w:rsidRDefault="00B205BA" w:rsidP="00B205BA">
      <w:pPr>
        <w:spacing w:after="120" w:line="240" w:lineRule="auto"/>
        <w:rPr>
          <w:rFonts w:cs="Arial"/>
          <w:b/>
          <w:bCs/>
          <w:color w:val="000000" w:themeColor="text1"/>
          <w:sz w:val="24"/>
          <w:szCs w:val="24"/>
        </w:rPr>
      </w:pPr>
    </w:p>
    <w:p w14:paraId="43209ADA" w14:textId="05827349" w:rsidR="002B2BD1" w:rsidRDefault="002B2BD1" w:rsidP="00B205BA">
      <w:pPr>
        <w:spacing w:after="120" w:line="240" w:lineRule="auto"/>
        <w:rPr>
          <w:rFonts w:cs="Arial"/>
          <w:b/>
          <w:bCs/>
          <w:color w:val="000000" w:themeColor="text1"/>
          <w:sz w:val="24"/>
          <w:szCs w:val="24"/>
        </w:rPr>
      </w:pPr>
    </w:p>
    <w:p w14:paraId="7FCC3516" w14:textId="2D4FBB5A" w:rsidR="00354340" w:rsidRDefault="00670906" w:rsidP="00B205BA">
      <w:pPr>
        <w:spacing w:after="120" w:line="240" w:lineRule="auto"/>
        <w:jc w:val="center"/>
        <w:rPr>
          <w:rFonts w:cs="Arial"/>
          <w:b/>
          <w:bCs/>
          <w:color w:val="000000" w:themeColor="text1"/>
          <w:sz w:val="24"/>
          <w:szCs w:val="24"/>
        </w:rPr>
      </w:pPr>
      <w:r w:rsidRPr="002F194E">
        <w:rPr>
          <w:rFonts w:cs="Arial"/>
          <w:b/>
          <w:bCs/>
          <w:color w:val="000000" w:themeColor="text1"/>
          <w:sz w:val="24"/>
          <w:szCs w:val="24"/>
        </w:rPr>
        <w:lastRenderedPageBreak/>
        <w:t>ALINEACIÓN CON LOS OBJETIVOS DEL DESARROLLO SOSTENIBLE DE LA ONU</w:t>
      </w:r>
      <w:r w:rsidR="00C70FEC">
        <w:rPr>
          <w:rFonts w:cs="Arial"/>
          <w:b/>
          <w:bCs/>
          <w:color w:val="000000" w:themeColor="text1"/>
          <w:sz w:val="24"/>
          <w:szCs w:val="24"/>
        </w:rPr>
        <w:t>.</w:t>
      </w:r>
    </w:p>
    <w:p w14:paraId="7E51A4D7" w14:textId="442B7895" w:rsidR="00354340" w:rsidRDefault="00354340" w:rsidP="00B205BA">
      <w:pPr>
        <w:spacing w:after="120" w:line="240" w:lineRule="auto"/>
        <w:jc w:val="center"/>
        <w:rPr>
          <w:rFonts w:cs="Arial"/>
          <w:b/>
          <w:bCs/>
          <w:color w:val="000000" w:themeColor="text1"/>
          <w:sz w:val="24"/>
          <w:szCs w:val="24"/>
        </w:rPr>
      </w:pPr>
      <w:r w:rsidRPr="00354340">
        <w:rPr>
          <w:rFonts w:cs="Arial"/>
          <w:b/>
          <w:bCs/>
          <w:noProof/>
          <w:color w:val="000000" w:themeColor="text1"/>
          <w:sz w:val="24"/>
          <w:szCs w:val="24"/>
        </w:rPr>
        <w:drawing>
          <wp:inline distT="0" distB="0" distL="0" distR="0" wp14:anchorId="52BDC78A" wp14:editId="5B21A833">
            <wp:extent cx="5612130" cy="2669540"/>
            <wp:effectExtent l="0" t="0" r="1270" b="0"/>
            <wp:docPr id="204505102" name="Imagen 20450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669540"/>
                    </a:xfrm>
                    <a:prstGeom prst="rect">
                      <a:avLst/>
                    </a:prstGeom>
                  </pic:spPr>
                </pic:pic>
              </a:graphicData>
            </a:graphic>
          </wp:inline>
        </w:drawing>
      </w:r>
    </w:p>
    <w:p w14:paraId="6C9D0FD9" w14:textId="77777777" w:rsidR="002F194E" w:rsidRDefault="002F194E" w:rsidP="00B205BA">
      <w:pPr>
        <w:spacing w:after="120" w:line="240" w:lineRule="auto"/>
        <w:rPr>
          <w:rFonts w:cs="Arial"/>
          <w:b/>
          <w:bCs/>
          <w:color w:val="000000" w:themeColor="text1"/>
          <w:sz w:val="24"/>
          <w:szCs w:val="24"/>
        </w:rPr>
      </w:pPr>
    </w:p>
    <w:p w14:paraId="6075FA82" w14:textId="77777777" w:rsidR="002F194E" w:rsidRPr="002F194E" w:rsidRDefault="002F194E" w:rsidP="00B205BA">
      <w:pPr>
        <w:spacing w:after="120" w:line="240" w:lineRule="auto"/>
        <w:jc w:val="left"/>
        <w:rPr>
          <w:rFonts w:cs="Arial"/>
          <w:color w:val="000000" w:themeColor="text1"/>
          <w:sz w:val="18"/>
          <w:szCs w:val="18"/>
        </w:rPr>
      </w:pPr>
      <w:r w:rsidRPr="002F194E">
        <w:rPr>
          <w:rFonts w:cs="Arial"/>
          <w:color w:val="000000" w:themeColor="text1"/>
          <w:sz w:val="18"/>
          <w:szCs w:val="18"/>
        </w:rPr>
        <w:t>Fuente: Elabora</w:t>
      </w:r>
      <w:r>
        <w:rPr>
          <w:rFonts w:cs="Arial"/>
          <w:color w:val="000000" w:themeColor="text1"/>
          <w:sz w:val="18"/>
          <w:szCs w:val="18"/>
        </w:rPr>
        <w:t>do por la Dirección de Planeación y Evaluación del desempeño.</w:t>
      </w:r>
    </w:p>
    <w:p w14:paraId="218A186D" w14:textId="49D7C4F8" w:rsidR="006B5CD3" w:rsidRDefault="006B5CD3" w:rsidP="00B205BA">
      <w:pPr>
        <w:spacing w:after="120" w:line="240" w:lineRule="auto"/>
        <w:jc w:val="left"/>
        <w:rPr>
          <w:rFonts w:cs="Arial"/>
          <w:b/>
          <w:bCs/>
          <w:sz w:val="24"/>
          <w:szCs w:val="24"/>
        </w:rPr>
      </w:pPr>
    </w:p>
    <w:p w14:paraId="75AC40D9" w14:textId="6C40AE1B" w:rsidR="006B5CD3" w:rsidRDefault="006B5CD3" w:rsidP="00B205BA">
      <w:pPr>
        <w:spacing w:after="120" w:line="240" w:lineRule="auto"/>
        <w:jc w:val="left"/>
        <w:rPr>
          <w:rFonts w:cs="Arial"/>
          <w:b/>
          <w:bCs/>
          <w:sz w:val="24"/>
          <w:szCs w:val="24"/>
        </w:rPr>
      </w:pPr>
    </w:p>
    <w:p w14:paraId="08642398" w14:textId="04B63359" w:rsidR="006B5CD3" w:rsidRDefault="006B5CD3" w:rsidP="00B205BA">
      <w:pPr>
        <w:spacing w:after="120" w:line="240" w:lineRule="auto"/>
        <w:jc w:val="left"/>
        <w:rPr>
          <w:rFonts w:cs="Arial"/>
          <w:b/>
          <w:bCs/>
          <w:sz w:val="24"/>
          <w:szCs w:val="24"/>
        </w:rPr>
      </w:pPr>
    </w:p>
    <w:p w14:paraId="5CDC887D" w14:textId="136D153B" w:rsidR="006B5CD3" w:rsidRDefault="006B5CD3" w:rsidP="00B205BA">
      <w:pPr>
        <w:spacing w:after="120" w:line="240" w:lineRule="auto"/>
        <w:jc w:val="left"/>
        <w:rPr>
          <w:rFonts w:cs="Arial"/>
          <w:b/>
          <w:bCs/>
          <w:sz w:val="24"/>
          <w:szCs w:val="24"/>
        </w:rPr>
      </w:pPr>
    </w:p>
    <w:p w14:paraId="5AD42889" w14:textId="18240124" w:rsidR="006B5CD3" w:rsidRDefault="006B5CD3" w:rsidP="00B205BA">
      <w:pPr>
        <w:spacing w:after="120" w:line="240" w:lineRule="auto"/>
        <w:jc w:val="left"/>
        <w:rPr>
          <w:rFonts w:cs="Arial"/>
          <w:b/>
          <w:bCs/>
          <w:sz w:val="24"/>
          <w:szCs w:val="24"/>
        </w:rPr>
      </w:pPr>
    </w:p>
    <w:p w14:paraId="384C6EBC" w14:textId="67410606" w:rsidR="006B5CD3" w:rsidRDefault="006B5CD3" w:rsidP="00B205BA">
      <w:pPr>
        <w:spacing w:after="120" w:line="240" w:lineRule="auto"/>
        <w:jc w:val="left"/>
        <w:rPr>
          <w:rFonts w:cs="Arial"/>
          <w:b/>
          <w:bCs/>
          <w:sz w:val="24"/>
          <w:szCs w:val="24"/>
        </w:rPr>
      </w:pPr>
    </w:p>
    <w:p w14:paraId="44910B51" w14:textId="0B6BF4ED" w:rsidR="006B5CD3" w:rsidRDefault="006B5CD3" w:rsidP="00B205BA">
      <w:pPr>
        <w:spacing w:after="120" w:line="240" w:lineRule="auto"/>
        <w:jc w:val="left"/>
        <w:rPr>
          <w:rFonts w:cs="Arial"/>
          <w:b/>
          <w:bCs/>
          <w:sz w:val="24"/>
          <w:szCs w:val="24"/>
        </w:rPr>
      </w:pPr>
    </w:p>
    <w:p w14:paraId="479FDB0C" w14:textId="5AA348FA" w:rsidR="006B5CD3" w:rsidRDefault="006B5CD3" w:rsidP="00B205BA">
      <w:pPr>
        <w:spacing w:after="120" w:line="240" w:lineRule="auto"/>
        <w:jc w:val="left"/>
        <w:rPr>
          <w:rFonts w:cs="Arial"/>
          <w:b/>
          <w:bCs/>
          <w:sz w:val="24"/>
          <w:szCs w:val="24"/>
        </w:rPr>
      </w:pPr>
    </w:p>
    <w:p w14:paraId="66A4A885" w14:textId="77777777" w:rsidR="006B5CD3" w:rsidRDefault="006B5CD3" w:rsidP="00B205BA">
      <w:pPr>
        <w:spacing w:after="120" w:line="240" w:lineRule="auto"/>
        <w:jc w:val="left"/>
        <w:rPr>
          <w:rFonts w:cs="Arial"/>
          <w:b/>
          <w:bCs/>
          <w:sz w:val="24"/>
          <w:szCs w:val="24"/>
        </w:rPr>
      </w:pPr>
    </w:p>
    <w:p w14:paraId="63F629F2" w14:textId="77777777" w:rsidR="00516DB0" w:rsidRDefault="00516DB0" w:rsidP="00B205BA">
      <w:pPr>
        <w:spacing w:after="120" w:line="240" w:lineRule="auto"/>
        <w:jc w:val="left"/>
        <w:rPr>
          <w:rFonts w:cs="Arial"/>
          <w:b/>
          <w:bCs/>
          <w:sz w:val="24"/>
          <w:szCs w:val="24"/>
        </w:rPr>
      </w:pPr>
    </w:p>
    <w:p w14:paraId="1B079C2B" w14:textId="77777777" w:rsidR="00516DB0" w:rsidRDefault="00516DB0" w:rsidP="00B205BA">
      <w:pPr>
        <w:spacing w:after="120" w:line="240" w:lineRule="auto"/>
        <w:jc w:val="left"/>
        <w:rPr>
          <w:rFonts w:cs="Arial"/>
          <w:b/>
          <w:bCs/>
          <w:sz w:val="24"/>
          <w:szCs w:val="24"/>
        </w:rPr>
      </w:pPr>
    </w:p>
    <w:p w14:paraId="065A5EB8" w14:textId="77777777" w:rsidR="00516DB0" w:rsidRDefault="00516DB0" w:rsidP="00B205BA">
      <w:pPr>
        <w:spacing w:after="120" w:line="240" w:lineRule="auto"/>
        <w:jc w:val="left"/>
        <w:rPr>
          <w:rFonts w:cs="Arial"/>
          <w:b/>
          <w:bCs/>
          <w:sz w:val="24"/>
          <w:szCs w:val="24"/>
        </w:rPr>
      </w:pPr>
    </w:p>
    <w:p w14:paraId="4AA909C1" w14:textId="77777777" w:rsidR="00516DB0" w:rsidRDefault="00516DB0" w:rsidP="00B205BA">
      <w:pPr>
        <w:spacing w:after="120" w:line="240" w:lineRule="auto"/>
        <w:jc w:val="left"/>
        <w:rPr>
          <w:rFonts w:cs="Arial"/>
          <w:b/>
          <w:bCs/>
          <w:sz w:val="24"/>
          <w:szCs w:val="24"/>
        </w:rPr>
      </w:pPr>
    </w:p>
    <w:p w14:paraId="4BAE9EB2" w14:textId="77777777" w:rsidR="00516DB0" w:rsidRDefault="00516DB0" w:rsidP="00B205BA">
      <w:pPr>
        <w:spacing w:after="120" w:line="240" w:lineRule="auto"/>
        <w:jc w:val="left"/>
        <w:rPr>
          <w:rFonts w:cs="Arial"/>
          <w:b/>
          <w:bCs/>
          <w:sz w:val="24"/>
          <w:szCs w:val="24"/>
        </w:rPr>
      </w:pPr>
    </w:p>
    <w:p w14:paraId="1F18436B" w14:textId="77777777" w:rsidR="002F194E" w:rsidRDefault="002F194E" w:rsidP="00B205BA">
      <w:pPr>
        <w:spacing w:after="120" w:line="240" w:lineRule="auto"/>
        <w:jc w:val="left"/>
        <w:rPr>
          <w:rFonts w:cs="Arial"/>
          <w:b/>
          <w:bCs/>
          <w:sz w:val="24"/>
          <w:szCs w:val="24"/>
        </w:rPr>
      </w:pPr>
    </w:p>
    <w:p w14:paraId="232F753D" w14:textId="42E5AE0F" w:rsidR="0076416A" w:rsidRDefault="0076416A" w:rsidP="00B205BA">
      <w:pPr>
        <w:spacing w:after="120" w:line="240" w:lineRule="auto"/>
        <w:ind w:hanging="5"/>
        <w:rPr>
          <w:rFonts w:cs="Arial"/>
          <w:b/>
          <w:bCs/>
          <w:sz w:val="28"/>
          <w:szCs w:val="28"/>
        </w:rPr>
      </w:pPr>
    </w:p>
    <w:p w14:paraId="3F217700" w14:textId="77777777" w:rsidR="00261A27" w:rsidRDefault="00261A27" w:rsidP="00B205BA">
      <w:pPr>
        <w:spacing w:after="120" w:line="240" w:lineRule="auto"/>
        <w:rPr>
          <w:rFonts w:cs="Arial"/>
          <w:b/>
          <w:bCs/>
          <w:sz w:val="28"/>
          <w:szCs w:val="28"/>
        </w:rPr>
      </w:pPr>
    </w:p>
    <w:p w14:paraId="4D70EDCB" w14:textId="03AF2B9D" w:rsidR="0005046A" w:rsidRPr="00516DB0" w:rsidRDefault="0005046A" w:rsidP="00B205BA">
      <w:pPr>
        <w:pStyle w:val="Ttulo1"/>
        <w:spacing w:after="120" w:line="240" w:lineRule="auto"/>
      </w:pPr>
      <w:bookmarkStart w:id="5" w:name="_Toc187396117"/>
      <w:r w:rsidRPr="00516DB0">
        <w:lastRenderedPageBreak/>
        <w:t>ESCENARIOS</w:t>
      </w:r>
      <w:bookmarkEnd w:id="5"/>
    </w:p>
    <w:p w14:paraId="40D73077" w14:textId="77777777" w:rsidR="006B5CD3" w:rsidRPr="00516DB0" w:rsidRDefault="006B5CD3" w:rsidP="00B205BA">
      <w:pPr>
        <w:spacing w:after="120" w:line="240" w:lineRule="auto"/>
        <w:ind w:hanging="5"/>
        <w:rPr>
          <w:rFonts w:cs="Arial"/>
        </w:rPr>
      </w:pPr>
      <w:r w:rsidRPr="00516DB0">
        <w:rPr>
          <w:rFonts w:cs="Arial"/>
        </w:rPr>
        <w:t>Sin duda, nuestro mundo vive hoy –finales de 2024- momentos de inflexión que serán recordados por décadas. En palabras de la Asamblea General de las Naciones Unidas, “asistimos en estos momentos a una profunda transformación mundial”</w:t>
      </w:r>
      <w:r w:rsidRPr="00516DB0">
        <w:rPr>
          <w:rStyle w:val="Refdenotaalpie"/>
          <w:rFonts w:cs="Arial"/>
        </w:rPr>
        <w:footnoteReference w:id="1"/>
      </w:r>
      <w:r w:rsidRPr="00516DB0">
        <w:rPr>
          <w:rFonts w:cs="Arial"/>
        </w:rPr>
        <w:t>.</w:t>
      </w:r>
    </w:p>
    <w:p w14:paraId="1A6B2D3C" w14:textId="77777777" w:rsidR="006B5CD3" w:rsidRPr="00516DB0" w:rsidRDefault="006B5CD3" w:rsidP="00B205BA">
      <w:pPr>
        <w:spacing w:after="120" w:line="240" w:lineRule="auto"/>
        <w:ind w:hanging="5"/>
        <w:rPr>
          <w:rFonts w:cs="Arial"/>
        </w:rPr>
      </w:pPr>
      <w:r w:rsidRPr="00516DB0">
        <w:rPr>
          <w:rFonts w:cs="Arial"/>
        </w:rPr>
        <w:t>En lo general, vivimos una actualidad postpandemia caracterizada por una recuperación económica mundial que avanza, aunque no con la velocidad ideal. Los niveles de inflación en el mundo se están desacelerando gradualmente, y se prevé que en 2024 la economía mundial se estabilice por primera vez desde 2020, aunque a un nivel débil, comparado con registros históricos recientes.</w:t>
      </w:r>
    </w:p>
    <w:p w14:paraId="1CB30EC5" w14:textId="77777777" w:rsidR="006B5CD3" w:rsidRPr="00516DB0" w:rsidRDefault="006B5CD3" w:rsidP="00B205BA">
      <w:pPr>
        <w:spacing w:after="120" w:line="240" w:lineRule="auto"/>
        <w:ind w:hanging="5"/>
        <w:rPr>
          <w:rFonts w:cs="Arial"/>
        </w:rPr>
      </w:pPr>
      <w:r w:rsidRPr="00516DB0">
        <w:rPr>
          <w:rFonts w:cs="Arial"/>
        </w:rPr>
        <w:t xml:space="preserve">El contexto actual no está exento de sufrimiento y de riesgos, pero también tiene aspectos que alimentan la esperanza y las oportunidades para renovarnos y avanzar. Un aspecto altamente positivo es el acelerado avance tecnológico global, que cada día hace posible un crecimiento sin precedentes en el conocimiento y la innovación en todos los ámbitos de la actividad humana. </w:t>
      </w:r>
    </w:p>
    <w:p w14:paraId="1C4A6958" w14:textId="77777777" w:rsidR="006B5CD3" w:rsidRPr="00516DB0" w:rsidRDefault="006B5CD3" w:rsidP="00B205BA">
      <w:pPr>
        <w:spacing w:after="120" w:line="240" w:lineRule="auto"/>
        <w:ind w:hanging="5"/>
        <w:rPr>
          <w:rFonts w:cs="Arial"/>
        </w:rPr>
      </w:pPr>
      <w:r w:rsidRPr="00516DB0">
        <w:rPr>
          <w:rFonts w:cs="Arial"/>
        </w:rPr>
        <w:t>Esta transformación global producto de los progresos en conocimiento, ciencia, tecnología e innovación tiene el potencial de hacer más viable el camino hacia un futuro más prometedor y sostenible para todos. Tan es así, que el Programa de las Naciones Unidas para el Desarrollo (PNUD) ha anunciado que la digitalización y la inteligencia artificial y su impacto en el desarrollo humano serán el tema del próximo Informe sobre Desarrollo Humano</w:t>
      </w:r>
      <w:r w:rsidRPr="00516DB0">
        <w:rPr>
          <w:rStyle w:val="Refdenotaalpie"/>
          <w:rFonts w:cs="Arial"/>
        </w:rPr>
        <w:footnoteReference w:id="2"/>
      </w:r>
      <w:r w:rsidRPr="00516DB0">
        <w:rPr>
          <w:rFonts w:cs="Arial"/>
        </w:rPr>
        <w:t>.</w:t>
      </w:r>
    </w:p>
    <w:p w14:paraId="6DB81D46" w14:textId="77777777" w:rsidR="006B5CD3" w:rsidRPr="00516DB0" w:rsidRDefault="006B5CD3" w:rsidP="00B205BA">
      <w:pPr>
        <w:spacing w:after="120" w:line="240" w:lineRule="auto"/>
        <w:ind w:hanging="5"/>
        <w:rPr>
          <w:rFonts w:cs="Arial"/>
        </w:rPr>
      </w:pPr>
      <w:r w:rsidRPr="00516DB0">
        <w:rPr>
          <w:rFonts w:cs="Arial"/>
        </w:rPr>
        <w:t xml:space="preserve">Esta coexistencia de oportunidades y desafíos debe alentarnos a adaptarnos a nuevas realidades y a crear sociedades más resilientes sobre la base de los valores que compartimos como humanidad. Los gobiernos nacionales y locales tienen ante sí el reto de repensar e impulsar nuevos modelos de desarrollo y gestión sin perder el enfoque en las personas como centro de la acción pública. </w:t>
      </w:r>
    </w:p>
    <w:p w14:paraId="2E6A35F4" w14:textId="77777777" w:rsidR="006B5CD3" w:rsidRPr="00516DB0" w:rsidRDefault="006B5CD3" w:rsidP="00B205BA">
      <w:pPr>
        <w:spacing w:after="120" w:line="240" w:lineRule="auto"/>
        <w:ind w:hanging="5"/>
        <w:rPr>
          <w:rFonts w:cs="Arial"/>
        </w:rPr>
      </w:pPr>
      <w:r w:rsidRPr="00516DB0">
        <w:rPr>
          <w:rFonts w:cs="Arial"/>
        </w:rPr>
        <w:t xml:space="preserve">En ese camino, la implementación de soluciones colaborativas y políticas inclusivas es clave para enfrentar el presente y avanzar hacia un futuro viable. </w:t>
      </w:r>
      <w:bookmarkStart w:id="6" w:name="_Hlk182171754"/>
    </w:p>
    <w:p w14:paraId="24338E33" w14:textId="3F91ADC1" w:rsidR="006B5CD3" w:rsidRPr="00516DB0" w:rsidRDefault="006B5CD3" w:rsidP="00B205BA">
      <w:pPr>
        <w:spacing w:after="120" w:line="240" w:lineRule="auto"/>
        <w:ind w:hanging="5"/>
        <w:rPr>
          <w:rFonts w:cs="Arial"/>
        </w:rPr>
      </w:pPr>
      <w:r w:rsidRPr="00516DB0">
        <w:rPr>
          <w:rFonts w:cs="Arial"/>
          <w:b/>
          <w:bCs/>
        </w:rPr>
        <w:t>Contexto global</w:t>
      </w:r>
      <w:r w:rsidR="00261A27">
        <w:rPr>
          <w:rFonts w:cs="Arial"/>
          <w:b/>
          <w:bCs/>
        </w:rPr>
        <w:t>.</w:t>
      </w:r>
    </w:p>
    <w:bookmarkEnd w:id="6"/>
    <w:p w14:paraId="68E2F259" w14:textId="4F50EFA9" w:rsidR="006B5CD3" w:rsidRPr="00C70FEC" w:rsidRDefault="006B5CD3" w:rsidP="00B205BA">
      <w:pPr>
        <w:spacing w:after="120" w:line="240" w:lineRule="auto"/>
        <w:rPr>
          <w:rFonts w:cs="Arial"/>
          <w:color w:val="212121"/>
        </w:rPr>
      </w:pPr>
      <w:r w:rsidRPr="00C70FEC">
        <w:rPr>
          <w:rFonts w:cs="Arial"/>
          <w:color w:val="212121"/>
        </w:rPr>
        <w:t>Economía</w:t>
      </w:r>
      <w:r w:rsidR="00C70FEC">
        <w:rPr>
          <w:rFonts w:cs="Arial"/>
          <w:color w:val="212121"/>
        </w:rPr>
        <w:t>.</w:t>
      </w:r>
    </w:p>
    <w:p w14:paraId="65782688" w14:textId="77777777" w:rsidR="006B5CD3" w:rsidRPr="00516DB0" w:rsidRDefault="006B5CD3" w:rsidP="00B205BA">
      <w:pPr>
        <w:spacing w:after="120" w:line="240" w:lineRule="auto"/>
        <w:rPr>
          <w:rFonts w:cs="Arial"/>
          <w:color w:val="212121"/>
        </w:rPr>
      </w:pPr>
      <w:r w:rsidRPr="00516DB0">
        <w:rPr>
          <w:rFonts w:cs="Arial"/>
          <w:color w:val="212121"/>
        </w:rPr>
        <w:t xml:space="preserve">En la más reciente edición de su informe </w:t>
      </w:r>
      <w:r w:rsidRPr="00516DB0">
        <w:rPr>
          <w:rFonts w:cs="Arial"/>
          <w:i/>
          <w:iCs/>
          <w:color w:val="212121"/>
        </w:rPr>
        <w:t>Perspectivas económicas mundiales</w:t>
      </w:r>
      <w:r w:rsidRPr="00516DB0">
        <w:rPr>
          <w:rStyle w:val="Refdenotaalpie"/>
          <w:rFonts w:cs="Arial"/>
          <w:color w:val="212121"/>
        </w:rPr>
        <w:footnoteReference w:id="3"/>
      </w:r>
      <w:r w:rsidRPr="00516DB0">
        <w:rPr>
          <w:rFonts w:cs="Arial"/>
          <w:color w:val="212121"/>
        </w:rPr>
        <w:t>,</w:t>
      </w:r>
      <w:r w:rsidRPr="00516DB0">
        <w:rPr>
          <w:rFonts w:cs="Arial"/>
          <w:i/>
          <w:iCs/>
          <w:color w:val="212121"/>
        </w:rPr>
        <w:t xml:space="preserve"> </w:t>
      </w:r>
      <w:r w:rsidRPr="00516DB0">
        <w:rPr>
          <w:rFonts w:cs="Arial"/>
        </w:rPr>
        <w:t xml:space="preserve">el Banco Mundial prevé que, </w:t>
      </w:r>
      <w:r w:rsidRPr="00516DB0">
        <w:rPr>
          <w:rFonts w:cs="Arial"/>
          <w:color w:val="212121"/>
        </w:rPr>
        <w:t>durante el período 2024-2026, un conjunto de países que representan más de 80 % de la población mundial y del PIB mundial seguirá creciendo, pero a un ritmo más lento (2.6 % en 2024 y 2.7 % en 2025-2026) que el registrado durante la década anterior a la pandemia por COVID-19 (3.1 %). En las economías avanzadas, el crecimiento se mantendrá estable, a una tasa de 1.5 % durante 2024, para aumentar a 1.7 % en 2025.</w:t>
      </w:r>
    </w:p>
    <w:p w14:paraId="4D6B2651" w14:textId="77777777" w:rsidR="006B5CD3" w:rsidRPr="00516DB0" w:rsidRDefault="006B5CD3" w:rsidP="00B205BA">
      <w:pPr>
        <w:spacing w:after="120" w:line="240" w:lineRule="auto"/>
        <w:rPr>
          <w:rFonts w:cs="Arial"/>
          <w:color w:val="212121"/>
        </w:rPr>
      </w:pPr>
      <w:r w:rsidRPr="00516DB0">
        <w:rPr>
          <w:rFonts w:cs="Arial"/>
          <w:color w:val="212121"/>
        </w:rPr>
        <w:lastRenderedPageBreak/>
        <w:t>Así mismo, se espera que la inflación mundial se modere hasta 3.5 % en 2024 y 2.9 % en 2025. Es probable que las tasas de interés mundiales permanezcan en niveles elevados en comparación con las últimas décadas, con un promedio de alrededor de 4 % durante el período 2025-2026.</w:t>
      </w:r>
    </w:p>
    <w:p w14:paraId="22A9D562" w14:textId="77777777" w:rsidR="006B5CD3" w:rsidRPr="00516DB0" w:rsidRDefault="006B5CD3" w:rsidP="00B205BA">
      <w:pPr>
        <w:spacing w:after="120" w:line="240" w:lineRule="auto"/>
        <w:rPr>
          <w:rFonts w:cs="Arial"/>
        </w:rPr>
      </w:pPr>
      <w:r w:rsidRPr="00516DB0">
        <w:rPr>
          <w:rFonts w:cs="Arial"/>
        </w:rPr>
        <w:t xml:space="preserve">Ante este panorama, el Banco Mundial destaca la necesidad de impulsar la inversión pública para catalizar la inversión privada, particularmente en economías en desarrollo con suficiente margen fiscal. Según la institución, en estos casos, un incremento de 1 % en inversión pública puede llevar a un aumento de 1.6 % en el PIB a mediano plazo. </w:t>
      </w:r>
    </w:p>
    <w:p w14:paraId="686BCFEA" w14:textId="77777777" w:rsidR="006B5CD3" w:rsidRPr="00516DB0" w:rsidRDefault="006B5CD3" w:rsidP="00B205BA">
      <w:pPr>
        <w:spacing w:after="120" w:line="240" w:lineRule="auto"/>
        <w:rPr>
          <w:rFonts w:cs="Arial"/>
        </w:rPr>
      </w:pPr>
      <w:r w:rsidRPr="00516DB0">
        <w:rPr>
          <w:rFonts w:cs="Arial"/>
        </w:rPr>
        <w:t>La institución subraya la vulnerabilidad fiscal de las naciones que enfrentan altos riesgos de endeudamiento, e insta a adoptar políticas fiscales y de infraestructura resilientes, especialmente en sectores como salud, educación y gestión de desastres naturales (cada vez más frecuentes), para promover una recuperación sostenible.</w:t>
      </w:r>
    </w:p>
    <w:p w14:paraId="0B143082" w14:textId="6F070BD8" w:rsidR="006B5CD3" w:rsidRPr="00C70FEC" w:rsidRDefault="006B5CD3" w:rsidP="00B205BA">
      <w:pPr>
        <w:spacing w:after="120" w:line="240" w:lineRule="auto"/>
        <w:rPr>
          <w:rFonts w:cs="Arial"/>
          <w:color w:val="212121"/>
        </w:rPr>
      </w:pPr>
      <w:r w:rsidRPr="00C70FEC">
        <w:rPr>
          <w:rFonts w:cs="Arial"/>
          <w:color w:val="212121"/>
        </w:rPr>
        <w:t>Desarrollo humano</w:t>
      </w:r>
      <w:r w:rsidR="00C70FEC">
        <w:rPr>
          <w:rFonts w:cs="Arial"/>
          <w:color w:val="212121"/>
        </w:rPr>
        <w:t>.</w:t>
      </w:r>
    </w:p>
    <w:p w14:paraId="20959F4E" w14:textId="77777777" w:rsidR="006B5CD3" w:rsidRPr="00516DB0" w:rsidRDefault="006B5CD3" w:rsidP="00B205BA">
      <w:pPr>
        <w:spacing w:after="120" w:line="240" w:lineRule="auto"/>
        <w:rPr>
          <w:rFonts w:cs="Arial"/>
        </w:rPr>
      </w:pPr>
      <w:r w:rsidRPr="00516DB0">
        <w:rPr>
          <w:rFonts w:cs="Arial"/>
        </w:rPr>
        <w:t>El más reciente Informe sobre Desarrollo Humano</w:t>
      </w:r>
      <w:r w:rsidRPr="00516DB0">
        <w:rPr>
          <w:rFonts w:cs="Arial"/>
          <w:vertAlign w:val="superscript"/>
        </w:rPr>
        <w:footnoteReference w:id="4"/>
      </w:r>
      <w:r w:rsidRPr="00516DB0">
        <w:rPr>
          <w:rFonts w:cs="Arial"/>
        </w:rPr>
        <w:t>, publicado por el PNUD, nos alerta sobre el hecho de que, tras 20 años de progreso, por primera vez, las desigualdades en los valores del Índice de Desarrollo Humano (IDH) –que mide niveles de salud, educación y el nivel de vida de un país– están aumentando, situando al desarrollo humano global actual por debajo de la tendencia previa a 2019.</w:t>
      </w:r>
    </w:p>
    <w:p w14:paraId="270D3008" w14:textId="77777777" w:rsidR="006B5CD3" w:rsidRPr="00516DB0" w:rsidRDefault="006B5CD3" w:rsidP="00B205BA">
      <w:pPr>
        <w:spacing w:after="120" w:line="240" w:lineRule="auto"/>
        <w:rPr>
          <w:rFonts w:cs="Arial"/>
        </w:rPr>
      </w:pPr>
      <w:r w:rsidRPr="00516DB0">
        <w:rPr>
          <w:rFonts w:cs="Arial"/>
        </w:rPr>
        <w:t xml:space="preserve">En septiembre de 2024, los líderes de los países miembros de la ONU reconocieron que, aunque se ha avanzado en el logro de los Objetivos de Desarrollo Sostenible, en la mayoría de estos el avance es muy lento, o se ha retrocedido por debajo de los niveles previos a 2015, cuando fueron establecidos. </w:t>
      </w:r>
    </w:p>
    <w:p w14:paraId="3FF85B54" w14:textId="77777777" w:rsidR="006B5CD3" w:rsidRPr="00516DB0" w:rsidRDefault="006B5CD3" w:rsidP="00B205BA">
      <w:pPr>
        <w:spacing w:after="120" w:line="240" w:lineRule="auto"/>
        <w:rPr>
          <w:rFonts w:cs="Arial"/>
        </w:rPr>
      </w:pPr>
      <w:r w:rsidRPr="00516DB0">
        <w:rPr>
          <w:rFonts w:cs="Arial"/>
        </w:rPr>
        <w:t xml:space="preserve">Ante tal desafío, reafirmaron el compromiso global de “emprender acciones audaces, ambiciosas, aceleradas, justas y transformativas para implementar la Agenda 2030, alcanzar los ODS y no dejar a nadie atrás”. A este compromiso renovado le dieron el nombre de </w:t>
      </w:r>
      <w:r w:rsidRPr="00516DB0">
        <w:rPr>
          <w:rFonts w:cs="Arial"/>
          <w:i/>
          <w:iCs/>
        </w:rPr>
        <w:t>Pacto para el Futuro</w:t>
      </w:r>
      <w:r w:rsidRPr="00516DB0">
        <w:rPr>
          <w:rFonts w:cs="Arial"/>
        </w:rPr>
        <w:t>, un acuerdo global para renovar la cooperación internacional y llevar a la humanidad hacia un nuevo rumbo para cumplir los compromisos existentes y resolver los retos a largo plazo</w:t>
      </w:r>
      <w:r w:rsidRPr="00516DB0">
        <w:rPr>
          <w:rStyle w:val="Refdenotaalpie"/>
          <w:rFonts w:cs="Arial"/>
        </w:rPr>
        <w:footnoteReference w:id="5"/>
      </w:r>
      <w:r w:rsidRPr="00516DB0">
        <w:rPr>
          <w:rFonts w:cs="Arial"/>
        </w:rPr>
        <w:t xml:space="preserve">. </w:t>
      </w:r>
    </w:p>
    <w:p w14:paraId="35D476BD" w14:textId="6BD4D935" w:rsidR="006B5CD3" w:rsidRPr="00C70FEC" w:rsidRDefault="006B5CD3" w:rsidP="00B205BA">
      <w:pPr>
        <w:spacing w:after="120" w:line="240" w:lineRule="auto"/>
        <w:rPr>
          <w:rFonts w:cs="Arial"/>
        </w:rPr>
      </w:pPr>
      <w:r w:rsidRPr="00C70FEC">
        <w:rPr>
          <w:rFonts w:cs="Arial"/>
        </w:rPr>
        <w:t>Contexto nacional</w:t>
      </w:r>
      <w:r w:rsidR="00261A27" w:rsidRPr="00C70FEC">
        <w:rPr>
          <w:rFonts w:cs="Arial"/>
        </w:rPr>
        <w:t>.</w:t>
      </w:r>
    </w:p>
    <w:p w14:paraId="32DC069B" w14:textId="77777777" w:rsidR="006B5CD3" w:rsidRPr="00516DB0" w:rsidRDefault="006B5CD3" w:rsidP="00B205BA">
      <w:pPr>
        <w:spacing w:after="120" w:line="240" w:lineRule="auto"/>
        <w:rPr>
          <w:rFonts w:cs="Arial"/>
        </w:rPr>
      </w:pPr>
      <w:r w:rsidRPr="00516DB0">
        <w:rPr>
          <w:rFonts w:cs="Arial"/>
        </w:rPr>
        <w:t xml:space="preserve">El Banco Mundial ubica a México entre las quince economías más grandes del mundo y la segunda en América Latina. Sin embargo, durante las últimas tres décadas, México ha mostrado un desempeño inferior al esperado en términos de crecimiento, inclusión y reducción de la pobreza en comparación con países similares. </w:t>
      </w:r>
    </w:p>
    <w:p w14:paraId="3DF628E6" w14:textId="77777777" w:rsidR="006B5CD3" w:rsidRPr="00516DB0" w:rsidRDefault="006B5CD3" w:rsidP="00B205BA">
      <w:pPr>
        <w:spacing w:after="120" w:line="240" w:lineRule="auto"/>
        <w:rPr>
          <w:rFonts w:cs="Arial"/>
        </w:rPr>
      </w:pPr>
      <w:r w:rsidRPr="00516DB0">
        <w:rPr>
          <w:rFonts w:cs="Arial"/>
        </w:rPr>
        <w:t>En 2023, el crecimiento fue de 3.2 %, mientras que en la primera mitad de 2024 creció 1.8 %, una moderación tras el impulso económico postpandemia</w:t>
      </w:r>
      <w:r w:rsidRPr="00516DB0">
        <w:rPr>
          <w:rStyle w:val="Refdenotaalpie"/>
          <w:rFonts w:cs="Arial"/>
        </w:rPr>
        <w:footnoteReference w:id="6"/>
      </w:r>
      <w:r w:rsidRPr="00516DB0">
        <w:rPr>
          <w:rFonts w:cs="Arial"/>
        </w:rPr>
        <w:t xml:space="preserve">. Estimaciones de </w:t>
      </w:r>
      <w:r w:rsidRPr="00516DB0">
        <w:rPr>
          <w:rFonts w:cs="Arial"/>
        </w:rPr>
        <w:lastRenderedPageBreak/>
        <w:t>especialistas independientes anotan que la economía nacional se encuentra 6.6 % por arriba de su nivel previo a la pandemia (cuarto trimestre de 2019)</w:t>
      </w:r>
      <w:r w:rsidRPr="00516DB0">
        <w:rPr>
          <w:rStyle w:val="Refdenotaalpie"/>
          <w:rFonts w:cs="Arial"/>
        </w:rPr>
        <w:footnoteReference w:id="7"/>
      </w:r>
      <w:r w:rsidRPr="00516DB0">
        <w:rPr>
          <w:rFonts w:cs="Arial"/>
        </w:rPr>
        <w:t>.</w:t>
      </w:r>
    </w:p>
    <w:p w14:paraId="278BC910" w14:textId="77777777" w:rsidR="006B5CD3" w:rsidRPr="00516DB0" w:rsidRDefault="006B5CD3" w:rsidP="00B205BA">
      <w:pPr>
        <w:spacing w:after="120" w:line="240" w:lineRule="auto"/>
        <w:rPr>
          <w:rFonts w:cs="Arial"/>
        </w:rPr>
      </w:pPr>
      <w:r w:rsidRPr="00516DB0">
        <w:rPr>
          <w:rFonts w:cs="Arial"/>
        </w:rPr>
        <w:t>No obstante, es significativo el hecho de que la pobreza multidimensional oficial se redujo, de 43.9 % en 2020, a 36.3 % en 2022, lo que equivale a sacar de la pobreza a 8.8 millones de personas en ese lapso, aunque persisten retos en el acceso a servicios de salud y educación</w:t>
      </w:r>
      <w:r w:rsidRPr="00516DB0">
        <w:rPr>
          <w:rStyle w:val="Refdenotaalpie"/>
          <w:rFonts w:cs="Arial"/>
        </w:rPr>
        <w:footnoteReference w:id="8"/>
      </w:r>
      <w:r w:rsidRPr="00516DB0">
        <w:rPr>
          <w:rFonts w:cs="Arial"/>
        </w:rPr>
        <w:t>.</w:t>
      </w:r>
    </w:p>
    <w:p w14:paraId="38AD258F" w14:textId="77777777" w:rsidR="006B5CD3" w:rsidRPr="00516DB0" w:rsidRDefault="006B5CD3" w:rsidP="00B205BA">
      <w:pPr>
        <w:spacing w:after="120" w:line="240" w:lineRule="auto"/>
        <w:rPr>
          <w:rFonts w:cs="Arial"/>
        </w:rPr>
      </w:pPr>
      <w:r w:rsidRPr="00516DB0">
        <w:rPr>
          <w:rFonts w:cs="Arial"/>
        </w:rPr>
        <w:t>Desde la óptica del Banco Mundial, para acelerar un crecimiento sostenible y reducir la pobreza en el mediano plazo en México es crucial abordar algunas de sus limitaciones estructurales, como el acceso restringido a financiamiento, la inseguridad, la informalidad, las cargas regulatorias y los cuellos de botella en infraestructura. Superar estos retos es clave para aprovechar al máximo las oportunidades que la relocalización de cadenas de suministro (</w:t>
      </w:r>
      <w:r w:rsidRPr="00516DB0">
        <w:rPr>
          <w:rFonts w:cs="Arial"/>
          <w:i/>
          <w:iCs/>
        </w:rPr>
        <w:t>nearshoring</w:t>
      </w:r>
      <w:r w:rsidRPr="00516DB0">
        <w:rPr>
          <w:rFonts w:cs="Arial"/>
        </w:rPr>
        <w:t xml:space="preserve">) ofrece en el contexto internacional actual.  </w:t>
      </w:r>
    </w:p>
    <w:p w14:paraId="6586A202" w14:textId="77777777" w:rsidR="006B5CD3" w:rsidRPr="00516DB0" w:rsidRDefault="006B5CD3" w:rsidP="00B205BA">
      <w:pPr>
        <w:spacing w:after="120" w:line="240" w:lineRule="auto"/>
        <w:rPr>
          <w:rFonts w:cs="Arial"/>
        </w:rPr>
      </w:pPr>
      <w:r w:rsidRPr="00516DB0">
        <w:rPr>
          <w:rFonts w:cs="Arial"/>
        </w:rPr>
        <w:t xml:space="preserve">Por otra parte, de acuerdo con los </w:t>
      </w:r>
      <w:r w:rsidRPr="00516DB0">
        <w:rPr>
          <w:rFonts w:cs="Arial"/>
          <w:i/>
          <w:iCs/>
        </w:rPr>
        <w:t>Pre-Criterios Generales de Política Económica 2025</w:t>
      </w:r>
      <w:r w:rsidRPr="00516DB0">
        <w:rPr>
          <w:rStyle w:val="Refdenotaalpie"/>
          <w:rFonts w:cs="Arial"/>
          <w:i/>
          <w:iCs/>
        </w:rPr>
        <w:footnoteReference w:id="9"/>
      </w:r>
      <w:r w:rsidRPr="00516DB0">
        <w:rPr>
          <w:rFonts w:cs="Arial"/>
        </w:rPr>
        <w:t xml:space="preserve"> publicados por la Secretaría de Hacienda y Crédito Público, la administración federal implementará distintas medidas de política económica para potenciar el crecimiento del país a través del fortalecimiento del mercado interno, la reducción de la desigualdad del ingreso entre la población y entre las regiones, así como la promoción de México como destino atractivo para la inversión.</w:t>
      </w:r>
    </w:p>
    <w:p w14:paraId="05AB73AA" w14:textId="1D81076B" w:rsidR="00A033CE" w:rsidRDefault="006B5CD3" w:rsidP="00B205BA">
      <w:pPr>
        <w:spacing w:after="120" w:line="240" w:lineRule="auto"/>
        <w:rPr>
          <w:rFonts w:cs="Arial"/>
        </w:rPr>
      </w:pPr>
      <w:r w:rsidRPr="00516DB0">
        <w:rPr>
          <w:rFonts w:cs="Arial"/>
        </w:rPr>
        <w:t>Según estos criterios, las finanzas públicas se mantendrán sanas. La tasa de crecimiento para 2025 se estima en un rango de 2.0 y 3.0 %, considerando un crecimiento sostenido de la demanda interna. Se prevé un escenario de consolidación fiscal con un balance primario positivo, y un nivel estable de la deuda pública como porcentaje del Producto Interno Bruto (PIB).</w:t>
      </w:r>
    </w:p>
    <w:p w14:paraId="05E33A3F" w14:textId="59B40FF4" w:rsidR="00070D83" w:rsidRPr="00C32544" w:rsidRDefault="006B5CD3" w:rsidP="00B205BA">
      <w:pPr>
        <w:spacing w:after="120" w:line="240" w:lineRule="auto"/>
        <w:rPr>
          <w:rFonts w:cs="Arial"/>
          <w:b/>
          <w:bCs/>
        </w:rPr>
      </w:pPr>
      <w:r w:rsidRPr="00C32544">
        <w:rPr>
          <w:rFonts w:cs="Arial"/>
          <w:b/>
          <w:bCs/>
        </w:rPr>
        <w:t>Desarrollo human</w:t>
      </w:r>
      <w:r w:rsidR="00070D83" w:rsidRPr="00C32544">
        <w:rPr>
          <w:rFonts w:cs="Arial"/>
          <w:b/>
          <w:bCs/>
        </w:rPr>
        <w:t>o</w:t>
      </w:r>
      <w:r w:rsidR="00261A27" w:rsidRPr="00C32544">
        <w:rPr>
          <w:rFonts w:cs="Arial"/>
          <w:b/>
          <w:bCs/>
        </w:rPr>
        <w:t>.</w:t>
      </w:r>
    </w:p>
    <w:p w14:paraId="6E0B69FA" w14:textId="7B1F96A5" w:rsidR="006B5CD3" w:rsidRPr="00516DB0" w:rsidRDefault="006B5CD3" w:rsidP="00B205BA">
      <w:pPr>
        <w:spacing w:after="120" w:line="240" w:lineRule="auto"/>
        <w:rPr>
          <w:rFonts w:cs="Arial"/>
        </w:rPr>
      </w:pPr>
      <w:r w:rsidRPr="00516DB0">
        <w:rPr>
          <w:rFonts w:cs="Arial"/>
        </w:rPr>
        <w:t>El Índice de Desarrollo Humano (IDH) de México en 2022 fue de 0.781, lo que lo ubicó en el puesto 77 del ranking mundial de desarrollo humano, en la categoría de desarrollo humano alto. Esto supone una mejora respecto a 2021, año en que se situó en 0.758</w:t>
      </w:r>
      <w:r w:rsidRPr="00516DB0">
        <w:rPr>
          <w:rStyle w:val="Refdenotaalpie"/>
          <w:rFonts w:cs="Arial"/>
        </w:rPr>
        <w:footnoteReference w:id="10"/>
      </w:r>
      <w:r w:rsidRPr="00516DB0">
        <w:rPr>
          <w:rFonts w:cs="Arial"/>
        </w:rPr>
        <w:t>.</w:t>
      </w:r>
    </w:p>
    <w:p w14:paraId="46ED914F" w14:textId="6ABFC34B" w:rsidR="006B5CD3" w:rsidRPr="00516DB0" w:rsidRDefault="006B5CD3" w:rsidP="00B205BA">
      <w:pPr>
        <w:spacing w:after="120" w:line="240" w:lineRule="auto"/>
        <w:rPr>
          <w:rFonts w:cs="Arial"/>
          <w:b/>
          <w:bCs/>
        </w:rPr>
      </w:pPr>
      <w:r w:rsidRPr="00516DB0">
        <w:rPr>
          <w:rFonts w:cs="Arial"/>
          <w:b/>
          <w:bCs/>
        </w:rPr>
        <w:t>Contexto estatal</w:t>
      </w:r>
      <w:r w:rsidR="00261A27">
        <w:rPr>
          <w:rFonts w:cs="Arial"/>
          <w:b/>
          <w:bCs/>
        </w:rPr>
        <w:t>.</w:t>
      </w:r>
    </w:p>
    <w:p w14:paraId="22EC5659" w14:textId="77777777" w:rsidR="006B5CD3" w:rsidRPr="00516DB0" w:rsidRDefault="006B5CD3" w:rsidP="00B205BA">
      <w:pPr>
        <w:spacing w:after="120" w:line="240" w:lineRule="auto"/>
        <w:rPr>
          <w:rFonts w:cs="Arial"/>
        </w:rPr>
      </w:pPr>
      <w:r w:rsidRPr="00516DB0">
        <w:rPr>
          <w:rFonts w:cs="Arial"/>
        </w:rPr>
        <w:t>En lo que toca al estado de Sonora, la economía muestra un desempeño general positivo. La pandemia de COVID-19 tuvo un impacto negativo significativo en la economía estatal, con una fuerte contracción en el segundo trimestre de 2020. Sin embargo, el estado registró una recuperación sólida en 2021, especialmente en el segundo trimestre.</w:t>
      </w:r>
    </w:p>
    <w:p w14:paraId="5FB95538" w14:textId="77777777" w:rsidR="006B5CD3" w:rsidRPr="00516DB0" w:rsidRDefault="006B5CD3" w:rsidP="00B205BA">
      <w:pPr>
        <w:spacing w:after="120" w:line="240" w:lineRule="auto"/>
        <w:rPr>
          <w:rFonts w:cs="Arial"/>
        </w:rPr>
      </w:pPr>
      <w:r w:rsidRPr="00516DB0">
        <w:rPr>
          <w:rFonts w:cs="Arial"/>
        </w:rPr>
        <w:lastRenderedPageBreak/>
        <w:t>El Indicador Trimestral de la Actividad Económica Estatal, publicado por el Instituto Nacional de Estadística y Geografía (INEGI), registró en 2022 un crecimiento positivo en cada trimestre, signo de recuperación y reactivación económica en Sonora. Durante el primer trimestre de 2023, continuó este crecimiento sólido, con un aumento de 2.55 %, y en el segundo trimestre de ese año se mantuvo una tasa de crecimiento positiva de 3.64 % y se estima que, si la economía global se estabiliza, y los conflictos comerciales y tasas de interés se mantienen bajo control, Sonora podría acumular un crecimiento de 2.8 % en 2024.</w:t>
      </w:r>
      <w:r w:rsidRPr="00516DB0">
        <w:rPr>
          <w:rStyle w:val="Refdenotaalpie"/>
          <w:rFonts w:cs="Arial"/>
        </w:rPr>
        <w:footnoteReference w:id="11"/>
      </w:r>
      <w:r w:rsidRPr="00516DB0">
        <w:rPr>
          <w:rFonts w:cs="Arial"/>
        </w:rPr>
        <w:t xml:space="preserve"> Para el segundo trimestre de 2024, la economía sonorense registró una tasa anual de crecimiento de 1.6 %</w:t>
      </w:r>
      <w:r w:rsidRPr="00516DB0">
        <w:rPr>
          <w:rStyle w:val="Refdenotaalpie"/>
          <w:rFonts w:cs="Arial"/>
        </w:rPr>
        <w:footnoteReference w:id="12"/>
      </w:r>
      <w:r w:rsidRPr="00516DB0">
        <w:rPr>
          <w:rFonts w:cs="Arial"/>
        </w:rPr>
        <w:t>.</w:t>
      </w:r>
    </w:p>
    <w:p w14:paraId="64072AB8" w14:textId="77777777" w:rsidR="006B5CD3" w:rsidRPr="00516DB0" w:rsidRDefault="006B5CD3" w:rsidP="00B205BA">
      <w:pPr>
        <w:spacing w:after="120" w:line="240" w:lineRule="auto"/>
        <w:rPr>
          <w:rFonts w:cs="Arial"/>
        </w:rPr>
      </w:pPr>
      <w:r w:rsidRPr="00516DB0">
        <w:rPr>
          <w:rFonts w:cs="Arial"/>
        </w:rPr>
        <w:t>Al observar los datos del crecimiento promedio en los últimos cinco años, encontramos que el estado de Sonora se ubica entre los diez estados con mejor desempeño, al mostrar un crecimiento promedio anual de 1.31 % en ese período</w:t>
      </w:r>
      <w:r w:rsidRPr="00516DB0">
        <w:rPr>
          <w:rStyle w:val="Refdenotaalpie"/>
          <w:rFonts w:cs="Arial"/>
        </w:rPr>
        <w:footnoteReference w:id="13"/>
      </w:r>
      <w:r w:rsidRPr="00516DB0">
        <w:rPr>
          <w:rFonts w:cs="Arial"/>
        </w:rPr>
        <w:t>. En lo laboral, al segundo trimestre de 2024, la población económicamente activa de Sonora fue de 1.48 millones de personas, con una tasa de desempleo de 3.62 % , lo que evidencia una sensible recuperación postpandemia, no obstante la tasa de informalidad laboral de 42.5 %</w:t>
      </w:r>
      <w:r w:rsidRPr="00516DB0">
        <w:rPr>
          <w:rStyle w:val="Refdenotaalpie"/>
          <w:rFonts w:cs="Arial"/>
        </w:rPr>
        <w:footnoteReference w:id="14"/>
      </w:r>
      <w:r w:rsidRPr="00516DB0">
        <w:rPr>
          <w:rFonts w:cs="Arial"/>
        </w:rPr>
        <w:t>.</w:t>
      </w:r>
    </w:p>
    <w:p w14:paraId="01FECBD6" w14:textId="77777777" w:rsidR="006B5CD3" w:rsidRPr="00516DB0" w:rsidRDefault="006B5CD3" w:rsidP="00B205BA">
      <w:pPr>
        <w:spacing w:after="120" w:line="240" w:lineRule="auto"/>
        <w:rPr>
          <w:rFonts w:cs="Arial"/>
        </w:rPr>
      </w:pPr>
      <w:r w:rsidRPr="00516DB0">
        <w:rPr>
          <w:rFonts w:cs="Arial"/>
        </w:rPr>
        <w:t>Otro rasgo positivo es que, de acuerdo con datos del Poder Ejecutivo del Estado, en el segundo trimestre de 2024, Sonora creció 15.10 % en materia de exportación, lo que posicionó al estado como líder en exportaciones en la frontera norte de México en ese momento. En los últimos tres años, las exportaciones de Sonora crecieron casi 40 %, pasando de 5600 millones de dólares en 2021 a 7840 millones en 2024</w:t>
      </w:r>
      <w:r w:rsidRPr="00516DB0">
        <w:rPr>
          <w:rStyle w:val="Refdenotaalpie"/>
          <w:rFonts w:cs="Arial"/>
        </w:rPr>
        <w:footnoteReference w:id="15"/>
      </w:r>
      <w:r w:rsidRPr="00516DB0">
        <w:rPr>
          <w:rFonts w:cs="Arial"/>
        </w:rPr>
        <w:t>.</w:t>
      </w:r>
    </w:p>
    <w:p w14:paraId="26DE6EF1" w14:textId="01DF2323" w:rsidR="006B5CD3" w:rsidRPr="00C32544" w:rsidRDefault="006B5CD3" w:rsidP="00B205BA">
      <w:pPr>
        <w:spacing w:after="120" w:line="240" w:lineRule="auto"/>
        <w:rPr>
          <w:rFonts w:cs="Arial"/>
          <w:b/>
          <w:bCs/>
        </w:rPr>
      </w:pPr>
      <w:r w:rsidRPr="00C32544">
        <w:rPr>
          <w:rFonts w:cs="Arial"/>
          <w:b/>
          <w:bCs/>
        </w:rPr>
        <w:t>Desafíos</w:t>
      </w:r>
      <w:r w:rsidR="00261A27" w:rsidRPr="00C32544">
        <w:rPr>
          <w:rFonts w:cs="Arial"/>
          <w:b/>
          <w:bCs/>
        </w:rPr>
        <w:t>.</w:t>
      </w:r>
    </w:p>
    <w:p w14:paraId="3E52CEBF" w14:textId="77777777" w:rsidR="006B5CD3" w:rsidRPr="00516DB0" w:rsidRDefault="006B5CD3" w:rsidP="00B205BA">
      <w:pPr>
        <w:spacing w:after="120" w:line="240" w:lineRule="auto"/>
        <w:rPr>
          <w:rFonts w:cs="Arial"/>
        </w:rPr>
      </w:pPr>
      <w:r w:rsidRPr="00516DB0">
        <w:rPr>
          <w:rFonts w:cs="Arial"/>
        </w:rPr>
        <w:t>Desde otra perspectiva, la economía sonorense enfrenta diversos desafíos que podrían influir en su desarrollo sostenible. Entre ellos, están la inseguridad pública, que, no obstante el esfuerzo gubernamental en esta materia, es una de las principales preocupaciones del sector empresarial;  la escasez de agua y los efectos del cambio climático, que impactan negativamente la agricultura y la ganadería, sectores clave en la economía estatal, así como la ausencia de apoyos adecuados para los productores agrícolas, especialmente en cultivos como trigo y maíz, lo que dificulta la sostenibilidad y competitividad de este sector productivo.</w:t>
      </w:r>
    </w:p>
    <w:p w14:paraId="09D252E7" w14:textId="77777777" w:rsidR="006B5CD3" w:rsidRPr="00516DB0" w:rsidRDefault="006B5CD3" w:rsidP="00B205BA">
      <w:pPr>
        <w:spacing w:after="120" w:line="240" w:lineRule="auto"/>
        <w:rPr>
          <w:rFonts w:cs="Arial"/>
        </w:rPr>
      </w:pPr>
      <w:r w:rsidRPr="00516DB0">
        <w:rPr>
          <w:rFonts w:cs="Arial"/>
        </w:rPr>
        <w:lastRenderedPageBreak/>
        <w:t>También, el alto costo de la energía eléctrica, que representa un desafío para la competitividad de las empresas locales y afectan la economía familiar; la desigualdad económica, reflejada en los niveles de desempleo e informalidad laboral, que limitan el potencial de crecimiento económico general, y la dependencia de la economía de Estados Unidos: una desaceleración económica en el país vecino afectaría negativamente la demanda de productos sonorenses, y, con ello, el crecimiento económico del estado.</w:t>
      </w:r>
    </w:p>
    <w:p w14:paraId="64C30F67" w14:textId="68539D20" w:rsidR="006B5CD3" w:rsidRPr="00C32544" w:rsidRDefault="006B5CD3" w:rsidP="00B205BA">
      <w:pPr>
        <w:spacing w:after="120" w:line="240" w:lineRule="auto"/>
        <w:rPr>
          <w:rFonts w:cs="Arial"/>
          <w:b/>
          <w:bCs/>
        </w:rPr>
      </w:pPr>
      <w:r w:rsidRPr="00C32544">
        <w:rPr>
          <w:rFonts w:cs="Arial"/>
          <w:b/>
          <w:bCs/>
        </w:rPr>
        <w:t>Oportunidades</w:t>
      </w:r>
      <w:r w:rsidR="00261A27" w:rsidRPr="00C32544">
        <w:rPr>
          <w:rFonts w:cs="Arial"/>
          <w:b/>
          <w:bCs/>
        </w:rPr>
        <w:t>.</w:t>
      </w:r>
    </w:p>
    <w:p w14:paraId="2A32D80F" w14:textId="77777777" w:rsidR="006B5CD3" w:rsidRPr="00516DB0" w:rsidRDefault="006B5CD3" w:rsidP="00B205BA">
      <w:pPr>
        <w:spacing w:after="120" w:line="240" w:lineRule="auto"/>
        <w:rPr>
          <w:rFonts w:cs="Arial"/>
        </w:rPr>
      </w:pPr>
      <w:r w:rsidRPr="00516DB0">
        <w:rPr>
          <w:rFonts w:cs="Arial"/>
        </w:rPr>
        <w:t xml:space="preserve">Por el lado de las oportunidades, la economía de Sonora en 2024 presenta diversas oportunidades y fortalezas que pueden apuntalar un desarrollo positivo en los próximos años. </w:t>
      </w:r>
    </w:p>
    <w:p w14:paraId="7B9771AA" w14:textId="77777777" w:rsidR="006B5CD3" w:rsidRPr="00516DB0" w:rsidRDefault="006B5CD3" w:rsidP="00B205BA">
      <w:pPr>
        <w:spacing w:after="120" w:line="240" w:lineRule="auto"/>
        <w:rPr>
          <w:rFonts w:cs="Arial"/>
        </w:rPr>
      </w:pPr>
      <w:r w:rsidRPr="00516DB0">
        <w:rPr>
          <w:rFonts w:cs="Arial"/>
        </w:rPr>
        <w:t>Entre estas, está el Plan Sonora de Energías Sostenibles</w:t>
      </w:r>
      <w:r w:rsidRPr="00516DB0">
        <w:rPr>
          <w:rStyle w:val="Refdenotaalpie"/>
          <w:rFonts w:cs="Arial"/>
        </w:rPr>
        <w:footnoteReference w:id="16"/>
      </w:r>
      <w:r w:rsidRPr="00516DB0">
        <w:rPr>
          <w:rFonts w:cs="Arial"/>
        </w:rPr>
        <w:t>, catalogado como una de las estrategias más ambiciosas de desarrollo industrial en México. Posiciona al estado como líder en la generación de energías limpias y atrae inversiones significativas en proyectos de energía solar y otras fuentes renovables.</w:t>
      </w:r>
    </w:p>
    <w:p w14:paraId="7BF08C20" w14:textId="77777777" w:rsidR="006B5CD3" w:rsidRPr="00516DB0" w:rsidRDefault="006B5CD3" w:rsidP="00B205BA">
      <w:pPr>
        <w:spacing w:after="120" w:line="240" w:lineRule="auto"/>
        <w:rPr>
          <w:rFonts w:cs="Arial"/>
        </w:rPr>
      </w:pPr>
      <w:r w:rsidRPr="00516DB0">
        <w:rPr>
          <w:rFonts w:cs="Arial"/>
        </w:rPr>
        <w:t>Nearshoring y relocalización industrial</w:t>
      </w:r>
      <w:r w:rsidRPr="00516DB0">
        <w:rPr>
          <w:rStyle w:val="Refdenotaalpie"/>
          <w:rFonts w:cs="Arial"/>
        </w:rPr>
        <w:footnoteReference w:id="17"/>
      </w:r>
      <w:r w:rsidRPr="00516DB0">
        <w:rPr>
          <w:rFonts w:cs="Arial"/>
        </w:rPr>
        <w:t>, estrategia para el desarrollo mediante el aprovechamiento de las oportunidades que brinda la relocalización de inversiones; una tendencia global que ha beneficiado a Sonora, al atraer empresas que buscan estar más cerca del mercado estadounidense.</w:t>
      </w:r>
    </w:p>
    <w:p w14:paraId="563CB41D" w14:textId="77777777" w:rsidR="006B5CD3" w:rsidRPr="00516DB0" w:rsidRDefault="006B5CD3" w:rsidP="00B205BA">
      <w:pPr>
        <w:spacing w:after="120" w:line="240" w:lineRule="auto"/>
        <w:rPr>
          <w:rFonts w:cs="Arial"/>
        </w:rPr>
      </w:pPr>
      <w:r w:rsidRPr="00516DB0">
        <w:rPr>
          <w:rFonts w:cs="Arial"/>
        </w:rPr>
        <w:t>Desarrollo de infraestructura estratégica, con proyectos como la planta de gas licuado en Puerto Libertad</w:t>
      </w:r>
      <w:r w:rsidRPr="00516DB0">
        <w:rPr>
          <w:rStyle w:val="Refdenotaalpie"/>
          <w:rFonts w:cs="Arial"/>
        </w:rPr>
        <w:footnoteReference w:id="18"/>
      </w:r>
      <w:r w:rsidRPr="00516DB0">
        <w:rPr>
          <w:rFonts w:cs="Arial"/>
        </w:rPr>
        <w:t>, que representan oportunidades para fortalecer la infraestructura energética y logística del estado, y potenciar así su competitividad.</w:t>
      </w:r>
    </w:p>
    <w:p w14:paraId="71D6AC8D" w14:textId="77777777" w:rsidR="006B5CD3" w:rsidRPr="00516DB0" w:rsidRDefault="006B5CD3" w:rsidP="00B205BA">
      <w:pPr>
        <w:spacing w:after="120" w:line="240" w:lineRule="auto"/>
        <w:rPr>
          <w:rFonts w:cs="Arial"/>
        </w:rPr>
      </w:pPr>
      <w:r w:rsidRPr="00516DB0">
        <w:rPr>
          <w:rFonts w:cs="Arial"/>
        </w:rPr>
        <w:t>A todo lo anterior, se suman los esfuerzos por diversificar la economía estatal hacia sectores como la manufactura avanzada y la tecnología, así como el fortalecimiento de las cadenas de suministro, facilitando la integración de empresas locales en procesos productivos de mayor valor agregado, lo que incrementa la competitividad y la generación de empleos de calidad.</w:t>
      </w:r>
    </w:p>
    <w:p w14:paraId="3F3ACE0B" w14:textId="629A9EA9" w:rsidR="006B5CD3" w:rsidRPr="00985D4F" w:rsidRDefault="006B5CD3" w:rsidP="00B205BA">
      <w:pPr>
        <w:spacing w:after="120" w:line="240" w:lineRule="auto"/>
        <w:rPr>
          <w:rFonts w:cs="Arial"/>
        </w:rPr>
      </w:pPr>
      <w:r w:rsidRPr="00516DB0">
        <w:rPr>
          <w:rFonts w:cs="Arial"/>
        </w:rPr>
        <w:t>Estas oportunidades posicionan a Sonora como un estado con un panorama económico prometedor para los próximos años, considerando que continúen las políticas de fomento a la inversión, la innovación y el desarrollo sostenible.</w:t>
      </w:r>
    </w:p>
    <w:p w14:paraId="375FEE09" w14:textId="379012F9" w:rsidR="006B5CD3" w:rsidRPr="00516DB0" w:rsidRDefault="006B5CD3" w:rsidP="00B205BA">
      <w:pPr>
        <w:spacing w:after="120" w:line="240" w:lineRule="auto"/>
        <w:rPr>
          <w:rFonts w:cs="Arial"/>
          <w:b/>
          <w:bCs/>
        </w:rPr>
      </w:pPr>
      <w:r w:rsidRPr="00516DB0">
        <w:rPr>
          <w:rFonts w:cs="Arial"/>
          <w:b/>
          <w:bCs/>
        </w:rPr>
        <w:t>Contexto municipal</w:t>
      </w:r>
      <w:r w:rsidR="00261A27">
        <w:rPr>
          <w:rFonts w:cs="Arial"/>
          <w:b/>
          <w:bCs/>
        </w:rPr>
        <w:t>.</w:t>
      </w:r>
    </w:p>
    <w:p w14:paraId="763BA73B" w14:textId="77777777" w:rsidR="006B5CD3" w:rsidRPr="00516DB0" w:rsidRDefault="006B5CD3" w:rsidP="00B205BA">
      <w:pPr>
        <w:spacing w:after="120" w:line="240" w:lineRule="auto"/>
        <w:rPr>
          <w:rFonts w:cs="Arial"/>
        </w:rPr>
      </w:pPr>
      <w:r w:rsidRPr="00516DB0">
        <w:rPr>
          <w:rFonts w:cs="Arial"/>
        </w:rPr>
        <w:t xml:space="preserve">Hermosillo, capital del estado de Sonora, es una ciudad moderna, con una población cercana al millón de habitantes y una población económicamente activa de más de 433 000 personas. Las principales actividades económicas de la ciudad son la industria (automotriz y autopartes, aeroespacial, tecnologías de la información y energías renovables), el sector servicios, incluyendo comercio, educación y salud; también la agricultura, la ganadería, la minería y la pesca. </w:t>
      </w:r>
    </w:p>
    <w:p w14:paraId="698B8C13" w14:textId="77777777" w:rsidR="006B5CD3" w:rsidRPr="00516DB0" w:rsidRDefault="006B5CD3" w:rsidP="00B205BA">
      <w:pPr>
        <w:spacing w:after="120" w:line="240" w:lineRule="auto"/>
        <w:rPr>
          <w:rFonts w:cs="Arial"/>
        </w:rPr>
      </w:pPr>
      <w:r w:rsidRPr="00516DB0">
        <w:rPr>
          <w:rFonts w:cs="Arial"/>
        </w:rPr>
        <w:lastRenderedPageBreak/>
        <w:t>Gracias a su economía diversificada, Hermosillo es epicentro de actividades económicas en varios sectores estratégicos, lo que la posiciona actualmente como un centro económico clave en la región noroeste de México. Localizado a 270 kilómetros de la frontera con el estado de Arizona, el municipio cuenta con conectividad aérea, ferroviaria, marítima y terrestre con Estados Unidos. Su cercanía con la ciudad y puerto de Guaymas (135 kilómetros) también representa una ventaja competitiva en la cadena logística para el movimiento de todo tipo de productos y mercancías hacia y desde el exterior.</w:t>
      </w:r>
    </w:p>
    <w:p w14:paraId="2989A8AB" w14:textId="77777777" w:rsidR="006B5CD3" w:rsidRPr="00516DB0" w:rsidRDefault="006B5CD3" w:rsidP="00B205BA">
      <w:pPr>
        <w:spacing w:after="120" w:line="240" w:lineRule="auto"/>
        <w:rPr>
          <w:rFonts w:cs="Arial"/>
        </w:rPr>
      </w:pPr>
      <w:r w:rsidRPr="00516DB0">
        <w:rPr>
          <w:rFonts w:cs="Arial"/>
        </w:rPr>
        <w:t xml:space="preserve">Hermosillo está en una posición privilegiada en lo que a oportunidades de desarrollo económico se refiere, sobre todo si se aprovecha la tendencia actual de reubicación de empresas que buscan instalarse cerca de Estados Unidos, en lo que se conoce como </w:t>
      </w:r>
      <w:r w:rsidRPr="00516DB0">
        <w:rPr>
          <w:rFonts w:cs="Arial"/>
          <w:i/>
          <w:iCs/>
        </w:rPr>
        <w:t>nearshoring</w:t>
      </w:r>
      <w:r w:rsidRPr="00516DB0">
        <w:rPr>
          <w:rStyle w:val="Refdenotaalpie"/>
          <w:rFonts w:cs="Arial"/>
          <w:i/>
          <w:iCs/>
        </w:rPr>
        <w:footnoteReference w:id="19"/>
      </w:r>
      <w:r w:rsidRPr="00516DB0">
        <w:rPr>
          <w:rFonts w:cs="Arial"/>
        </w:rPr>
        <w:t xml:space="preserve">. </w:t>
      </w:r>
    </w:p>
    <w:p w14:paraId="211873F3" w14:textId="77777777" w:rsidR="006B5CD3" w:rsidRPr="00516DB0" w:rsidRDefault="006B5CD3" w:rsidP="00B205BA">
      <w:pPr>
        <w:spacing w:after="120" w:line="240" w:lineRule="auto"/>
        <w:rPr>
          <w:rFonts w:cs="Arial"/>
        </w:rPr>
      </w:pPr>
      <w:r w:rsidRPr="00516DB0">
        <w:rPr>
          <w:rFonts w:cs="Arial"/>
        </w:rPr>
        <w:t xml:space="preserve">La cercanía de la capital del estado de Sonora con la ciudad de Phoenix, Arizona, es una valiosa ventaja, dada la categoría de </w:t>
      </w:r>
      <w:r w:rsidRPr="00516DB0">
        <w:rPr>
          <w:rFonts w:cs="Arial"/>
          <w:i/>
          <w:iCs/>
        </w:rPr>
        <w:t>hub</w:t>
      </w:r>
      <w:r w:rsidRPr="00516DB0">
        <w:rPr>
          <w:rFonts w:cs="Arial"/>
        </w:rPr>
        <w:t xml:space="preserve"> (centro de operaciones) logístico estratégico de categoría mundial de la capital arizonense. </w:t>
      </w:r>
    </w:p>
    <w:p w14:paraId="42250439" w14:textId="77777777" w:rsidR="006B5CD3" w:rsidRPr="00516DB0" w:rsidRDefault="006B5CD3" w:rsidP="00B205BA">
      <w:pPr>
        <w:spacing w:after="120" w:line="240" w:lineRule="auto"/>
        <w:rPr>
          <w:rFonts w:cs="Arial"/>
        </w:rPr>
      </w:pPr>
      <w:r w:rsidRPr="00516DB0">
        <w:rPr>
          <w:rFonts w:cs="Arial"/>
        </w:rPr>
        <w:t>Además, Hermosillo cuenta con una infraestructura logística y de telecomunicaciones de primer nivel, recurso humano productivo y altamente calificado, universidades públicas y privadas de gran prestigio, con una oferta educativa de calidad y en constante desarrollo, así como centros de investigación y desarrollo que impulsan nuevos avances y oportunidades de crecimiento.</w:t>
      </w:r>
    </w:p>
    <w:p w14:paraId="211FDB78" w14:textId="77777777" w:rsidR="006B5CD3" w:rsidRPr="00516DB0" w:rsidRDefault="006B5CD3" w:rsidP="00B205BA">
      <w:pPr>
        <w:spacing w:after="120" w:line="240" w:lineRule="auto"/>
        <w:rPr>
          <w:rFonts w:cs="Arial"/>
        </w:rPr>
      </w:pPr>
      <w:r w:rsidRPr="00516DB0">
        <w:rPr>
          <w:rFonts w:cs="Arial"/>
        </w:rPr>
        <w:t>Según los resultados de los Censos Económicos 2019, realizados por el INEGI en Sonora, el estado ocupó el octavo lugar del valor agregado censal bruto con respecto al nacional, con 325 240 millones de pesos. Hermosillo fue el municipio que concentró la mayor participación al resultado estatal, con 36.4 %</w:t>
      </w:r>
      <w:r w:rsidRPr="00516DB0">
        <w:rPr>
          <w:rStyle w:val="Refdenotaalpie"/>
          <w:rFonts w:cs="Arial"/>
        </w:rPr>
        <w:footnoteReference w:id="20"/>
      </w:r>
      <w:r w:rsidRPr="00516DB0">
        <w:rPr>
          <w:rFonts w:cs="Arial"/>
        </w:rPr>
        <w:t>.</w:t>
      </w:r>
    </w:p>
    <w:p w14:paraId="5E2B67C6" w14:textId="4DFF5B9B" w:rsidR="006B5CD3" w:rsidRPr="00516DB0" w:rsidRDefault="006B5CD3" w:rsidP="00B205BA">
      <w:pPr>
        <w:spacing w:after="120" w:line="240" w:lineRule="auto"/>
        <w:rPr>
          <w:rFonts w:cs="Arial"/>
        </w:rPr>
      </w:pPr>
      <w:r w:rsidRPr="00516DB0">
        <w:rPr>
          <w:rFonts w:cs="Arial"/>
        </w:rPr>
        <w:t>Más recientemente, de acuerdo con el Índice de Competitividad Urbana (ICU) 2023 realizado y publicado por el Instituto Mexicano para la Competitividad (IMCO), Hermosillo se ubicó entre las cuatro ciudades medianas de México calificadas como de alta competitividad</w:t>
      </w:r>
      <w:r w:rsidRPr="00516DB0">
        <w:rPr>
          <w:rStyle w:val="Refdenotaalpie"/>
          <w:rFonts w:cs="Arial"/>
        </w:rPr>
        <w:footnoteReference w:id="21"/>
      </w:r>
      <w:r w:rsidRPr="00516DB0">
        <w:rPr>
          <w:rFonts w:cs="Arial"/>
        </w:rPr>
        <w:t>. Este dato refleja un alto nivel de recuperación económica postpandemia.</w:t>
      </w:r>
    </w:p>
    <w:p w14:paraId="68FE0E3E" w14:textId="77777777" w:rsidR="006B5CD3" w:rsidRPr="00516DB0" w:rsidRDefault="006B5CD3" w:rsidP="00B205BA">
      <w:pPr>
        <w:spacing w:after="120" w:line="240" w:lineRule="auto"/>
        <w:rPr>
          <w:rFonts w:cs="Arial"/>
        </w:rPr>
      </w:pPr>
      <w:r w:rsidRPr="00516DB0">
        <w:rPr>
          <w:rFonts w:cs="Arial"/>
        </w:rPr>
        <w:t xml:space="preserve">En su calidad de capital del estado, la ciudad de Hermosillo enfrenta diversos retos y oportunidades, específicos de su rol administrativo, económico y social como sede del gobierno y principal centro de actividad económica. Si bien cuenta con mayores recursos y población que otros municipios sonorenses, también tiene desafíos únicos relacionados con su crecimiento, con la demanda social de más y mejores servicios y otras muchas responsabilidades. </w:t>
      </w:r>
    </w:p>
    <w:p w14:paraId="75753C75" w14:textId="77777777" w:rsidR="006B5CD3" w:rsidRPr="0076416A" w:rsidRDefault="006B5CD3" w:rsidP="00B205BA">
      <w:pPr>
        <w:spacing w:after="120" w:line="240" w:lineRule="auto"/>
        <w:rPr>
          <w:rFonts w:cs="Arial"/>
        </w:rPr>
      </w:pPr>
      <w:r w:rsidRPr="00516DB0">
        <w:rPr>
          <w:rFonts w:cs="Arial"/>
        </w:rPr>
        <w:t xml:space="preserve">A continuación, se describen algunos de los principales desafíos y oportunidades en </w:t>
      </w:r>
      <w:r w:rsidRPr="0076416A">
        <w:rPr>
          <w:rFonts w:cs="Arial"/>
        </w:rPr>
        <w:t>distintos ámbitos de la gestión del municipio.</w:t>
      </w:r>
    </w:p>
    <w:p w14:paraId="2D9D4FD6" w14:textId="2D34BE6A" w:rsidR="006B5CD3" w:rsidRPr="0076416A" w:rsidRDefault="006B5CD3" w:rsidP="00B205BA">
      <w:pPr>
        <w:spacing w:after="120" w:line="240" w:lineRule="auto"/>
        <w:rPr>
          <w:rFonts w:cs="Arial"/>
        </w:rPr>
      </w:pPr>
      <w:r w:rsidRPr="0076416A">
        <w:rPr>
          <w:rFonts w:cs="Arial"/>
        </w:rPr>
        <w:t>Desafíos</w:t>
      </w:r>
      <w:r w:rsidR="00261A27">
        <w:rPr>
          <w:rFonts w:cs="Arial"/>
        </w:rPr>
        <w:t>.</w:t>
      </w:r>
    </w:p>
    <w:p w14:paraId="070C9DFC" w14:textId="77777777" w:rsidR="006B5CD3" w:rsidRPr="00516DB0" w:rsidRDefault="006B5CD3" w:rsidP="00B205BA">
      <w:pPr>
        <w:pStyle w:val="Prrafodelista"/>
        <w:numPr>
          <w:ilvl w:val="0"/>
          <w:numId w:val="8"/>
        </w:numPr>
        <w:spacing w:after="120" w:line="240" w:lineRule="auto"/>
        <w:ind w:left="284" w:firstLine="0"/>
        <w:contextualSpacing w:val="0"/>
        <w:rPr>
          <w:rFonts w:cs="Arial"/>
        </w:rPr>
      </w:pPr>
      <w:r w:rsidRPr="00516DB0">
        <w:rPr>
          <w:rFonts w:cs="Arial"/>
        </w:rPr>
        <w:t xml:space="preserve">Movilidad y transporte: Hermosillo tiene grandes áreas urbanas expandidas e insuficiente infraestructura para peatones y ciclistas, lo que genera problemas de </w:t>
      </w:r>
      <w:r w:rsidRPr="00516DB0">
        <w:rPr>
          <w:rFonts w:cs="Arial"/>
        </w:rPr>
        <w:lastRenderedPageBreak/>
        <w:t>movilidad. Se requiere mejorar e incrementar la infraestructura y explorar alternativas sostenibles, como el transporte eléctrico.</w:t>
      </w:r>
    </w:p>
    <w:p w14:paraId="0A158CD7" w14:textId="77777777" w:rsidR="006B5CD3" w:rsidRPr="00516DB0" w:rsidRDefault="006B5CD3" w:rsidP="00B205BA">
      <w:pPr>
        <w:pStyle w:val="Prrafodelista"/>
        <w:numPr>
          <w:ilvl w:val="0"/>
          <w:numId w:val="8"/>
        </w:numPr>
        <w:spacing w:after="120" w:line="240" w:lineRule="auto"/>
        <w:ind w:left="284" w:firstLine="0"/>
        <w:contextualSpacing w:val="0"/>
        <w:rPr>
          <w:rFonts w:cs="Arial"/>
        </w:rPr>
      </w:pPr>
      <w:r w:rsidRPr="00516DB0">
        <w:rPr>
          <w:rFonts w:cs="Arial"/>
        </w:rPr>
        <w:t>Seguridad pública: Los altos niveles de violencia y delincuencia urbana afectan la percepción de seguridad en la ciudadanía y el desarrollo económico. Es necesario fortalecer a la institución de seguridad pública y elevar el nivel de profesionalización de la policía municipal.</w:t>
      </w:r>
    </w:p>
    <w:p w14:paraId="77C8C1BC" w14:textId="77777777" w:rsidR="006B5CD3" w:rsidRPr="00516DB0" w:rsidRDefault="006B5CD3" w:rsidP="00B205BA">
      <w:pPr>
        <w:pStyle w:val="Prrafodelista"/>
        <w:numPr>
          <w:ilvl w:val="0"/>
          <w:numId w:val="8"/>
        </w:numPr>
        <w:spacing w:after="120" w:line="240" w:lineRule="auto"/>
        <w:ind w:left="284" w:firstLine="0"/>
        <w:contextualSpacing w:val="0"/>
        <w:rPr>
          <w:rFonts w:cs="Arial"/>
        </w:rPr>
      </w:pPr>
      <w:r w:rsidRPr="00516DB0">
        <w:rPr>
          <w:rFonts w:cs="Arial"/>
        </w:rPr>
        <w:t>Competitividad económica: La creciente demanda de empleos de calidad y formales debido al crecimiento de la población exige promover la diversificación de la economía y fomentar la innovación y el desarrollo tecnológico para mantenerse competitivo y atraer inversiones.</w:t>
      </w:r>
    </w:p>
    <w:p w14:paraId="6BBD3AE3" w14:textId="77777777" w:rsidR="006B5CD3" w:rsidRPr="00516DB0" w:rsidRDefault="006B5CD3" w:rsidP="00B205BA">
      <w:pPr>
        <w:pStyle w:val="Prrafodelista"/>
        <w:numPr>
          <w:ilvl w:val="0"/>
          <w:numId w:val="8"/>
        </w:numPr>
        <w:spacing w:after="120" w:line="240" w:lineRule="auto"/>
        <w:ind w:left="284" w:firstLine="0"/>
        <w:contextualSpacing w:val="0"/>
        <w:rPr>
          <w:rFonts w:cs="Arial"/>
        </w:rPr>
      </w:pPr>
      <w:r w:rsidRPr="00516DB0">
        <w:rPr>
          <w:rFonts w:cs="Arial"/>
        </w:rPr>
        <w:t>Medio ambiente y sostenibilidad: Ante las temperaturas extremas y los efectos adversos del cambio climático, promover la conservación de recursos naturales y desarrollar infraestructuras verdes, así como fomentar energías renovables y la eficiencia energética en edificios públicos y privados.</w:t>
      </w:r>
    </w:p>
    <w:p w14:paraId="039419C6" w14:textId="22494F9E" w:rsidR="006B5CD3" w:rsidRPr="00985D4F" w:rsidRDefault="006B5CD3" w:rsidP="00B205BA">
      <w:pPr>
        <w:pStyle w:val="Prrafodelista"/>
        <w:numPr>
          <w:ilvl w:val="0"/>
          <w:numId w:val="8"/>
        </w:numPr>
        <w:spacing w:after="120" w:line="240" w:lineRule="auto"/>
        <w:ind w:left="284" w:firstLine="0"/>
        <w:contextualSpacing w:val="0"/>
        <w:rPr>
          <w:rFonts w:cs="Arial"/>
        </w:rPr>
      </w:pPr>
      <w:r w:rsidRPr="00516DB0">
        <w:rPr>
          <w:rFonts w:cs="Arial"/>
        </w:rPr>
        <w:t>Infraestructura y agua: Frente a la escasez de agua, es fundamental mejorar la infraestructura hídrica, buscar alternativas de abastecimiento sostenible y promover políticas de ahorro de agua.</w:t>
      </w:r>
    </w:p>
    <w:p w14:paraId="63AD736E" w14:textId="5B79A7D2" w:rsidR="006B5CD3" w:rsidRPr="00C32544" w:rsidRDefault="006B5CD3" w:rsidP="00B205BA">
      <w:pPr>
        <w:spacing w:after="120" w:line="240" w:lineRule="auto"/>
        <w:rPr>
          <w:rFonts w:cs="Arial"/>
          <w:b/>
          <w:bCs/>
        </w:rPr>
      </w:pPr>
      <w:r w:rsidRPr="00C32544">
        <w:rPr>
          <w:rFonts w:cs="Arial"/>
          <w:b/>
          <w:bCs/>
        </w:rPr>
        <w:t>Oportunidades</w:t>
      </w:r>
      <w:r w:rsidR="00261A27" w:rsidRPr="00C32544">
        <w:rPr>
          <w:rFonts w:cs="Arial"/>
          <w:b/>
          <w:bCs/>
        </w:rPr>
        <w:t>.</w:t>
      </w:r>
    </w:p>
    <w:p w14:paraId="10322D23" w14:textId="77777777" w:rsidR="006B5CD3" w:rsidRPr="0076416A" w:rsidRDefault="006B5CD3" w:rsidP="00B205BA">
      <w:pPr>
        <w:pStyle w:val="Prrafodelista"/>
        <w:numPr>
          <w:ilvl w:val="0"/>
          <w:numId w:val="15"/>
        </w:numPr>
        <w:spacing w:after="120" w:line="240" w:lineRule="auto"/>
        <w:ind w:left="714" w:hanging="357"/>
        <w:contextualSpacing w:val="0"/>
        <w:rPr>
          <w:rFonts w:cs="Arial"/>
        </w:rPr>
      </w:pPr>
      <w:r w:rsidRPr="0076416A">
        <w:rPr>
          <w:rFonts w:cs="Arial"/>
        </w:rPr>
        <w:t>Desarrollo económico en energías renovables: Hermosillo ha demostrado un alto potencial para el desarrollo de proyectos de energía solar. Mantener el impulso de esta industria a mediano y largo plazo podría posicionar a la ciudad como líder nacional en energías limpias.</w:t>
      </w:r>
    </w:p>
    <w:p w14:paraId="6FFA59F3" w14:textId="77777777" w:rsidR="006B5CD3" w:rsidRPr="0076416A" w:rsidRDefault="006B5CD3" w:rsidP="00B205BA">
      <w:pPr>
        <w:pStyle w:val="Prrafodelista"/>
        <w:numPr>
          <w:ilvl w:val="0"/>
          <w:numId w:val="15"/>
        </w:numPr>
        <w:spacing w:after="120" w:line="240" w:lineRule="auto"/>
        <w:ind w:left="714" w:hanging="357"/>
        <w:contextualSpacing w:val="0"/>
        <w:rPr>
          <w:rFonts w:cs="Arial"/>
        </w:rPr>
      </w:pPr>
      <w:r w:rsidRPr="0076416A">
        <w:rPr>
          <w:rFonts w:cs="Arial"/>
        </w:rPr>
        <w:t>Turismo y cultura: Con su creciente oferta cultural y gastronómica, Hermosillo puede convertirse en un destino atractivo para el turismo regional. Mejorar la infraestructura turística y promover la ciudad es clave, además de consolidar una identidad cultural que atraiga más visitantes.</w:t>
      </w:r>
    </w:p>
    <w:p w14:paraId="7259AEFE" w14:textId="65280FC9" w:rsidR="006B5CD3" w:rsidRPr="00C32544" w:rsidRDefault="006B5CD3" w:rsidP="00B205BA">
      <w:pPr>
        <w:spacing w:after="120" w:line="240" w:lineRule="auto"/>
        <w:rPr>
          <w:rFonts w:cs="Arial"/>
          <w:b/>
          <w:bCs/>
        </w:rPr>
      </w:pPr>
      <w:r w:rsidRPr="00C32544">
        <w:rPr>
          <w:rFonts w:cs="Arial"/>
          <w:b/>
          <w:bCs/>
        </w:rPr>
        <w:t>Desarrollo de la industria del conocimiento y tecnología</w:t>
      </w:r>
      <w:r w:rsidR="00261A27" w:rsidRPr="00C32544">
        <w:rPr>
          <w:rFonts w:cs="Arial"/>
          <w:b/>
          <w:bCs/>
        </w:rPr>
        <w:t>.</w:t>
      </w:r>
    </w:p>
    <w:p w14:paraId="759B3FE1" w14:textId="77777777" w:rsidR="006B5CD3" w:rsidRPr="0076416A" w:rsidRDefault="006B5CD3" w:rsidP="00B205BA">
      <w:pPr>
        <w:pStyle w:val="Prrafodelista"/>
        <w:numPr>
          <w:ilvl w:val="0"/>
          <w:numId w:val="16"/>
        </w:numPr>
        <w:spacing w:after="120" w:line="240" w:lineRule="auto"/>
        <w:ind w:left="1071" w:hanging="357"/>
        <w:contextualSpacing w:val="0"/>
        <w:rPr>
          <w:rFonts w:cs="Arial"/>
        </w:rPr>
      </w:pPr>
      <w:r w:rsidRPr="0076416A">
        <w:rPr>
          <w:rFonts w:cs="Arial"/>
        </w:rPr>
        <w:t>Oportunidades en innovación y emprendimiento: Hermosillo puede convertirse en un polo de innovación y tecnología mediante la creación de centros de investigación y desarrollo en colaboración con universidades y empresas del sector. Esto incluye el impulso de startups tecnológicas y empresas de base científica en áreas como biotecnología, inteligencia artificial y energías renovables.</w:t>
      </w:r>
    </w:p>
    <w:p w14:paraId="5FEE9372" w14:textId="77777777" w:rsidR="006B5CD3" w:rsidRPr="0076416A" w:rsidRDefault="006B5CD3" w:rsidP="00B205BA">
      <w:pPr>
        <w:pStyle w:val="Prrafodelista"/>
        <w:numPr>
          <w:ilvl w:val="0"/>
          <w:numId w:val="16"/>
        </w:numPr>
        <w:spacing w:after="120" w:line="240" w:lineRule="auto"/>
        <w:ind w:left="1071" w:hanging="357"/>
        <w:contextualSpacing w:val="0"/>
        <w:rPr>
          <w:rFonts w:cs="Arial"/>
        </w:rPr>
      </w:pPr>
      <w:r w:rsidRPr="0076416A">
        <w:rPr>
          <w:rFonts w:cs="Arial"/>
        </w:rPr>
        <w:t xml:space="preserve">Capacitación y retención de talento: Fortalecer los programas de capacitación en habilidades digitales y tecnológicas para desarrollar una fuerza laboral competitiva. </w:t>
      </w:r>
    </w:p>
    <w:p w14:paraId="5E9B6E3B" w14:textId="7123F7BB" w:rsidR="006B5CD3" w:rsidRPr="00C32544" w:rsidRDefault="006B5CD3" w:rsidP="00B205BA">
      <w:pPr>
        <w:spacing w:after="120" w:line="240" w:lineRule="auto"/>
        <w:rPr>
          <w:rFonts w:cs="Arial"/>
          <w:b/>
          <w:bCs/>
        </w:rPr>
      </w:pPr>
      <w:r w:rsidRPr="00C32544">
        <w:rPr>
          <w:rFonts w:cs="Arial"/>
          <w:b/>
          <w:bCs/>
        </w:rPr>
        <w:t>Conectividad y acceso digital</w:t>
      </w:r>
      <w:r w:rsidR="00261A27" w:rsidRPr="00C32544">
        <w:rPr>
          <w:rFonts w:cs="Arial"/>
          <w:b/>
          <w:bCs/>
        </w:rPr>
        <w:t>.</w:t>
      </w:r>
    </w:p>
    <w:p w14:paraId="0BE0A3E8" w14:textId="77777777" w:rsidR="006B5CD3" w:rsidRPr="0076416A" w:rsidRDefault="006B5CD3" w:rsidP="00B205BA">
      <w:pPr>
        <w:pStyle w:val="Prrafodelista"/>
        <w:numPr>
          <w:ilvl w:val="0"/>
          <w:numId w:val="16"/>
        </w:numPr>
        <w:spacing w:after="120" w:line="240" w:lineRule="auto"/>
        <w:ind w:left="1071" w:hanging="357"/>
        <w:contextualSpacing w:val="0"/>
        <w:rPr>
          <w:rFonts w:cs="Arial"/>
        </w:rPr>
      </w:pPr>
      <w:r w:rsidRPr="0076416A">
        <w:rPr>
          <w:rFonts w:cs="Arial"/>
        </w:rPr>
        <w:t>Desarrollo de infraestructura de conectividad: La expansión de la red de internet de alta velocidad en toda la ciudad, especialmente en áreas rurales y suburbanas, puede mejorar el acceso de la población a la educación, el empleo y los servicios de salud digitales. Esta conectividad también atraería a empresas tecnológicas y fomentaría el teletrabajo, facilitando una economía más inclusiva y conectada.</w:t>
      </w:r>
    </w:p>
    <w:p w14:paraId="43FC9FEC" w14:textId="0B37A790" w:rsidR="006B5CD3" w:rsidRPr="00C32544" w:rsidRDefault="006B5CD3" w:rsidP="00B205BA">
      <w:pPr>
        <w:spacing w:after="120" w:line="240" w:lineRule="auto"/>
        <w:rPr>
          <w:rFonts w:cs="Arial"/>
          <w:b/>
          <w:bCs/>
        </w:rPr>
      </w:pPr>
      <w:r w:rsidRPr="00C32544">
        <w:rPr>
          <w:rFonts w:cs="Arial"/>
          <w:b/>
          <w:bCs/>
        </w:rPr>
        <w:t>Fortalecimiento del turismo médico y de bienestar</w:t>
      </w:r>
      <w:r w:rsidR="00261A27" w:rsidRPr="00C32544">
        <w:rPr>
          <w:rFonts w:cs="Arial"/>
          <w:b/>
          <w:bCs/>
        </w:rPr>
        <w:t>.</w:t>
      </w:r>
    </w:p>
    <w:p w14:paraId="4D8FF3C1" w14:textId="77777777" w:rsidR="006B5CD3" w:rsidRPr="0076416A" w:rsidRDefault="006B5CD3" w:rsidP="00B205BA">
      <w:pPr>
        <w:pStyle w:val="Prrafodelista"/>
        <w:numPr>
          <w:ilvl w:val="0"/>
          <w:numId w:val="16"/>
        </w:numPr>
        <w:spacing w:after="120" w:line="240" w:lineRule="auto"/>
        <w:ind w:left="1071" w:hanging="357"/>
        <w:contextualSpacing w:val="0"/>
        <w:rPr>
          <w:rFonts w:cs="Arial"/>
        </w:rPr>
      </w:pPr>
      <w:r w:rsidRPr="0076416A">
        <w:rPr>
          <w:rFonts w:cs="Arial"/>
        </w:rPr>
        <w:lastRenderedPageBreak/>
        <w:t>Promoción y desarrollo de turismo médico: Incentivar la creación de clínicas y centros de salud especializados en Hermosillo, junto con servicios de alta calidad en turismo médico, podría atraer a pacientes de otras partes de México y del extranjero. Este sector ofrece una gran oportunidad económica al atraer turismo de alto valor agregado.</w:t>
      </w:r>
    </w:p>
    <w:p w14:paraId="268716D8" w14:textId="77777777" w:rsidR="006B5CD3" w:rsidRPr="0076416A" w:rsidRDefault="006B5CD3" w:rsidP="00B205BA">
      <w:pPr>
        <w:pStyle w:val="Prrafodelista"/>
        <w:numPr>
          <w:ilvl w:val="0"/>
          <w:numId w:val="16"/>
        </w:numPr>
        <w:spacing w:after="120" w:line="240" w:lineRule="auto"/>
        <w:ind w:left="1071" w:hanging="357"/>
        <w:contextualSpacing w:val="0"/>
        <w:rPr>
          <w:rFonts w:cs="Arial"/>
        </w:rPr>
      </w:pPr>
      <w:r w:rsidRPr="0076416A">
        <w:rPr>
          <w:rFonts w:cs="Arial"/>
        </w:rPr>
        <w:t>Turismo de bienestar y naturaleza: Aprovechar las zonas naturales circundantes y los atractivos únicos del desierto sonorense para desarrollar actividades de ecoturismo, senderismo y bienestar. Programas de turismo de naturaleza y actividades al aire libre pueden mejorar la oferta turística de Hermosillo y atraer visitantes que buscan experiencias de salud y bienestar.</w:t>
      </w:r>
    </w:p>
    <w:p w14:paraId="49422E7E" w14:textId="586A1A74" w:rsidR="006B5CD3" w:rsidRPr="0076416A" w:rsidRDefault="006B5CD3" w:rsidP="00B205BA">
      <w:pPr>
        <w:spacing w:after="120" w:line="240" w:lineRule="auto"/>
        <w:rPr>
          <w:rFonts w:cs="Arial"/>
        </w:rPr>
      </w:pPr>
      <w:r w:rsidRPr="0076416A">
        <w:rPr>
          <w:rFonts w:cs="Arial"/>
        </w:rPr>
        <w:t>Estas oportunidades, integradas a los esfuerzos actuales, pueden consolidar a Hermosillo como una ciudad resiliente y sostenible, capaz de responder a los retos de infraestructura, agua y crecimiento económico. Aprovechando su ubicación estratégica y recursos naturales, Hermosillo tiene el potencial de ser un modelo de innovación y sostenibilidad en México.</w:t>
      </w:r>
    </w:p>
    <w:p w14:paraId="14C87606" w14:textId="4CF26C75" w:rsidR="006B5CD3" w:rsidRPr="00516DB0" w:rsidRDefault="006B5CD3" w:rsidP="00B205BA">
      <w:pPr>
        <w:spacing w:after="120" w:line="240" w:lineRule="auto"/>
        <w:rPr>
          <w:rFonts w:cs="Arial"/>
          <w:b/>
          <w:bCs/>
        </w:rPr>
      </w:pPr>
      <w:r w:rsidRPr="00516DB0">
        <w:rPr>
          <w:rFonts w:cs="Arial"/>
          <w:b/>
          <w:bCs/>
        </w:rPr>
        <w:t>Escenario inercial</w:t>
      </w:r>
      <w:r w:rsidR="00261A27">
        <w:rPr>
          <w:rFonts w:cs="Arial"/>
          <w:b/>
          <w:bCs/>
        </w:rPr>
        <w:t>.</w:t>
      </w:r>
    </w:p>
    <w:p w14:paraId="69647721" w14:textId="77777777" w:rsidR="006B5CD3" w:rsidRPr="00516DB0" w:rsidRDefault="006B5CD3" w:rsidP="00B205BA">
      <w:pPr>
        <w:spacing w:after="120" w:line="240" w:lineRule="auto"/>
        <w:rPr>
          <w:rFonts w:cs="Arial"/>
        </w:rPr>
      </w:pPr>
      <w:r w:rsidRPr="00516DB0">
        <w:rPr>
          <w:rFonts w:cs="Arial"/>
        </w:rPr>
        <w:t>De no realizarse el esfuerzo necesario para atender estos retos, el municipio podría enfrentarse a un escenario muy problemático, con efectos negativos que se agravarían con el tiempo, generando una situación de estancamiento o retroceso en diversos aspectos de la vida en Hermosillo. Por ejemplo:</w:t>
      </w:r>
    </w:p>
    <w:p w14:paraId="4E3B1A9C" w14:textId="77777777" w:rsidR="006B5CD3" w:rsidRPr="00516DB0" w:rsidRDefault="006B5CD3" w:rsidP="00B205BA">
      <w:pPr>
        <w:spacing w:after="120" w:line="240" w:lineRule="auto"/>
        <w:rPr>
          <w:rFonts w:cs="Arial"/>
        </w:rPr>
      </w:pPr>
      <w:r w:rsidRPr="00516DB0">
        <w:rPr>
          <w:rFonts w:cs="Arial"/>
        </w:rPr>
        <w:t>La falta de inversión en infraestructura para peatones, ciclistas y en alternativas de transporte sostenible mantendría –y probablemente empeoraría– los problemas de congestión vehicular en la ciudad. Esto dificultaría la movilidad cotidiana, incrementaría los tiempos de traslado y afectaría notablemente la calidad de vida de la ciudadanía.</w:t>
      </w:r>
    </w:p>
    <w:p w14:paraId="4C78A28C" w14:textId="77777777" w:rsidR="006B5CD3" w:rsidRPr="00516DB0" w:rsidRDefault="006B5CD3" w:rsidP="00B205BA">
      <w:pPr>
        <w:spacing w:after="120" w:line="240" w:lineRule="auto"/>
        <w:rPr>
          <w:rFonts w:cs="Arial"/>
        </w:rPr>
      </w:pPr>
      <w:r w:rsidRPr="00516DB0">
        <w:rPr>
          <w:rFonts w:cs="Arial"/>
        </w:rPr>
        <w:t>Además, sin alternativas sostenibles de transporte, la dependencia del automóvil privado se profundizaría, contribuyendo a la contaminación del aire, al aumento en los niveles de ruido urbano y en el número de accidentes de tránsito. Esto impactaría negativamente la salud pública y la calidad ambiental de la ciudad.</w:t>
      </w:r>
    </w:p>
    <w:p w14:paraId="4B00A076" w14:textId="77777777" w:rsidR="006B5CD3" w:rsidRPr="00516DB0" w:rsidRDefault="006B5CD3" w:rsidP="00B205BA">
      <w:pPr>
        <w:spacing w:after="120" w:line="240" w:lineRule="auto"/>
        <w:rPr>
          <w:rFonts w:cs="Arial"/>
        </w:rPr>
      </w:pPr>
      <w:r w:rsidRPr="00516DB0">
        <w:rPr>
          <w:rFonts w:cs="Arial"/>
        </w:rPr>
        <w:t>Por otra parte, en ausencia de mejoras en la capacitación y profesionalización de la policía municipal, Hermosillo se podría convertir en una ciudad peligrosa para sus habitantes: los niveles de delincuencia y violencia podrían aumentar, generando una percepción de inseguridad constante y desconfianza en las autoridades.</w:t>
      </w:r>
    </w:p>
    <w:p w14:paraId="7218B345" w14:textId="77777777" w:rsidR="006B5CD3" w:rsidRPr="00516DB0" w:rsidRDefault="006B5CD3" w:rsidP="00B205BA">
      <w:pPr>
        <w:spacing w:after="120" w:line="240" w:lineRule="auto"/>
        <w:rPr>
          <w:rFonts w:cs="Arial"/>
        </w:rPr>
      </w:pPr>
      <w:r w:rsidRPr="00516DB0">
        <w:rPr>
          <w:rFonts w:cs="Arial"/>
        </w:rPr>
        <w:t>Esta inseguridad también afectaría el desarrollo económico, ya que negocios y empresas estarían menos inclinados a invertir o expandirse en un entorno inseguro, dando como resultado la disminución de oportunidades laborales y el deterioro del crecimiento económico local.</w:t>
      </w:r>
    </w:p>
    <w:p w14:paraId="38A24731" w14:textId="77777777" w:rsidR="006B5CD3" w:rsidRPr="00516DB0" w:rsidRDefault="006B5CD3" w:rsidP="00B205BA">
      <w:pPr>
        <w:spacing w:after="120" w:line="240" w:lineRule="auto"/>
        <w:rPr>
          <w:rFonts w:cs="Arial"/>
        </w:rPr>
      </w:pPr>
      <w:r w:rsidRPr="00516DB0">
        <w:rPr>
          <w:rFonts w:cs="Arial"/>
        </w:rPr>
        <w:t>En otro orden, sin estrategias de diversificación de la economía, Hermosillo podría quedarse rezagado ante otras ciudades que sí impulsen la innovación y el desarrollo tecnológico. La falta de empleos de calidad resultante agravaría los niveles de subempleo e informalidad laboral, afectando los ingresos y el bienestar de la población.</w:t>
      </w:r>
    </w:p>
    <w:p w14:paraId="4491F6A5" w14:textId="77777777" w:rsidR="006B5CD3" w:rsidRPr="00516DB0" w:rsidRDefault="006B5CD3" w:rsidP="00B205BA">
      <w:pPr>
        <w:spacing w:after="120" w:line="240" w:lineRule="auto"/>
        <w:rPr>
          <w:rFonts w:cs="Arial"/>
        </w:rPr>
      </w:pPr>
      <w:r w:rsidRPr="00516DB0">
        <w:rPr>
          <w:rFonts w:cs="Arial"/>
        </w:rPr>
        <w:t xml:space="preserve">Aunado a lo anterior, en ausencia de políticas de conservación de recursos naturales y de promoción de energías renovables, los efectos adversos del cambio climático, como olas de calor cada vez más intensas. Esto afectaría la salud de los residentes e incrementaría el gasto en servicios como el aire acondicionado, haciendo más costosa la vida en la ciudad. </w:t>
      </w:r>
    </w:p>
    <w:p w14:paraId="2EAFFB99" w14:textId="77777777" w:rsidR="006B5CD3" w:rsidRPr="00516DB0" w:rsidRDefault="006B5CD3" w:rsidP="00B205BA">
      <w:pPr>
        <w:spacing w:after="120" w:line="240" w:lineRule="auto"/>
        <w:rPr>
          <w:rFonts w:cs="Arial"/>
        </w:rPr>
      </w:pPr>
      <w:r w:rsidRPr="00516DB0">
        <w:rPr>
          <w:rFonts w:cs="Arial"/>
        </w:rPr>
        <w:lastRenderedPageBreak/>
        <w:t>Sin infraestructuras verdes ni políticas de eficiencia energética, el consumo de recursos continuaría creciendo de manera insostenible, lo que resultaría en mayores costos y deterioro ambiental, empeorando las condiciones de vida en las zonas más densas de la ciudad.</w:t>
      </w:r>
    </w:p>
    <w:p w14:paraId="3053E663" w14:textId="77777777" w:rsidR="006B5CD3" w:rsidRPr="00516DB0" w:rsidRDefault="006B5CD3" w:rsidP="00B205BA">
      <w:pPr>
        <w:spacing w:after="120" w:line="240" w:lineRule="auto"/>
        <w:rPr>
          <w:rFonts w:cs="Arial"/>
        </w:rPr>
      </w:pPr>
      <w:r w:rsidRPr="00516DB0">
        <w:rPr>
          <w:rFonts w:cs="Arial"/>
        </w:rPr>
        <w:t>La escasez de agua podría alcanzar niveles críticos si no se mejoran las infraestructuras hídricas y se implementan políticas de uso responsable del agua. Esto pondría en riesgo el suministro de agua para consumo diario para la población existente y limitaría significativamente el desarrollo residencial y comercial en la ciudad.</w:t>
      </w:r>
    </w:p>
    <w:p w14:paraId="1DBA3A96" w14:textId="77777777" w:rsidR="006B5CD3" w:rsidRPr="00516DB0" w:rsidRDefault="006B5CD3" w:rsidP="00B205BA">
      <w:pPr>
        <w:spacing w:after="120" w:line="240" w:lineRule="auto"/>
        <w:rPr>
          <w:rFonts w:cs="Arial"/>
        </w:rPr>
      </w:pPr>
      <w:r w:rsidRPr="00516DB0">
        <w:rPr>
          <w:rFonts w:cs="Arial"/>
        </w:rPr>
        <w:t>La falta de alternativas sostenibles de abastecimiento y la carencia de políticas de ahorro podrían llevar a restricciones de agua cada vez más frecuentes, generando conflictos por el acceso al recurso y afectando negativamente a sectores como la agricultura y la industria.</w:t>
      </w:r>
    </w:p>
    <w:p w14:paraId="0C663F12" w14:textId="77777777" w:rsidR="006B5CD3" w:rsidRPr="00516DB0" w:rsidRDefault="006B5CD3" w:rsidP="00B205BA">
      <w:pPr>
        <w:spacing w:after="120" w:line="240" w:lineRule="auto"/>
        <w:rPr>
          <w:rFonts w:cs="Arial"/>
        </w:rPr>
      </w:pPr>
      <w:r w:rsidRPr="00516DB0">
        <w:rPr>
          <w:rFonts w:cs="Arial"/>
        </w:rPr>
        <w:t xml:space="preserve">Como consecuencia de todo lo anterior, Hermosillo dejaría de ser lo que hoy es. Se convertiría en una ciudad menos habitable y menos atractiva para el desarrollo económico, con bajos niveles de calidad de vida, la posible pérdida de talento hacia otras ciudades y la pérdida de su imagen como ciudad competitiva y sostenible. </w:t>
      </w:r>
    </w:p>
    <w:p w14:paraId="7611E7E7" w14:textId="7985C97A" w:rsidR="006B5CD3" w:rsidRPr="00516DB0" w:rsidRDefault="006B5CD3" w:rsidP="00B205BA">
      <w:pPr>
        <w:spacing w:after="120" w:line="240" w:lineRule="auto"/>
        <w:rPr>
          <w:rFonts w:cs="Arial"/>
        </w:rPr>
      </w:pPr>
      <w:r w:rsidRPr="00516DB0">
        <w:rPr>
          <w:rFonts w:cs="Arial"/>
        </w:rPr>
        <w:t>La desatención de esta acumulación de problemas haría cada vez más compleja su solución, incrementando el costo y la dificultad de implementar cambios estructurales. A largo plazo, este escenario podría erosionar la cohesión social, lo que dificultaría aún más el desarrollo de políticas públicas efectivas y sostenibles.</w:t>
      </w:r>
    </w:p>
    <w:p w14:paraId="27FA7903" w14:textId="0BE3B886" w:rsidR="006B5CD3" w:rsidRPr="00516DB0" w:rsidRDefault="006B5CD3" w:rsidP="00B205BA">
      <w:pPr>
        <w:spacing w:after="120" w:line="240" w:lineRule="auto"/>
        <w:rPr>
          <w:rFonts w:cs="Arial"/>
          <w:b/>
          <w:bCs/>
        </w:rPr>
      </w:pPr>
      <w:r w:rsidRPr="00516DB0">
        <w:rPr>
          <w:rFonts w:cs="Arial"/>
          <w:b/>
          <w:bCs/>
        </w:rPr>
        <w:t>Escenario general deseable 2027</w:t>
      </w:r>
      <w:r w:rsidR="00261A27">
        <w:rPr>
          <w:rFonts w:cs="Arial"/>
          <w:b/>
          <w:bCs/>
        </w:rPr>
        <w:t>.</w:t>
      </w:r>
    </w:p>
    <w:p w14:paraId="4F0137BD" w14:textId="77777777" w:rsidR="006B5CD3" w:rsidRPr="00516DB0" w:rsidRDefault="006B5CD3" w:rsidP="00B205BA">
      <w:pPr>
        <w:spacing w:after="120" w:line="240" w:lineRule="auto"/>
        <w:rPr>
          <w:rFonts w:cs="Arial"/>
        </w:rPr>
      </w:pPr>
      <w:r w:rsidRPr="00516DB0">
        <w:rPr>
          <w:rFonts w:cs="Arial"/>
        </w:rPr>
        <w:t xml:space="preserve">Hoy, con la experiencia y la satisfacción de tres años de avances sustantivos, el gobierno municipal de Hermosillo posee una perspectiva que le permite construir un nuevo escenario deseable para, en los próximos tres años, consolidar y expandir los logros alcanzados en un marco de sostenibilidad, modernización y participación ciudadana. </w:t>
      </w:r>
    </w:p>
    <w:p w14:paraId="0CA7C59D" w14:textId="1C8F3865" w:rsidR="006B5CD3" w:rsidRPr="00516DB0" w:rsidRDefault="006B5CD3" w:rsidP="00B205BA">
      <w:pPr>
        <w:spacing w:after="120" w:line="240" w:lineRule="auto"/>
        <w:rPr>
          <w:rFonts w:cs="Arial"/>
        </w:rPr>
      </w:pPr>
      <w:r w:rsidRPr="00516DB0">
        <w:rPr>
          <w:rFonts w:cs="Arial"/>
        </w:rPr>
        <w:t>El siguiente escenario plantea metas estratégicas basadas en el progreso actual y enfocadas en robustecer la calidad de vida, el desarrollo económico y la sostenibilidad urbana.</w:t>
      </w:r>
    </w:p>
    <w:p w14:paraId="1B54D9C0" w14:textId="0FB976EE" w:rsidR="006B5CD3" w:rsidRPr="0076416A" w:rsidRDefault="006B5CD3" w:rsidP="00B205BA">
      <w:pPr>
        <w:spacing w:after="120" w:line="240" w:lineRule="auto"/>
        <w:rPr>
          <w:rFonts w:cs="Arial"/>
        </w:rPr>
      </w:pPr>
      <w:r w:rsidRPr="0076416A">
        <w:rPr>
          <w:rFonts w:cs="Arial"/>
        </w:rPr>
        <w:t>1. Consolidación de la sostenibilidad fiscal y optimización financiera del municipio</w:t>
      </w:r>
      <w:r w:rsidR="00261A27">
        <w:rPr>
          <w:rFonts w:cs="Arial"/>
        </w:rPr>
        <w:t>.</w:t>
      </w:r>
    </w:p>
    <w:p w14:paraId="213259B1" w14:textId="77777777" w:rsidR="006B5CD3" w:rsidRPr="0076416A" w:rsidRDefault="006B5CD3" w:rsidP="00B205BA">
      <w:pPr>
        <w:pStyle w:val="Prrafodelista"/>
        <w:numPr>
          <w:ilvl w:val="0"/>
          <w:numId w:val="10"/>
        </w:numPr>
        <w:spacing w:after="120" w:line="240" w:lineRule="auto"/>
        <w:ind w:left="284" w:firstLine="0"/>
        <w:contextualSpacing w:val="0"/>
        <w:rPr>
          <w:rFonts w:cs="Arial"/>
        </w:rPr>
      </w:pPr>
      <w:r w:rsidRPr="0076416A">
        <w:rPr>
          <w:rFonts w:cs="Arial"/>
        </w:rPr>
        <w:t>Fortalecimiento de la inversión pública. Alcanzada una base de gasto eficiente y una deuda municipal controlada, Hermosillo ahora enfoca su presupuesto en proyectos de alto impacto económico, social y ambiental: infraestructura verde, sistemas de movilidad inteligente y proyectos que generen beneficios económicos sostenibles, como programas de modernización tecnológica en servicios públicos.</w:t>
      </w:r>
    </w:p>
    <w:p w14:paraId="717013AF" w14:textId="71F2F293" w:rsidR="006B5CD3" w:rsidRPr="00261A27" w:rsidRDefault="006B5CD3" w:rsidP="00B205BA">
      <w:pPr>
        <w:pStyle w:val="Prrafodelista"/>
        <w:numPr>
          <w:ilvl w:val="0"/>
          <w:numId w:val="10"/>
        </w:numPr>
        <w:spacing w:after="120" w:line="240" w:lineRule="auto"/>
        <w:ind w:left="284" w:firstLine="0"/>
        <w:contextualSpacing w:val="0"/>
        <w:rPr>
          <w:rFonts w:cs="Arial"/>
        </w:rPr>
      </w:pPr>
      <w:r w:rsidRPr="0076416A">
        <w:rPr>
          <w:rFonts w:cs="Arial"/>
        </w:rPr>
        <w:t>Innovación en recaudación y control presupuestal. Se aprovechan las tecnologías digitales para crear u optimizar las plataformas de pago para ofrecer un servicio más accesible y transparente, con incentivos especiales a la participación ciudadana en el cumplimiento fiscal. La transparencia en el uso del gasto público del municipio fortalecerá la confianza ciudadana y atraerá más contribuyentes cumplidos.</w:t>
      </w:r>
    </w:p>
    <w:p w14:paraId="73B001C1" w14:textId="3A2A9C43" w:rsidR="006B5CD3" w:rsidRPr="0076416A" w:rsidRDefault="006B5CD3" w:rsidP="00B205BA">
      <w:pPr>
        <w:spacing w:after="120" w:line="240" w:lineRule="auto"/>
        <w:rPr>
          <w:rFonts w:cs="Arial"/>
        </w:rPr>
      </w:pPr>
      <w:r w:rsidRPr="0076416A">
        <w:rPr>
          <w:rFonts w:cs="Arial"/>
        </w:rPr>
        <w:t xml:space="preserve">2. Expansión y consolidación del concepto </w:t>
      </w:r>
      <w:r w:rsidRPr="0076416A">
        <w:rPr>
          <w:rFonts w:cs="Arial"/>
          <w:i/>
          <w:iCs/>
        </w:rPr>
        <w:t>Ciudad Solar</w:t>
      </w:r>
      <w:r w:rsidRPr="0076416A">
        <w:rPr>
          <w:rFonts w:cs="Arial"/>
        </w:rPr>
        <w:t>. Mayor sustentabilidad ambiental</w:t>
      </w:r>
      <w:r w:rsidR="00261A27">
        <w:rPr>
          <w:rFonts w:cs="Arial"/>
        </w:rPr>
        <w:t>.</w:t>
      </w:r>
    </w:p>
    <w:p w14:paraId="42403995" w14:textId="77777777" w:rsidR="006B5CD3" w:rsidRPr="0076416A" w:rsidRDefault="006B5CD3" w:rsidP="00B205BA">
      <w:pPr>
        <w:pStyle w:val="Prrafodelista"/>
        <w:numPr>
          <w:ilvl w:val="0"/>
          <w:numId w:val="9"/>
        </w:numPr>
        <w:spacing w:after="120" w:line="240" w:lineRule="auto"/>
        <w:ind w:left="284" w:firstLine="0"/>
        <w:contextualSpacing w:val="0"/>
        <w:rPr>
          <w:rFonts w:cs="Arial"/>
        </w:rPr>
      </w:pPr>
      <w:r w:rsidRPr="0076416A">
        <w:rPr>
          <w:rFonts w:cs="Arial"/>
        </w:rPr>
        <w:t>Mayor aprovechamiento de la energía solar a nivel comunitario y empresarial. Se escala la cobertura de sistemas de energía</w:t>
      </w:r>
      <w:r w:rsidRPr="00516DB0">
        <w:rPr>
          <w:rFonts w:cs="Arial"/>
        </w:rPr>
        <w:t xml:space="preserve"> renovable a más sectores de la economía del municipio, impulsando programas ya existentes dirigidos a pequeñas y medianas </w:t>
      </w:r>
      <w:r w:rsidRPr="0076416A">
        <w:rPr>
          <w:rFonts w:cs="Arial"/>
        </w:rPr>
        <w:t>empresas.</w:t>
      </w:r>
    </w:p>
    <w:p w14:paraId="231DED4E" w14:textId="4D2C9C07" w:rsidR="006B5CD3" w:rsidRPr="0076416A" w:rsidRDefault="006B5CD3" w:rsidP="00B205BA">
      <w:pPr>
        <w:pStyle w:val="Prrafodelista"/>
        <w:numPr>
          <w:ilvl w:val="0"/>
          <w:numId w:val="9"/>
        </w:numPr>
        <w:spacing w:after="120" w:line="240" w:lineRule="auto"/>
        <w:ind w:left="284" w:firstLine="0"/>
        <w:contextualSpacing w:val="0"/>
        <w:rPr>
          <w:rFonts w:cs="Arial"/>
        </w:rPr>
      </w:pPr>
      <w:r w:rsidRPr="0076416A">
        <w:rPr>
          <w:rFonts w:cs="Arial"/>
        </w:rPr>
        <w:lastRenderedPageBreak/>
        <w:t>Adaptación al cambio climático. Fortalecer y consolidar la infraestructura verde en el municipio con mayor arborización de calles, techos verdes y jardines de agua para mitigar el efecto de las islas de calor en la ciudad. Además, promover la eficiencia energética en edificios públicos y comerciales, reduciendo así las emisiones de gases de efecto invernadero.</w:t>
      </w:r>
    </w:p>
    <w:p w14:paraId="4E25917E" w14:textId="1050E04D" w:rsidR="006B5CD3" w:rsidRPr="0076416A" w:rsidRDefault="006B5CD3" w:rsidP="00B205BA">
      <w:pPr>
        <w:spacing w:after="120" w:line="240" w:lineRule="auto"/>
        <w:rPr>
          <w:rFonts w:cs="Arial"/>
        </w:rPr>
      </w:pPr>
      <w:r w:rsidRPr="0076416A">
        <w:rPr>
          <w:rFonts w:cs="Arial"/>
        </w:rPr>
        <w:t>3. Consolidación de la movilidad urbana sostenible e infraestructura de calidad</w:t>
      </w:r>
      <w:r w:rsidR="00261A27">
        <w:rPr>
          <w:rFonts w:cs="Arial"/>
        </w:rPr>
        <w:t>.</w:t>
      </w:r>
    </w:p>
    <w:p w14:paraId="124B658B" w14:textId="77777777" w:rsidR="006B5CD3" w:rsidRPr="0076416A" w:rsidRDefault="006B5CD3" w:rsidP="00B205BA">
      <w:pPr>
        <w:pStyle w:val="Prrafodelista"/>
        <w:numPr>
          <w:ilvl w:val="0"/>
          <w:numId w:val="11"/>
        </w:numPr>
        <w:spacing w:after="120" w:line="240" w:lineRule="auto"/>
        <w:ind w:left="284" w:firstLine="0"/>
        <w:contextualSpacing w:val="0"/>
        <w:rPr>
          <w:rFonts w:cs="Arial"/>
        </w:rPr>
      </w:pPr>
      <w:r w:rsidRPr="0076416A">
        <w:rPr>
          <w:rFonts w:cs="Arial"/>
        </w:rPr>
        <w:t>Consolidación de redes de transporte público sostenible y movilidad activa. Hermosillo continúa con el rediseño de sus principales cruceros y calles con concreto hidráulico. Se construyen carriles exclusivos para transporte público, ciclovías y áreas peatonales bien conectadas. Se incorporan los autobuses eléctricos y se incentiva el uso de medios alternativos de transporte para mejorar la movilidad.</w:t>
      </w:r>
    </w:p>
    <w:p w14:paraId="5421A3A0" w14:textId="21C9A835" w:rsidR="006B5CD3" w:rsidRPr="0076416A" w:rsidRDefault="006B5CD3" w:rsidP="00B205BA">
      <w:pPr>
        <w:pStyle w:val="Prrafodelista"/>
        <w:numPr>
          <w:ilvl w:val="0"/>
          <w:numId w:val="11"/>
        </w:numPr>
        <w:spacing w:after="120" w:line="240" w:lineRule="auto"/>
        <w:ind w:left="284" w:firstLine="0"/>
        <w:contextualSpacing w:val="0"/>
        <w:rPr>
          <w:rFonts w:cs="Arial"/>
        </w:rPr>
      </w:pPr>
      <w:r w:rsidRPr="0076416A">
        <w:rPr>
          <w:rFonts w:cs="Arial"/>
        </w:rPr>
        <w:t>Automatización y optimización del tránsito vehicular. Se extiende la red de semáforos inteligentes a toda la ciudad, integrando sistemas de gestión de tráfico en tiempo real para optimizar el flujo vehicular. Esto permitirá una gestión más dinámica del tráfico, reducir los tiempos de traslado y aumentar la eficiencia energética.</w:t>
      </w:r>
    </w:p>
    <w:p w14:paraId="298F165B" w14:textId="09B996DC" w:rsidR="006B5CD3" w:rsidRPr="0076416A" w:rsidRDefault="006B5CD3" w:rsidP="00B205BA">
      <w:pPr>
        <w:spacing w:after="120" w:line="240" w:lineRule="auto"/>
        <w:rPr>
          <w:rFonts w:cs="Arial"/>
        </w:rPr>
      </w:pPr>
      <w:r w:rsidRPr="0076416A">
        <w:rPr>
          <w:rFonts w:cs="Arial"/>
        </w:rPr>
        <w:t>4. Gestión Integral del agua y reducción de vulnerabilidades</w:t>
      </w:r>
      <w:r w:rsidR="00261A27">
        <w:rPr>
          <w:rFonts w:cs="Arial"/>
        </w:rPr>
        <w:t>.</w:t>
      </w:r>
    </w:p>
    <w:p w14:paraId="715963BE" w14:textId="77777777" w:rsidR="006B5CD3" w:rsidRPr="0076416A"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Modernización de la infraestructura hídrica y gestión eficiente del recurso. Hermosillo utiliza tecnologías avanzadas en el monitoreo para la detección de fugas. Se optimiza la distribución priorizando el consumo doméstico y el estratégico para actividades económicas. Se amplían los sistemas de almacenamiento y exploración de fuentes de agua alternativas para reducir la dependencia de las fuentes actuales.</w:t>
      </w:r>
    </w:p>
    <w:p w14:paraId="796E0951" w14:textId="26F711AF" w:rsidR="006B5CD3" w:rsidRPr="0076416A"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Educación y cultura de ahorro del agua. Se implementan programas educativos en todos los niveles escolares y c</w:t>
      </w:r>
      <w:r w:rsidRPr="00516DB0">
        <w:rPr>
          <w:rFonts w:cs="Arial"/>
        </w:rPr>
        <w:t>ampañas permanentes de concientización para promover el uso responsable del agua en hogares y negocios. La gestión eficiente del agua debe ser una prioridad cultural y estructural del municipio.</w:t>
      </w:r>
    </w:p>
    <w:p w14:paraId="0D686350" w14:textId="2FDD21D5" w:rsidR="006B5CD3" w:rsidRPr="0076416A" w:rsidRDefault="006B5CD3" w:rsidP="00B205BA">
      <w:pPr>
        <w:spacing w:after="120" w:line="240" w:lineRule="auto"/>
        <w:rPr>
          <w:rFonts w:cs="Arial"/>
        </w:rPr>
      </w:pPr>
      <w:r w:rsidRPr="0076416A">
        <w:rPr>
          <w:rFonts w:cs="Arial"/>
        </w:rPr>
        <w:t>5. Seguridad ciudadana basada en proximidad y prevención</w:t>
      </w:r>
      <w:r w:rsidR="00261A27">
        <w:rPr>
          <w:rFonts w:cs="Arial"/>
        </w:rPr>
        <w:t>.</w:t>
      </w:r>
    </w:p>
    <w:p w14:paraId="78B6A357" w14:textId="77777777" w:rsidR="006B5CD3" w:rsidRPr="0076416A"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Consolidación de la Policía Comunitaria y prevención del delito. Hermosillo invierte en más unidades de policía de proximidad que trabajen directamente con las comunidades para resolver problemas locales. La capacitación de los elementos de seguridad en habilidades de proximidad, mediación de conflictos y prevención del delito contribuirá a crear un ambiente de mayor confianza y seguridad en el municipio.</w:t>
      </w:r>
    </w:p>
    <w:p w14:paraId="097DD080" w14:textId="44DD239C" w:rsidR="006B5CD3" w:rsidRPr="00261A27"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Implementación intensiva de tecnología de seguridad inteligente. Se cuenta con una red masiva de cámaras de seguridad con inteligencia artificial vinculadas al sistema de emergencias 911 en áreas de alta incidencia delictiva, con lo que se optimizan los tiempos de respuesta en situaciones de emergencia. Este sistema no solo reducirá la delincuencia, sino que también fortalecerá la percepción de seguridad.</w:t>
      </w:r>
    </w:p>
    <w:p w14:paraId="3AB485AF" w14:textId="72ABEA8A" w:rsidR="006B5CD3" w:rsidRPr="0076416A" w:rsidRDefault="006B5CD3" w:rsidP="00B205BA">
      <w:pPr>
        <w:spacing w:after="120" w:line="240" w:lineRule="auto"/>
        <w:rPr>
          <w:rFonts w:cs="Arial"/>
        </w:rPr>
      </w:pPr>
      <w:r w:rsidRPr="0076416A">
        <w:rPr>
          <w:rFonts w:cs="Arial"/>
        </w:rPr>
        <w:t>6. Promoción de la competitividad y diversificación económica</w:t>
      </w:r>
      <w:r w:rsidR="00261A27">
        <w:rPr>
          <w:rFonts w:cs="Arial"/>
        </w:rPr>
        <w:t>.</w:t>
      </w:r>
    </w:p>
    <w:p w14:paraId="3A79537B" w14:textId="77777777" w:rsidR="006B5CD3" w:rsidRPr="0076416A"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 xml:space="preserve">Impulso a sectores tecnológicos y sostenibles. Aprovechando la reputación de Hermosillo como Ciudad Solar, se fortalecen los esfuerzos para atraer industrias tecnológicas y sostenibles que se alineen con esta visión, como empresas de energía renovable, reciclaje y tecnología limpia. </w:t>
      </w:r>
    </w:p>
    <w:p w14:paraId="01332AD1" w14:textId="1E6EA8DF" w:rsidR="006B5CD3" w:rsidRPr="0076416A"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 xml:space="preserve">Fomento al emprendimiento y la innovación local. Hermosillo cuenta con una red consolidada de centros de innovación y aceleración de negocios en alianza con universidades y el sector privado, para incubar startups y proyectos de emprendimiento </w:t>
      </w:r>
      <w:r w:rsidRPr="0076416A">
        <w:rPr>
          <w:rFonts w:cs="Arial"/>
        </w:rPr>
        <w:lastRenderedPageBreak/>
        <w:t>que respondan a las necesidades locales, fomentando la generación de empleos de alta calidad.</w:t>
      </w:r>
    </w:p>
    <w:p w14:paraId="22FE33D9" w14:textId="4851AC4A" w:rsidR="006B5CD3" w:rsidRPr="0076416A" w:rsidRDefault="006B5CD3" w:rsidP="00B205BA">
      <w:pPr>
        <w:spacing w:after="120" w:line="240" w:lineRule="auto"/>
        <w:rPr>
          <w:rFonts w:cs="Arial"/>
        </w:rPr>
      </w:pPr>
      <w:r w:rsidRPr="0076416A">
        <w:rPr>
          <w:rFonts w:cs="Arial"/>
        </w:rPr>
        <w:t>7. Mejora continua de infraestructura y espacios públicos</w:t>
      </w:r>
      <w:r w:rsidR="00261A27">
        <w:rPr>
          <w:rFonts w:cs="Arial"/>
        </w:rPr>
        <w:t>.</w:t>
      </w:r>
    </w:p>
    <w:p w14:paraId="0D17CDD9" w14:textId="77777777" w:rsidR="006B5CD3" w:rsidRPr="0076416A"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Mantenimiento preventivo permanente. Consolidación de un programa permanente de mantenimiento de calles principales y rutas de alto tráfico, así como espacios públicos. Incluye la creación de más espacios de recreación y convivencia en la ciudad.</w:t>
      </w:r>
    </w:p>
    <w:p w14:paraId="7FBD8FD6" w14:textId="682524D1" w:rsidR="006B5CD3" w:rsidRPr="0076416A"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Reducción de la contaminación y mejora de la calidad del aire. Al pavimentar calles con altos niveles de tráfico y construir vialidades con concreto hidráulico, se reducirá significativamente la generación de polvo y partículas contaminantes, lo que beneficiará la salud de la población del municipio.</w:t>
      </w:r>
    </w:p>
    <w:p w14:paraId="2643F5BC" w14:textId="77777777" w:rsidR="006B5CD3" w:rsidRPr="0076416A" w:rsidRDefault="006B5CD3" w:rsidP="00B205BA">
      <w:pPr>
        <w:spacing w:after="120" w:line="240" w:lineRule="auto"/>
        <w:rPr>
          <w:rFonts w:cs="Arial"/>
        </w:rPr>
      </w:pPr>
      <w:r w:rsidRPr="0076416A">
        <w:rPr>
          <w:rFonts w:cs="Arial"/>
        </w:rPr>
        <w:t>8. Gobierno municipal abierto.</w:t>
      </w:r>
    </w:p>
    <w:p w14:paraId="183703D8" w14:textId="77777777" w:rsidR="006B5CD3" w:rsidRPr="0076416A"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 xml:space="preserve">Fortalecimiento de la participación ciudadana. Aprovechando el aumento de la confianza ciudadana en su gobierno municipal, se fortalece y amplía el alcance del programa de presupuesto participativo </w:t>
      </w:r>
      <w:r w:rsidRPr="0076416A">
        <w:rPr>
          <w:rFonts w:cs="Arial"/>
          <w:i/>
          <w:iCs/>
        </w:rPr>
        <w:t>Hermosillo Crece</w:t>
      </w:r>
      <w:r w:rsidRPr="0076416A">
        <w:rPr>
          <w:rFonts w:cs="Arial"/>
        </w:rPr>
        <w:t xml:space="preserve"> para la participación activa de los habitantes de Hermosillo en el diseño, seguimiento y evaluación de políticas públicas en su comunidad.</w:t>
      </w:r>
    </w:p>
    <w:p w14:paraId="119B2115" w14:textId="77777777" w:rsidR="006B5CD3" w:rsidRPr="0076416A" w:rsidRDefault="006B5CD3" w:rsidP="00B205BA">
      <w:pPr>
        <w:pStyle w:val="Prrafodelista"/>
        <w:numPr>
          <w:ilvl w:val="0"/>
          <w:numId w:val="12"/>
        </w:numPr>
        <w:spacing w:after="120" w:line="240" w:lineRule="auto"/>
        <w:ind w:left="284" w:firstLine="0"/>
        <w:contextualSpacing w:val="0"/>
        <w:rPr>
          <w:rFonts w:cs="Arial"/>
        </w:rPr>
      </w:pPr>
      <w:r w:rsidRPr="0076416A">
        <w:rPr>
          <w:rFonts w:cs="Arial"/>
        </w:rPr>
        <w:t>Transparencia y rendición de cuentas: Se amplían y consolidan los canales de comunicación con la ciudadanía mediante informes periódicos puntuales, mejores aplicaciones móviles para el seguimiento de trámites y plataformas optimizadas de transparencia. Esto permitirá que los ciudadanos evalúen los avances y resultados de sus aportaciones y del gobierno.</w:t>
      </w:r>
    </w:p>
    <w:p w14:paraId="0750CB2B" w14:textId="77777777" w:rsidR="006B5CD3" w:rsidRPr="0076416A" w:rsidRDefault="006B5CD3" w:rsidP="00B205BA">
      <w:pPr>
        <w:spacing w:after="120" w:line="240" w:lineRule="auto"/>
        <w:rPr>
          <w:rFonts w:cs="Arial"/>
        </w:rPr>
      </w:pPr>
      <w:r w:rsidRPr="0076416A">
        <w:rPr>
          <w:rFonts w:cs="Arial"/>
        </w:rPr>
        <w:t>Este escenario general deseable para los próximos tres años plantea una visión de Hermosillo como una ciudad integrada y cohesionada, en la que la paz social, la participación ciudadana, la sostenibilidad ambiental, la competitividad económica y la transparencia son pilares fundamentales.</w:t>
      </w:r>
    </w:p>
    <w:p w14:paraId="418EEE5D" w14:textId="77777777" w:rsidR="006B5CD3" w:rsidRPr="0076416A" w:rsidRDefault="006B5CD3" w:rsidP="00B205BA">
      <w:pPr>
        <w:spacing w:after="120" w:line="240" w:lineRule="auto"/>
        <w:rPr>
          <w:rFonts w:cs="Arial"/>
        </w:rPr>
      </w:pPr>
      <w:r w:rsidRPr="0076416A">
        <w:rPr>
          <w:rFonts w:cs="Arial"/>
        </w:rPr>
        <w:t>Al consolidar los avances alcanzados y ampliarlos hacia áreas de innovación y desarrollo, Hermosillo consolidará su posición como referente nacional en desarrollo urbano sostenible, calidad de vida y participación ciudadana.</w:t>
      </w:r>
    </w:p>
    <w:p w14:paraId="7CC1C485" w14:textId="74024A2D" w:rsidR="006B5CD3" w:rsidRPr="00516DB0" w:rsidRDefault="006B5CD3" w:rsidP="00B205BA">
      <w:pPr>
        <w:spacing w:after="120" w:line="240" w:lineRule="auto"/>
        <w:rPr>
          <w:rFonts w:cs="Arial"/>
        </w:rPr>
      </w:pPr>
      <w:r w:rsidRPr="0076416A">
        <w:rPr>
          <w:rFonts w:cs="Arial"/>
        </w:rPr>
        <w:t>Anima a esta proyección una visión de Hermosillo</w:t>
      </w:r>
      <w:r w:rsidRPr="00516DB0">
        <w:rPr>
          <w:rFonts w:cs="Arial"/>
        </w:rPr>
        <w:t xml:space="preserve"> como metrópoli resiliente, segura y próspera, capaz de enfrentar los desafíos del futuro y de mejorar y preservar la calidad de vida de sus habitantes en el marco de la Nueva Agenda Urbana</w:t>
      </w:r>
      <w:r w:rsidRPr="00516DB0">
        <w:rPr>
          <w:rStyle w:val="Refdenotaalpie"/>
          <w:rFonts w:cs="Arial"/>
        </w:rPr>
        <w:footnoteReference w:id="22"/>
      </w:r>
      <w:r w:rsidRPr="00516DB0">
        <w:rPr>
          <w:rFonts w:cs="Arial"/>
        </w:rPr>
        <w:t xml:space="preserve"> y los Objetivos de Desarrollo Sostenible</w:t>
      </w:r>
      <w:r w:rsidRPr="00516DB0">
        <w:rPr>
          <w:rStyle w:val="Refdenotaalpie"/>
          <w:rFonts w:cs="Arial"/>
        </w:rPr>
        <w:footnoteReference w:id="23"/>
      </w:r>
      <w:r w:rsidRPr="00516DB0">
        <w:rPr>
          <w:rFonts w:cs="Arial"/>
        </w:rPr>
        <w:t>.</w:t>
      </w:r>
    </w:p>
    <w:p w14:paraId="309D23DE" w14:textId="5A159B6C" w:rsidR="006B5CD3" w:rsidRPr="00516DB0" w:rsidRDefault="006B5CD3" w:rsidP="00B205BA">
      <w:pPr>
        <w:spacing w:after="120" w:line="240" w:lineRule="auto"/>
        <w:rPr>
          <w:rFonts w:cs="Arial"/>
          <w:b/>
          <w:bCs/>
        </w:rPr>
      </w:pPr>
      <w:r w:rsidRPr="00516DB0">
        <w:rPr>
          <w:rFonts w:cs="Arial"/>
          <w:b/>
          <w:bCs/>
        </w:rPr>
        <w:t>Escenario deseable 2033</w:t>
      </w:r>
      <w:r w:rsidR="00C32544">
        <w:rPr>
          <w:rFonts w:cs="Arial"/>
          <w:b/>
          <w:bCs/>
        </w:rPr>
        <w:t>.</w:t>
      </w:r>
    </w:p>
    <w:p w14:paraId="1775D7BD" w14:textId="77777777" w:rsidR="006B5CD3" w:rsidRPr="00516DB0" w:rsidRDefault="006B5CD3" w:rsidP="00B205BA">
      <w:pPr>
        <w:spacing w:after="120" w:line="240" w:lineRule="auto"/>
        <w:rPr>
          <w:rFonts w:cs="Arial"/>
        </w:rPr>
      </w:pPr>
      <w:r w:rsidRPr="00516DB0">
        <w:rPr>
          <w:rFonts w:cs="Arial"/>
        </w:rPr>
        <w:t>La adopción e implementación de la Agenda de Largo Plazo del Municipio de Hermosillo 2022-2033 nos permitirá avanzar hacia la consolidación de una ciudad moderna, competitiva, resiliente y posicionada entre las urbes más destacadas de México.</w:t>
      </w:r>
    </w:p>
    <w:p w14:paraId="1EE22A34" w14:textId="77777777" w:rsidR="006B5CD3" w:rsidRPr="00516DB0" w:rsidRDefault="006B5CD3" w:rsidP="00B205BA">
      <w:pPr>
        <w:spacing w:after="120" w:line="240" w:lineRule="auto"/>
        <w:rPr>
          <w:rFonts w:cs="Arial"/>
        </w:rPr>
      </w:pPr>
      <w:r w:rsidRPr="00516DB0">
        <w:rPr>
          <w:rFonts w:cs="Arial"/>
        </w:rPr>
        <w:t xml:space="preserve">Para 2033, las finanzas municipales estarán plenamente saneadas. El municipio habrá alcanzado un nivel de deuda óptimo. El manejo responsable del gasto y una estructura de recaudación confiable se reflejarán en una mayor confianza ciudadana. Los habitantes de </w:t>
      </w:r>
      <w:r w:rsidRPr="00516DB0">
        <w:rPr>
          <w:rFonts w:cs="Arial"/>
        </w:rPr>
        <w:lastRenderedPageBreak/>
        <w:t>Hermosillo contribuirán con la seguridad de que sus impuestos son bien utilizados en infraestructura y servicios públicos de calidad.</w:t>
      </w:r>
    </w:p>
    <w:p w14:paraId="6579DDBC" w14:textId="77777777" w:rsidR="006B5CD3" w:rsidRPr="00516DB0" w:rsidRDefault="006B5CD3" w:rsidP="00B205BA">
      <w:pPr>
        <w:spacing w:after="120" w:line="240" w:lineRule="auto"/>
        <w:rPr>
          <w:rFonts w:cs="Arial"/>
        </w:rPr>
      </w:pPr>
      <w:r w:rsidRPr="00516DB0">
        <w:rPr>
          <w:rFonts w:cs="Arial"/>
        </w:rPr>
        <w:t>Las principales vialidades de la ciudad estarán construidas o renovadas con concreto hidráulico de alta calidad y durabilidad. La mayoría de las calles se mantendrán en condiciones óptimas gracias a un sistema de mantenimiento preventivo que, con costos reducidos, evita el deterioro incluso en temporadas de lluvias.</w:t>
      </w:r>
    </w:p>
    <w:p w14:paraId="0F3C7521" w14:textId="77777777" w:rsidR="006B5CD3" w:rsidRPr="00516DB0" w:rsidRDefault="006B5CD3" w:rsidP="00B205BA">
      <w:pPr>
        <w:spacing w:after="120" w:line="240" w:lineRule="auto"/>
        <w:rPr>
          <w:rFonts w:cs="Arial"/>
        </w:rPr>
      </w:pPr>
      <w:r w:rsidRPr="00516DB0">
        <w:rPr>
          <w:rFonts w:cs="Arial"/>
        </w:rPr>
        <w:t xml:space="preserve">Hermosillo contará con una amplia red de semáforos inteligentes que facilitarán la movilidad, posicionándola como una de las ciudades con menor tiempo promedio de congestión vial en México. </w:t>
      </w:r>
    </w:p>
    <w:p w14:paraId="1D6621D2" w14:textId="77777777" w:rsidR="006B5CD3" w:rsidRPr="00516DB0" w:rsidRDefault="006B5CD3" w:rsidP="00B205BA">
      <w:pPr>
        <w:spacing w:after="120" w:line="240" w:lineRule="auto"/>
        <w:rPr>
          <w:rFonts w:cs="Arial"/>
        </w:rPr>
      </w:pPr>
      <w:r w:rsidRPr="00516DB0">
        <w:rPr>
          <w:rFonts w:cs="Arial"/>
        </w:rPr>
        <w:t>Los ciudadanos disfrutarán de un sistema de transporte público moderno, eficiente y sostenible, así como de una circulación más fluida y tiempos de traslado reducidos, lo que se traducirá en una mejor calidad de vida y productividad.</w:t>
      </w:r>
    </w:p>
    <w:p w14:paraId="722C3CEB" w14:textId="77777777" w:rsidR="006B5CD3" w:rsidRPr="00516DB0" w:rsidRDefault="006B5CD3" w:rsidP="00B205BA">
      <w:pPr>
        <w:spacing w:after="120" w:line="240" w:lineRule="auto"/>
        <w:rPr>
          <w:rFonts w:cs="Arial"/>
        </w:rPr>
      </w:pPr>
      <w:r w:rsidRPr="00516DB0">
        <w:rPr>
          <w:rFonts w:cs="Arial"/>
        </w:rPr>
        <w:t>La ciudad habrá hecho importantes progresos en la gestión del agua. Las inversiones en la red de agua potable, junto con una cultura de conservación y una administración apolítica y eficiente del organismo operador, habrán asegurado un suministro confiable y continuo. Los tandeos serán cosa del pasado, permitiendo un crecimiento urbano y económico sostenido, y atrayendo nuevas inversiones que reconocen a Hermosillo como una ciudad viable y con los recursos necesarios para su desarrollo.</w:t>
      </w:r>
    </w:p>
    <w:p w14:paraId="2629F617" w14:textId="77777777" w:rsidR="006B5CD3" w:rsidRPr="00516DB0" w:rsidRDefault="006B5CD3" w:rsidP="00B205BA">
      <w:pPr>
        <w:spacing w:after="120" w:line="240" w:lineRule="auto"/>
        <w:rPr>
          <w:rFonts w:cs="Arial"/>
        </w:rPr>
      </w:pPr>
      <w:r w:rsidRPr="00516DB0">
        <w:rPr>
          <w:rFonts w:cs="Arial"/>
        </w:rPr>
        <w:t>La contaminación por polvo será mínima, gracias a que casi todas las calles dentro de la zona urbana y con flujo constante de vehículos estarán pavimentadas. Este avance beneficiará la salud pública y mejorará la calidad del entorno urbano.</w:t>
      </w:r>
    </w:p>
    <w:p w14:paraId="32D2876E" w14:textId="77777777" w:rsidR="006B5CD3" w:rsidRPr="00516DB0" w:rsidRDefault="006B5CD3" w:rsidP="00B205BA">
      <w:pPr>
        <w:spacing w:after="120" w:line="240" w:lineRule="auto"/>
        <w:rPr>
          <w:rFonts w:cs="Arial"/>
        </w:rPr>
      </w:pPr>
      <w:r w:rsidRPr="00516DB0">
        <w:rPr>
          <w:rFonts w:cs="Arial"/>
        </w:rPr>
        <w:t>La policía municipal estará totalmente equipada con patrullas eléctricas y habrá alcanzado el 100 % en la certificación de control de confianza de su personal, con tiempos de respuesta óptimos para emergencias. La alta coordinación entre los gobiernos municipal, estatal y federal habrá mejorado significativamente la percepción de seguridad de los ciudadanos de Hermosillo.</w:t>
      </w:r>
    </w:p>
    <w:p w14:paraId="51A24DD8" w14:textId="77777777" w:rsidR="006B5CD3" w:rsidRPr="00516DB0" w:rsidRDefault="006B5CD3" w:rsidP="00B205BA">
      <w:pPr>
        <w:spacing w:after="120" w:line="240" w:lineRule="auto"/>
        <w:rPr>
          <w:rFonts w:cs="Arial"/>
        </w:rPr>
      </w:pPr>
      <w:r w:rsidRPr="00516DB0">
        <w:rPr>
          <w:rFonts w:cs="Arial"/>
        </w:rPr>
        <w:t>El robustecimiento de los niveles de seguridad, infraestructura, servicios públicos y abastecimiento de agua ubicará a Hermosillo entre las ciudades más competitivas del país, lo que se reflejará en la atracción tanto de inversiones como de talento que impulsarán un dinamismo económico sin precedentes en la capital de Sonora.</w:t>
      </w:r>
    </w:p>
    <w:p w14:paraId="5A912ADD" w14:textId="77777777" w:rsidR="006B5CD3" w:rsidRPr="00516DB0" w:rsidRDefault="006B5CD3" w:rsidP="00B205BA">
      <w:pPr>
        <w:spacing w:after="120" w:line="240" w:lineRule="auto"/>
        <w:rPr>
          <w:rFonts w:cs="Arial"/>
        </w:rPr>
      </w:pPr>
      <w:r w:rsidRPr="00516DB0">
        <w:rPr>
          <w:rFonts w:cs="Arial"/>
        </w:rPr>
        <w:t xml:space="preserve">El éxito de estos logros fortalecerá la confianza de los ciudadanos en su gobierno y aumentará la participación ciudadana. Se consolidará el compromiso entre el gobierno municipal y la ciudadanía para diseñar y adoptar una nueva agenda estratégica municipal de largo plazo, libre de partidismos, asegurando que la ciudad continúe mejorando en seguridad, infraestructura, servicios, desarrollo económico y social. </w:t>
      </w:r>
    </w:p>
    <w:p w14:paraId="0E26407F" w14:textId="77777777" w:rsidR="006B5CD3" w:rsidRPr="00516DB0" w:rsidRDefault="006B5CD3" w:rsidP="00B205BA">
      <w:pPr>
        <w:spacing w:after="120" w:line="240" w:lineRule="auto"/>
        <w:rPr>
          <w:rFonts w:cs="Arial"/>
        </w:rPr>
      </w:pPr>
      <w:r w:rsidRPr="00516DB0">
        <w:rPr>
          <w:rFonts w:cs="Arial"/>
        </w:rPr>
        <w:t xml:space="preserve">Este es el camino para que Hermosillo continúe avanzando firmemente, sin retrocesos, garantizando una creciente calidad de vida para todos sus habitantes. </w:t>
      </w:r>
    </w:p>
    <w:p w14:paraId="32374A12" w14:textId="0E21670A" w:rsidR="00BB0F02" w:rsidRPr="00516DB0" w:rsidRDefault="00BB0F02" w:rsidP="00B205BA">
      <w:pPr>
        <w:spacing w:after="120" w:line="240" w:lineRule="auto"/>
        <w:rPr>
          <w:rFonts w:cs="Arial"/>
          <w:color w:val="808080" w:themeColor="background1" w:themeShade="80"/>
        </w:rPr>
      </w:pPr>
    </w:p>
    <w:p w14:paraId="6CC62616" w14:textId="77777777" w:rsidR="008905CC" w:rsidRPr="00516DB0" w:rsidRDefault="008905CC" w:rsidP="00B205BA">
      <w:pPr>
        <w:spacing w:after="120" w:line="240" w:lineRule="auto"/>
        <w:rPr>
          <w:rFonts w:cs="Arial"/>
          <w:color w:val="808080" w:themeColor="background1" w:themeShade="80"/>
        </w:rPr>
      </w:pPr>
    </w:p>
    <w:p w14:paraId="6700C0E0" w14:textId="77777777" w:rsidR="008905CC" w:rsidRPr="00516DB0" w:rsidRDefault="008905CC" w:rsidP="00B205BA">
      <w:pPr>
        <w:spacing w:after="120" w:line="240" w:lineRule="auto"/>
        <w:rPr>
          <w:rFonts w:cs="Arial"/>
          <w:color w:val="808080" w:themeColor="background1" w:themeShade="80"/>
        </w:rPr>
      </w:pPr>
    </w:p>
    <w:p w14:paraId="0DF3BA18" w14:textId="77777777" w:rsidR="008905CC" w:rsidRPr="00516DB0" w:rsidRDefault="008905CC" w:rsidP="00B205BA">
      <w:pPr>
        <w:spacing w:after="120" w:line="240" w:lineRule="auto"/>
        <w:rPr>
          <w:rFonts w:cs="Arial"/>
          <w:color w:val="808080" w:themeColor="background1" w:themeShade="80"/>
        </w:rPr>
      </w:pPr>
    </w:p>
    <w:p w14:paraId="056FDBEB" w14:textId="77777777" w:rsidR="008905CC" w:rsidRPr="00516DB0" w:rsidRDefault="008905CC" w:rsidP="00B205BA">
      <w:pPr>
        <w:spacing w:after="120" w:line="240" w:lineRule="auto"/>
        <w:rPr>
          <w:rFonts w:cs="Arial"/>
          <w:color w:val="808080" w:themeColor="background1" w:themeShade="80"/>
        </w:rPr>
      </w:pPr>
    </w:p>
    <w:p w14:paraId="5709E90C" w14:textId="77777777" w:rsidR="008905CC" w:rsidRPr="00516DB0" w:rsidRDefault="008905CC" w:rsidP="00B205BA">
      <w:pPr>
        <w:spacing w:after="120" w:line="240" w:lineRule="auto"/>
        <w:rPr>
          <w:rFonts w:cs="Arial"/>
          <w:color w:val="808080" w:themeColor="background1" w:themeShade="80"/>
        </w:rPr>
      </w:pPr>
    </w:p>
    <w:p w14:paraId="55BDDC5F" w14:textId="6FBBFA7B" w:rsidR="002F194E" w:rsidRDefault="002F194E" w:rsidP="00B205BA">
      <w:pPr>
        <w:spacing w:after="120" w:line="240" w:lineRule="auto"/>
        <w:rPr>
          <w:rFonts w:cs="Arial"/>
          <w:color w:val="808080" w:themeColor="background1" w:themeShade="80"/>
          <w:sz w:val="24"/>
          <w:szCs w:val="24"/>
        </w:rPr>
      </w:pPr>
    </w:p>
    <w:p w14:paraId="198535F3" w14:textId="26736918" w:rsidR="002F194E" w:rsidRDefault="002F194E" w:rsidP="00B205BA">
      <w:pPr>
        <w:spacing w:after="120" w:line="240" w:lineRule="auto"/>
        <w:rPr>
          <w:rFonts w:cs="Arial"/>
          <w:color w:val="808080" w:themeColor="background1" w:themeShade="80"/>
          <w:sz w:val="24"/>
          <w:szCs w:val="24"/>
        </w:rPr>
      </w:pPr>
    </w:p>
    <w:p w14:paraId="349391F0" w14:textId="1C528453" w:rsidR="002F194E" w:rsidRDefault="002F194E" w:rsidP="00B205BA">
      <w:pPr>
        <w:spacing w:after="120" w:line="240" w:lineRule="auto"/>
        <w:rPr>
          <w:rFonts w:cs="Arial"/>
          <w:color w:val="808080" w:themeColor="background1" w:themeShade="80"/>
          <w:sz w:val="24"/>
          <w:szCs w:val="24"/>
        </w:rPr>
      </w:pPr>
    </w:p>
    <w:p w14:paraId="24AB195A" w14:textId="52F86A2F" w:rsidR="002F194E" w:rsidRDefault="002F194E" w:rsidP="00B205BA">
      <w:pPr>
        <w:spacing w:after="120" w:line="240" w:lineRule="auto"/>
        <w:rPr>
          <w:rFonts w:cs="Arial"/>
          <w:color w:val="808080" w:themeColor="background1" w:themeShade="80"/>
          <w:sz w:val="24"/>
          <w:szCs w:val="24"/>
        </w:rPr>
      </w:pPr>
    </w:p>
    <w:p w14:paraId="1F0E7AC6" w14:textId="0988AE69" w:rsidR="002F194E" w:rsidRDefault="002F194E" w:rsidP="00B205BA">
      <w:pPr>
        <w:spacing w:after="120" w:line="240" w:lineRule="auto"/>
        <w:rPr>
          <w:rFonts w:cs="Arial"/>
          <w:color w:val="808080" w:themeColor="background1" w:themeShade="80"/>
          <w:sz w:val="24"/>
          <w:szCs w:val="24"/>
        </w:rPr>
      </w:pPr>
    </w:p>
    <w:p w14:paraId="5B97B9A0" w14:textId="77777777" w:rsidR="002F194E" w:rsidRDefault="002F194E" w:rsidP="00B205BA">
      <w:pPr>
        <w:spacing w:after="120" w:line="240" w:lineRule="auto"/>
        <w:rPr>
          <w:rFonts w:cs="Arial"/>
          <w:b/>
          <w:bCs/>
          <w:color w:val="000000" w:themeColor="text1"/>
          <w:sz w:val="24"/>
          <w:szCs w:val="24"/>
        </w:rPr>
      </w:pPr>
    </w:p>
    <w:p w14:paraId="477B5E38" w14:textId="77777777" w:rsidR="00BB0F02" w:rsidRDefault="00BB0F02" w:rsidP="00B205BA">
      <w:pPr>
        <w:spacing w:after="120" w:line="240" w:lineRule="auto"/>
        <w:rPr>
          <w:rFonts w:cs="Arial"/>
          <w:b/>
          <w:bCs/>
          <w:color w:val="000000" w:themeColor="text1"/>
          <w:sz w:val="24"/>
          <w:szCs w:val="24"/>
        </w:rPr>
      </w:pPr>
    </w:p>
    <w:p w14:paraId="06DFA8B3" w14:textId="77777777" w:rsidR="00BB0F02" w:rsidRPr="00D503D0" w:rsidRDefault="00BB0F02" w:rsidP="00B205BA">
      <w:pPr>
        <w:spacing w:after="120" w:line="240" w:lineRule="auto"/>
        <w:rPr>
          <w:rFonts w:cs="Arial"/>
          <w:b/>
          <w:bCs/>
          <w:color w:val="000000" w:themeColor="text1"/>
          <w:sz w:val="24"/>
          <w:szCs w:val="24"/>
        </w:rPr>
      </w:pPr>
    </w:p>
    <w:p w14:paraId="7346D3B9" w14:textId="77777777" w:rsidR="000107A8" w:rsidRPr="00D503D0" w:rsidRDefault="000107A8" w:rsidP="00B205BA">
      <w:pPr>
        <w:spacing w:after="120" w:line="240" w:lineRule="auto"/>
        <w:rPr>
          <w:rFonts w:cs="Arial"/>
          <w:b/>
          <w:bCs/>
          <w:color w:val="000000" w:themeColor="text1"/>
          <w:sz w:val="24"/>
          <w:szCs w:val="24"/>
        </w:rPr>
      </w:pPr>
    </w:p>
    <w:p w14:paraId="3B39AB11" w14:textId="77777777" w:rsidR="000107A8" w:rsidRPr="00D503D0" w:rsidRDefault="000107A8" w:rsidP="00B205BA">
      <w:pPr>
        <w:spacing w:after="120" w:line="240" w:lineRule="auto"/>
        <w:rPr>
          <w:rFonts w:cs="Arial"/>
          <w:b/>
          <w:bCs/>
          <w:color w:val="000000" w:themeColor="text1"/>
          <w:sz w:val="24"/>
          <w:szCs w:val="24"/>
        </w:rPr>
      </w:pPr>
    </w:p>
    <w:p w14:paraId="5E925BAE" w14:textId="20D1043C" w:rsidR="000107A8" w:rsidRPr="00BB0F02" w:rsidRDefault="00F95E57" w:rsidP="00713A5F">
      <w:pPr>
        <w:pStyle w:val="Ttulo1"/>
        <w:jc w:val="center"/>
      </w:pPr>
      <w:bookmarkStart w:id="7" w:name="_Toc187396118"/>
      <w:r w:rsidRPr="00BB0F02">
        <w:t xml:space="preserve">FRENTES </w:t>
      </w:r>
      <w:r w:rsidR="0044071E" w:rsidRPr="00BB0F02">
        <w:t>R</w:t>
      </w:r>
      <w:r w:rsidRPr="00BB0F02">
        <w:t>ECTORES</w:t>
      </w:r>
      <w:bookmarkEnd w:id="7"/>
    </w:p>
    <w:p w14:paraId="0C537F60" w14:textId="231C3CEE" w:rsidR="0044071E" w:rsidRPr="00BB0F02" w:rsidRDefault="00D43392" w:rsidP="00B205BA">
      <w:pPr>
        <w:spacing w:after="120" w:line="240" w:lineRule="auto"/>
        <w:jc w:val="center"/>
        <w:rPr>
          <w:rFonts w:cs="Arial"/>
          <w:b/>
          <w:bCs/>
          <w:color w:val="000000" w:themeColor="text1"/>
          <w:sz w:val="36"/>
          <w:szCs w:val="36"/>
        </w:rPr>
      </w:pPr>
      <w:r w:rsidRPr="00BB0F02">
        <w:rPr>
          <w:rFonts w:cs="Arial"/>
          <w:b/>
          <w:bCs/>
          <w:color w:val="000000" w:themeColor="text1"/>
          <w:sz w:val="36"/>
          <w:szCs w:val="36"/>
        </w:rPr>
        <w:t>Retos, estrategias y líneas de acción</w:t>
      </w:r>
    </w:p>
    <w:p w14:paraId="4A312185" w14:textId="0D5A449D" w:rsidR="00D43392" w:rsidRPr="00D503D0" w:rsidRDefault="00D43392" w:rsidP="00B205BA">
      <w:pPr>
        <w:spacing w:after="120" w:line="240" w:lineRule="auto"/>
        <w:rPr>
          <w:rFonts w:cs="Arial"/>
          <w:b/>
          <w:bCs/>
          <w:color w:val="A6A6A6" w:themeColor="background1" w:themeShade="A6"/>
          <w:sz w:val="24"/>
          <w:szCs w:val="24"/>
        </w:rPr>
      </w:pPr>
    </w:p>
    <w:p w14:paraId="5B06FFD1" w14:textId="3690EB63" w:rsidR="000107A8" w:rsidRPr="00D503D0" w:rsidRDefault="000107A8" w:rsidP="00B205BA">
      <w:pPr>
        <w:spacing w:after="120" w:line="240" w:lineRule="auto"/>
        <w:rPr>
          <w:rFonts w:cs="Arial"/>
          <w:b/>
          <w:bCs/>
          <w:color w:val="A6A6A6" w:themeColor="background1" w:themeShade="A6"/>
          <w:sz w:val="24"/>
          <w:szCs w:val="24"/>
        </w:rPr>
      </w:pPr>
    </w:p>
    <w:p w14:paraId="70A31578" w14:textId="3B7B9B00" w:rsidR="000107A8" w:rsidRPr="00D503D0" w:rsidRDefault="000107A8" w:rsidP="00B205BA">
      <w:pPr>
        <w:spacing w:after="120" w:line="240" w:lineRule="auto"/>
        <w:rPr>
          <w:rFonts w:cs="Arial"/>
          <w:b/>
          <w:bCs/>
          <w:color w:val="A6A6A6" w:themeColor="background1" w:themeShade="A6"/>
          <w:sz w:val="24"/>
          <w:szCs w:val="24"/>
        </w:rPr>
      </w:pPr>
    </w:p>
    <w:p w14:paraId="0FF612F7" w14:textId="6E42378A" w:rsidR="000107A8" w:rsidRPr="00D503D0" w:rsidRDefault="000107A8" w:rsidP="00B205BA">
      <w:pPr>
        <w:spacing w:after="120" w:line="240" w:lineRule="auto"/>
        <w:rPr>
          <w:rFonts w:cs="Arial"/>
          <w:b/>
          <w:bCs/>
          <w:color w:val="A6A6A6" w:themeColor="background1" w:themeShade="A6"/>
          <w:sz w:val="24"/>
          <w:szCs w:val="24"/>
        </w:rPr>
      </w:pPr>
    </w:p>
    <w:p w14:paraId="7D59909B" w14:textId="700D84AA" w:rsidR="000107A8" w:rsidRPr="00D503D0" w:rsidRDefault="000107A8" w:rsidP="00B205BA">
      <w:pPr>
        <w:spacing w:after="120" w:line="240" w:lineRule="auto"/>
        <w:rPr>
          <w:rFonts w:cs="Arial"/>
          <w:b/>
          <w:bCs/>
          <w:color w:val="A6A6A6" w:themeColor="background1" w:themeShade="A6"/>
          <w:sz w:val="24"/>
          <w:szCs w:val="24"/>
        </w:rPr>
      </w:pPr>
    </w:p>
    <w:p w14:paraId="51A75F6C" w14:textId="1D04A135" w:rsidR="000107A8" w:rsidRPr="00D503D0" w:rsidRDefault="000107A8" w:rsidP="00B205BA">
      <w:pPr>
        <w:spacing w:after="120" w:line="240" w:lineRule="auto"/>
        <w:rPr>
          <w:rFonts w:cs="Arial"/>
          <w:b/>
          <w:bCs/>
          <w:color w:val="A6A6A6" w:themeColor="background1" w:themeShade="A6"/>
          <w:sz w:val="24"/>
          <w:szCs w:val="24"/>
        </w:rPr>
      </w:pPr>
    </w:p>
    <w:p w14:paraId="55A9221A" w14:textId="5D535790" w:rsidR="000107A8" w:rsidRPr="00D503D0" w:rsidRDefault="000107A8" w:rsidP="00B205BA">
      <w:pPr>
        <w:spacing w:after="120" w:line="240" w:lineRule="auto"/>
        <w:rPr>
          <w:rFonts w:cs="Arial"/>
          <w:b/>
          <w:bCs/>
          <w:color w:val="A6A6A6" w:themeColor="background1" w:themeShade="A6"/>
          <w:sz w:val="24"/>
          <w:szCs w:val="24"/>
        </w:rPr>
      </w:pPr>
    </w:p>
    <w:p w14:paraId="61531763" w14:textId="4BB51644" w:rsidR="000107A8" w:rsidRPr="00D503D0" w:rsidRDefault="000107A8" w:rsidP="00B205BA">
      <w:pPr>
        <w:spacing w:after="120" w:line="240" w:lineRule="auto"/>
        <w:rPr>
          <w:rFonts w:cs="Arial"/>
          <w:b/>
          <w:bCs/>
          <w:color w:val="A6A6A6" w:themeColor="background1" w:themeShade="A6"/>
          <w:sz w:val="24"/>
          <w:szCs w:val="24"/>
        </w:rPr>
      </w:pPr>
    </w:p>
    <w:p w14:paraId="7D241EB8" w14:textId="77777777" w:rsidR="000107A8" w:rsidRPr="00D503D0" w:rsidRDefault="000107A8" w:rsidP="00B205BA">
      <w:pPr>
        <w:spacing w:after="120" w:line="240" w:lineRule="auto"/>
        <w:rPr>
          <w:rFonts w:cs="Arial"/>
          <w:b/>
          <w:bCs/>
          <w:color w:val="A6A6A6" w:themeColor="background1" w:themeShade="A6"/>
          <w:sz w:val="24"/>
          <w:szCs w:val="24"/>
        </w:rPr>
      </w:pPr>
    </w:p>
    <w:p w14:paraId="71DB9DB9" w14:textId="77777777" w:rsidR="000C182F" w:rsidRPr="00D503D0" w:rsidRDefault="000C182F" w:rsidP="00B205BA">
      <w:pPr>
        <w:spacing w:after="120" w:line="240" w:lineRule="auto"/>
        <w:jc w:val="center"/>
        <w:rPr>
          <w:rFonts w:cs="Arial"/>
          <w:b/>
          <w:bCs/>
          <w:color w:val="A6A6A6" w:themeColor="background1" w:themeShade="A6"/>
          <w:sz w:val="24"/>
          <w:szCs w:val="24"/>
        </w:rPr>
      </w:pPr>
    </w:p>
    <w:p w14:paraId="2C39EFFC" w14:textId="77777777" w:rsidR="000C182F" w:rsidRPr="00D503D0" w:rsidRDefault="000C182F" w:rsidP="00B205BA">
      <w:pPr>
        <w:spacing w:after="120" w:line="240" w:lineRule="auto"/>
        <w:jc w:val="center"/>
        <w:rPr>
          <w:rFonts w:cs="Arial"/>
          <w:b/>
          <w:bCs/>
          <w:color w:val="A6A6A6" w:themeColor="background1" w:themeShade="A6"/>
          <w:sz w:val="24"/>
          <w:szCs w:val="24"/>
        </w:rPr>
      </w:pPr>
    </w:p>
    <w:p w14:paraId="4CB15AAF" w14:textId="4D579266" w:rsidR="000C182F" w:rsidRDefault="000C182F" w:rsidP="00B205BA">
      <w:pPr>
        <w:spacing w:after="120" w:line="240" w:lineRule="auto"/>
        <w:jc w:val="center"/>
        <w:rPr>
          <w:rFonts w:cs="Arial"/>
          <w:b/>
          <w:bCs/>
          <w:color w:val="A6A6A6" w:themeColor="background1" w:themeShade="A6"/>
          <w:sz w:val="24"/>
          <w:szCs w:val="24"/>
        </w:rPr>
      </w:pPr>
    </w:p>
    <w:p w14:paraId="339835D0" w14:textId="71552F79" w:rsidR="00BB0F02" w:rsidRDefault="00BB0F02" w:rsidP="00B205BA">
      <w:pPr>
        <w:spacing w:after="120" w:line="240" w:lineRule="auto"/>
        <w:jc w:val="center"/>
        <w:rPr>
          <w:rFonts w:cs="Arial"/>
          <w:b/>
          <w:bCs/>
          <w:color w:val="A6A6A6" w:themeColor="background1" w:themeShade="A6"/>
          <w:sz w:val="24"/>
          <w:szCs w:val="24"/>
        </w:rPr>
      </w:pPr>
    </w:p>
    <w:p w14:paraId="6C0B16A9" w14:textId="00714C35" w:rsidR="00BB0F02" w:rsidRDefault="00BB0F02" w:rsidP="00B205BA">
      <w:pPr>
        <w:spacing w:after="120" w:line="240" w:lineRule="auto"/>
        <w:jc w:val="center"/>
        <w:rPr>
          <w:rFonts w:cs="Arial"/>
          <w:b/>
          <w:bCs/>
          <w:color w:val="A6A6A6" w:themeColor="background1" w:themeShade="A6"/>
          <w:sz w:val="24"/>
          <w:szCs w:val="24"/>
        </w:rPr>
      </w:pPr>
    </w:p>
    <w:p w14:paraId="4E0E4262" w14:textId="14157565" w:rsidR="00BB0F02" w:rsidRDefault="00BB0F02" w:rsidP="00B205BA">
      <w:pPr>
        <w:spacing w:after="120" w:line="240" w:lineRule="auto"/>
        <w:jc w:val="center"/>
        <w:rPr>
          <w:rFonts w:cs="Arial"/>
          <w:b/>
          <w:bCs/>
          <w:color w:val="A6A6A6" w:themeColor="background1" w:themeShade="A6"/>
          <w:sz w:val="24"/>
          <w:szCs w:val="24"/>
        </w:rPr>
      </w:pPr>
    </w:p>
    <w:p w14:paraId="16455FF0" w14:textId="7E7E2F29" w:rsidR="00BB0F02" w:rsidRDefault="00BB0F02" w:rsidP="00B205BA">
      <w:pPr>
        <w:spacing w:after="120" w:line="240" w:lineRule="auto"/>
        <w:jc w:val="center"/>
        <w:rPr>
          <w:rFonts w:cs="Arial"/>
          <w:b/>
          <w:bCs/>
          <w:color w:val="A6A6A6" w:themeColor="background1" w:themeShade="A6"/>
          <w:sz w:val="24"/>
          <w:szCs w:val="24"/>
        </w:rPr>
      </w:pPr>
    </w:p>
    <w:p w14:paraId="736D7B92" w14:textId="4A2A8514" w:rsidR="00BB0F02" w:rsidRDefault="00BB0F02" w:rsidP="00B205BA">
      <w:pPr>
        <w:spacing w:after="120" w:line="240" w:lineRule="auto"/>
        <w:jc w:val="center"/>
        <w:rPr>
          <w:rFonts w:cs="Arial"/>
          <w:b/>
          <w:bCs/>
          <w:color w:val="A6A6A6" w:themeColor="background1" w:themeShade="A6"/>
          <w:sz w:val="24"/>
          <w:szCs w:val="24"/>
        </w:rPr>
      </w:pPr>
    </w:p>
    <w:p w14:paraId="5C401F9D" w14:textId="2309B197" w:rsidR="00BB0F02" w:rsidRDefault="00BB0F02" w:rsidP="00B205BA">
      <w:pPr>
        <w:spacing w:after="120" w:line="240" w:lineRule="auto"/>
        <w:jc w:val="center"/>
        <w:rPr>
          <w:rFonts w:cs="Arial"/>
          <w:b/>
          <w:bCs/>
          <w:color w:val="A6A6A6" w:themeColor="background1" w:themeShade="A6"/>
          <w:sz w:val="24"/>
          <w:szCs w:val="24"/>
        </w:rPr>
      </w:pPr>
    </w:p>
    <w:p w14:paraId="45EEA261" w14:textId="6ED849BD" w:rsidR="00BB0F02" w:rsidRDefault="00BB0F02" w:rsidP="00B205BA">
      <w:pPr>
        <w:spacing w:after="120" w:line="240" w:lineRule="auto"/>
        <w:jc w:val="center"/>
        <w:rPr>
          <w:rFonts w:cs="Arial"/>
          <w:b/>
          <w:bCs/>
          <w:color w:val="A6A6A6" w:themeColor="background1" w:themeShade="A6"/>
          <w:sz w:val="24"/>
          <w:szCs w:val="24"/>
        </w:rPr>
      </w:pPr>
    </w:p>
    <w:p w14:paraId="7A91C414" w14:textId="451C2D2D" w:rsidR="00BB0F02" w:rsidRDefault="00BB0F02" w:rsidP="00B205BA">
      <w:pPr>
        <w:spacing w:after="120" w:line="240" w:lineRule="auto"/>
        <w:jc w:val="center"/>
        <w:rPr>
          <w:rFonts w:cs="Arial"/>
          <w:b/>
          <w:bCs/>
          <w:color w:val="A6A6A6" w:themeColor="background1" w:themeShade="A6"/>
          <w:sz w:val="24"/>
          <w:szCs w:val="24"/>
        </w:rPr>
      </w:pPr>
    </w:p>
    <w:p w14:paraId="64FDDF34" w14:textId="7A68AF25" w:rsidR="00BB0F02" w:rsidRDefault="00BB0F02" w:rsidP="00B205BA">
      <w:pPr>
        <w:spacing w:after="120" w:line="240" w:lineRule="auto"/>
        <w:jc w:val="center"/>
        <w:rPr>
          <w:rFonts w:cs="Arial"/>
          <w:b/>
          <w:bCs/>
          <w:color w:val="A6A6A6" w:themeColor="background1" w:themeShade="A6"/>
          <w:sz w:val="24"/>
          <w:szCs w:val="24"/>
        </w:rPr>
      </w:pPr>
    </w:p>
    <w:p w14:paraId="6E08E7F0" w14:textId="19FB532F" w:rsidR="00EF28C7" w:rsidRDefault="00EF28C7" w:rsidP="00B205BA">
      <w:pPr>
        <w:spacing w:after="120" w:line="240" w:lineRule="auto"/>
        <w:rPr>
          <w:rFonts w:cs="Arial"/>
          <w:b/>
          <w:bCs/>
          <w:color w:val="000000" w:themeColor="text1"/>
          <w:sz w:val="36"/>
          <w:szCs w:val="36"/>
        </w:rPr>
      </w:pPr>
    </w:p>
    <w:p w14:paraId="59B2EBEB" w14:textId="401178E7" w:rsidR="0076416A" w:rsidRDefault="0076416A" w:rsidP="00B205BA">
      <w:pPr>
        <w:spacing w:after="120" w:line="240" w:lineRule="auto"/>
        <w:rPr>
          <w:rFonts w:cs="Arial"/>
          <w:b/>
          <w:bCs/>
          <w:color w:val="000000" w:themeColor="text1"/>
          <w:sz w:val="36"/>
          <w:szCs w:val="36"/>
        </w:rPr>
      </w:pPr>
    </w:p>
    <w:p w14:paraId="79580A49" w14:textId="418F8097" w:rsidR="0076416A" w:rsidRDefault="0076416A" w:rsidP="00B205BA">
      <w:pPr>
        <w:spacing w:after="120" w:line="240" w:lineRule="auto"/>
        <w:rPr>
          <w:rFonts w:cs="Arial"/>
          <w:b/>
          <w:bCs/>
          <w:color w:val="000000" w:themeColor="text1"/>
          <w:sz w:val="36"/>
          <w:szCs w:val="36"/>
        </w:rPr>
      </w:pPr>
    </w:p>
    <w:p w14:paraId="3944F440" w14:textId="255B1B76" w:rsidR="0076416A" w:rsidRDefault="0076416A" w:rsidP="00B205BA">
      <w:pPr>
        <w:spacing w:after="120" w:line="240" w:lineRule="auto"/>
        <w:rPr>
          <w:rFonts w:cs="Arial"/>
          <w:b/>
          <w:bCs/>
          <w:color w:val="000000" w:themeColor="text1"/>
          <w:sz w:val="36"/>
          <w:szCs w:val="36"/>
        </w:rPr>
      </w:pPr>
    </w:p>
    <w:p w14:paraId="33393A09" w14:textId="77777777" w:rsidR="0076416A" w:rsidRDefault="0076416A" w:rsidP="00B205BA">
      <w:pPr>
        <w:spacing w:after="120" w:line="240" w:lineRule="auto"/>
        <w:rPr>
          <w:rFonts w:cs="Arial"/>
          <w:b/>
          <w:bCs/>
          <w:color w:val="000000" w:themeColor="text1"/>
          <w:sz w:val="36"/>
          <w:szCs w:val="36"/>
        </w:rPr>
      </w:pPr>
    </w:p>
    <w:p w14:paraId="11CA200F" w14:textId="77777777" w:rsidR="00EF28C7" w:rsidRDefault="00EF28C7" w:rsidP="00B205BA">
      <w:pPr>
        <w:spacing w:after="120" w:line="240" w:lineRule="auto"/>
        <w:jc w:val="center"/>
        <w:rPr>
          <w:rFonts w:cs="Arial"/>
          <w:b/>
          <w:bCs/>
          <w:color w:val="000000" w:themeColor="text1"/>
          <w:sz w:val="36"/>
          <w:szCs w:val="36"/>
        </w:rPr>
      </w:pPr>
    </w:p>
    <w:p w14:paraId="3BCB9E04" w14:textId="77777777" w:rsidR="00EF28C7" w:rsidRDefault="00EF28C7" w:rsidP="00B205BA">
      <w:pPr>
        <w:spacing w:after="120" w:line="240" w:lineRule="auto"/>
        <w:jc w:val="center"/>
        <w:rPr>
          <w:rFonts w:cs="Arial"/>
          <w:b/>
          <w:bCs/>
          <w:color w:val="000000" w:themeColor="text1"/>
          <w:sz w:val="36"/>
          <w:szCs w:val="36"/>
        </w:rPr>
      </w:pPr>
    </w:p>
    <w:p w14:paraId="16A0652B" w14:textId="0D91C58E" w:rsidR="00572A6B" w:rsidRPr="00BB0F02" w:rsidRDefault="00572A6B" w:rsidP="00A033CE">
      <w:pPr>
        <w:pStyle w:val="Ttulo2"/>
      </w:pPr>
      <w:bookmarkStart w:id="8" w:name="_Toc187396119"/>
      <w:r w:rsidRPr="00BB0F02">
        <w:t>Frente 1. Hermosillo en Paz</w:t>
      </w:r>
      <w:r w:rsidR="00670906">
        <w:t xml:space="preserve"> y </w:t>
      </w:r>
      <w:r w:rsidR="006048AE">
        <w:t>Conectado</w:t>
      </w:r>
      <w:bookmarkEnd w:id="8"/>
    </w:p>
    <w:p w14:paraId="28741B73" w14:textId="05F061C1" w:rsidR="00572A6B" w:rsidRPr="00BB0F02" w:rsidRDefault="00572A6B" w:rsidP="00A033CE">
      <w:pPr>
        <w:spacing w:after="120" w:line="240" w:lineRule="auto"/>
        <w:rPr>
          <w:rFonts w:cs="Arial"/>
          <w:b/>
          <w:bCs/>
          <w:color w:val="000000" w:themeColor="text1"/>
          <w:sz w:val="36"/>
          <w:szCs w:val="36"/>
        </w:rPr>
      </w:pPr>
      <w:r w:rsidRPr="00BB0F02">
        <w:rPr>
          <w:rFonts w:cs="Arial"/>
          <w:b/>
          <w:bCs/>
          <w:color w:val="000000" w:themeColor="text1"/>
          <w:sz w:val="36"/>
          <w:szCs w:val="36"/>
        </w:rPr>
        <w:t>“</w:t>
      </w:r>
      <w:r w:rsidR="006048AE">
        <w:rPr>
          <w:rFonts w:cs="Arial"/>
          <w:b/>
          <w:bCs/>
          <w:color w:val="000000" w:themeColor="text1"/>
          <w:sz w:val="36"/>
          <w:szCs w:val="36"/>
        </w:rPr>
        <w:t>Entornos seguros, accesibles que integren las tecnologías, fortalecen el tejido social de la comunidad y mejoran la calidad de vida de las familias</w:t>
      </w:r>
      <w:r w:rsidRPr="00BB0F02">
        <w:rPr>
          <w:rFonts w:cs="Arial"/>
          <w:b/>
          <w:bCs/>
          <w:color w:val="000000" w:themeColor="text1"/>
          <w:sz w:val="36"/>
          <w:szCs w:val="36"/>
        </w:rPr>
        <w:t>”</w:t>
      </w:r>
    </w:p>
    <w:p w14:paraId="094DDEB3" w14:textId="77777777" w:rsidR="00572A6B" w:rsidRPr="00D503D0" w:rsidRDefault="00572A6B" w:rsidP="00B205BA">
      <w:pPr>
        <w:spacing w:after="120" w:line="240" w:lineRule="auto"/>
        <w:jc w:val="center"/>
        <w:rPr>
          <w:rFonts w:cs="Arial"/>
          <w:b/>
          <w:bCs/>
          <w:color w:val="000000" w:themeColor="text1"/>
          <w:sz w:val="24"/>
          <w:szCs w:val="24"/>
        </w:rPr>
      </w:pPr>
    </w:p>
    <w:p w14:paraId="3DADE103" w14:textId="069B2ECA" w:rsidR="000C182F" w:rsidRDefault="000C182F" w:rsidP="00B205BA">
      <w:pPr>
        <w:spacing w:after="120" w:line="240" w:lineRule="auto"/>
        <w:rPr>
          <w:rFonts w:cs="Arial"/>
          <w:b/>
          <w:bCs/>
          <w:sz w:val="24"/>
          <w:szCs w:val="24"/>
        </w:rPr>
      </w:pPr>
    </w:p>
    <w:p w14:paraId="0A5EC112" w14:textId="7021802A" w:rsidR="00BB0F02" w:rsidRDefault="00BB0F02" w:rsidP="00B205BA">
      <w:pPr>
        <w:spacing w:after="120" w:line="240" w:lineRule="auto"/>
        <w:rPr>
          <w:rFonts w:cs="Arial"/>
          <w:b/>
          <w:bCs/>
          <w:sz w:val="24"/>
          <w:szCs w:val="24"/>
        </w:rPr>
      </w:pPr>
    </w:p>
    <w:p w14:paraId="642802F9" w14:textId="6E06E8F0" w:rsidR="00BB0F02" w:rsidRDefault="00BB0F02" w:rsidP="00B205BA">
      <w:pPr>
        <w:spacing w:after="120" w:line="240" w:lineRule="auto"/>
        <w:rPr>
          <w:rFonts w:cs="Arial"/>
          <w:b/>
          <w:bCs/>
          <w:sz w:val="24"/>
          <w:szCs w:val="24"/>
        </w:rPr>
      </w:pPr>
    </w:p>
    <w:p w14:paraId="1A234144" w14:textId="558B8DC4" w:rsidR="00BB0F02" w:rsidRDefault="00BB0F02" w:rsidP="00B205BA">
      <w:pPr>
        <w:spacing w:after="120" w:line="240" w:lineRule="auto"/>
        <w:rPr>
          <w:rFonts w:cs="Arial"/>
          <w:b/>
          <w:bCs/>
          <w:sz w:val="24"/>
          <w:szCs w:val="24"/>
        </w:rPr>
      </w:pPr>
    </w:p>
    <w:p w14:paraId="65CA7DA7" w14:textId="24436DA0" w:rsidR="00BB0F02" w:rsidRDefault="00BB0F02" w:rsidP="00B205BA">
      <w:pPr>
        <w:spacing w:after="120" w:line="240" w:lineRule="auto"/>
        <w:rPr>
          <w:rFonts w:cs="Arial"/>
          <w:b/>
          <w:bCs/>
          <w:sz w:val="24"/>
          <w:szCs w:val="24"/>
        </w:rPr>
      </w:pPr>
    </w:p>
    <w:p w14:paraId="49D15390" w14:textId="7E7F9D3E" w:rsidR="00BB0F02" w:rsidRDefault="00BB0F02" w:rsidP="00B205BA">
      <w:pPr>
        <w:spacing w:after="120" w:line="240" w:lineRule="auto"/>
        <w:rPr>
          <w:rFonts w:cs="Arial"/>
          <w:b/>
          <w:bCs/>
          <w:sz w:val="24"/>
          <w:szCs w:val="24"/>
        </w:rPr>
      </w:pPr>
    </w:p>
    <w:p w14:paraId="00C03CE0" w14:textId="69EC1FD6" w:rsidR="00BB0F02" w:rsidRDefault="00BB0F02" w:rsidP="00B205BA">
      <w:pPr>
        <w:spacing w:after="120" w:line="240" w:lineRule="auto"/>
        <w:rPr>
          <w:rFonts w:cs="Arial"/>
          <w:b/>
          <w:bCs/>
          <w:sz w:val="24"/>
          <w:szCs w:val="24"/>
        </w:rPr>
      </w:pPr>
    </w:p>
    <w:p w14:paraId="228E3301" w14:textId="44477FA2" w:rsidR="00BB0F02" w:rsidRDefault="00BB0F02" w:rsidP="00B205BA">
      <w:pPr>
        <w:spacing w:after="120" w:line="240" w:lineRule="auto"/>
        <w:rPr>
          <w:rFonts w:cs="Arial"/>
          <w:b/>
          <w:bCs/>
          <w:sz w:val="24"/>
          <w:szCs w:val="24"/>
        </w:rPr>
      </w:pPr>
    </w:p>
    <w:p w14:paraId="05F854A1" w14:textId="22D351BF" w:rsidR="00BB0F02" w:rsidRDefault="00BB0F02" w:rsidP="00B205BA">
      <w:pPr>
        <w:spacing w:after="120" w:line="240" w:lineRule="auto"/>
        <w:rPr>
          <w:rFonts w:cs="Arial"/>
          <w:b/>
          <w:bCs/>
          <w:sz w:val="24"/>
          <w:szCs w:val="24"/>
        </w:rPr>
      </w:pPr>
    </w:p>
    <w:p w14:paraId="1FF3DB23" w14:textId="57D3F8A2" w:rsidR="00BB0F02" w:rsidRDefault="00BB0F02" w:rsidP="00B205BA">
      <w:pPr>
        <w:spacing w:after="120" w:line="240" w:lineRule="auto"/>
        <w:rPr>
          <w:rFonts w:cs="Arial"/>
          <w:b/>
          <w:bCs/>
          <w:sz w:val="24"/>
          <w:szCs w:val="24"/>
        </w:rPr>
      </w:pPr>
    </w:p>
    <w:p w14:paraId="79F651B7" w14:textId="77777777" w:rsidR="00BB0F02" w:rsidRDefault="00BB0F02" w:rsidP="00B205BA">
      <w:pPr>
        <w:spacing w:after="120" w:line="240" w:lineRule="auto"/>
        <w:rPr>
          <w:rFonts w:cs="Arial"/>
          <w:b/>
          <w:bCs/>
          <w:sz w:val="24"/>
          <w:szCs w:val="24"/>
        </w:rPr>
      </w:pPr>
    </w:p>
    <w:p w14:paraId="23DDEA99" w14:textId="665EB1A8" w:rsidR="00BB0F02" w:rsidRDefault="00BB0F02" w:rsidP="00B205BA">
      <w:pPr>
        <w:spacing w:after="120" w:line="240" w:lineRule="auto"/>
        <w:rPr>
          <w:rFonts w:cs="Arial"/>
          <w:b/>
          <w:bCs/>
          <w:sz w:val="24"/>
          <w:szCs w:val="24"/>
        </w:rPr>
      </w:pPr>
    </w:p>
    <w:p w14:paraId="59D2718A" w14:textId="77777777" w:rsidR="006A6722" w:rsidRDefault="006A6722" w:rsidP="00B205BA">
      <w:pPr>
        <w:spacing w:after="120" w:line="240" w:lineRule="auto"/>
        <w:rPr>
          <w:rFonts w:cs="Arial"/>
          <w:b/>
          <w:bCs/>
          <w:sz w:val="24"/>
          <w:szCs w:val="24"/>
        </w:rPr>
      </w:pPr>
    </w:p>
    <w:p w14:paraId="57581770" w14:textId="0D79D76C" w:rsidR="00BB0F02" w:rsidRDefault="00BB0F02" w:rsidP="00B205BA">
      <w:pPr>
        <w:spacing w:after="120" w:line="240" w:lineRule="auto"/>
        <w:rPr>
          <w:rFonts w:cs="Arial"/>
          <w:b/>
          <w:bCs/>
          <w:sz w:val="24"/>
          <w:szCs w:val="24"/>
        </w:rPr>
      </w:pPr>
    </w:p>
    <w:p w14:paraId="4B24A4D2" w14:textId="77777777" w:rsidR="00BB0F02" w:rsidRPr="00D503D0" w:rsidRDefault="00BB0F02" w:rsidP="00B205BA">
      <w:pPr>
        <w:spacing w:after="120" w:line="240" w:lineRule="auto"/>
        <w:rPr>
          <w:rFonts w:cs="Arial"/>
          <w:b/>
          <w:bCs/>
          <w:sz w:val="24"/>
          <w:szCs w:val="24"/>
        </w:rPr>
      </w:pPr>
    </w:p>
    <w:p w14:paraId="6E30EC10" w14:textId="09F873CD" w:rsidR="00572A6B" w:rsidRPr="00C32544" w:rsidRDefault="00572A6B" w:rsidP="00B205BA">
      <w:pPr>
        <w:spacing w:after="120" w:line="240" w:lineRule="auto"/>
        <w:rPr>
          <w:rFonts w:cs="Arial"/>
          <w:b/>
          <w:bCs/>
          <w:sz w:val="24"/>
          <w:szCs w:val="24"/>
        </w:rPr>
      </w:pPr>
      <w:r w:rsidRPr="00C32544">
        <w:rPr>
          <w:rFonts w:cs="Arial"/>
          <w:b/>
          <w:bCs/>
          <w:sz w:val="24"/>
          <w:szCs w:val="24"/>
        </w:rPr>
        <w:t xml:space="preserve">Análisis </w:t>
      </w:r>
      <w:r w:rsidR="000C182F" w:rsidRPr="00C32544">
        <w:rPr>
          <w:rFonts w:cs="Arial"/>
          <w:b/>
          <w:bCs/>
          <w:sz w:val="24"/>
          <w:szCs w:val="24"/>
        </w:rPr>
        <w:t>S</w:t>
      </w:r>
      <w:r w:rsidRPr="00C32544">
        <w:rPr>
          <w:rFonts w:cs="Arial"/>
          <w:b/>
          <w:bCs/>
          <w:sz w:val="24"/>
          <w:szCs w:val="24"/>
        </w:rPr>
        <w:t>ituacional</w:t>
      </w:r>
      <w:r w:rsidR="00C32544">
        <w:rPr>
          <w:rFonts w:cs="Arial"/>
          <w:b/>
          <w:bCs/>
          <w:sz w:val="24"/>
          <w:szCs w:val="24"/>
        </w:rPr>
        <w:t>.</w:t>
      </w:r>
    </w:p>
    <w:p w14:paraId="0333031A" w14:textId="4B8C494B" w:rsidR="0070429C" w:rsidRPr="00A033CE" w:rsidRDefault="0070429C" w:rsidP="00B205BA">
      <w:pPr>
        <w:pStyle w:val="Textoindependiente"/>
        <w:spacing w:after="120"/>
        <w:ind w:right="49"/>
        <w:jc w:val="both"/>
        <w:rPr>
          <w:rFonts w:ascii="Arial" w:hAnsi="Arial" w:cs="Arial"/>
          <w:spacing w:val="-2"/>
          <w:sz w:val="22"/>
          <w:szCs w:val="22"/>
        </w:rPr>
      </w:pPr>
      <w:bookmarkStart w:id="9" w:name="_Hlk182067344"/>
      <w:r w:rsidRPr="00E2024E">
        <w:rPr>
          <w:rFonts w:ascii="Arial" w:hAnsi="Arial" w:cs="Arial"/>
          <w:sz w:val="22"/>
          <w:szCs w:val="22"/>
        </w:rPr>
        <w:t xml:space="preserve">La seguridad y el desarrollo humano son dos </w:t>
      </w:r>
      <w:r w:rsidRPr="00E2024E">
        <w:rPr>
          <w:rFonts w:ascii="Arial" w:hAnsi="Arial" w:cs="Arial"/>
          <w:spacing w:val="-2"/>
          <w:sz w:val="22"/>
          <w:szCs w:val="22"/>
        </w:rPr>
        <w:t>conceptos</w:t>
      </w:r>
      <w:r w:rsidRPr="00E2024E">
        <w:rPr>
          <w:rFonts w:ascii="Arial" w:hAnsi="Arial" w:cs="Arial"/>
          <w:spacing w:val="-12"/>
          <w:sz w:val="22"/>
          <w:szCs w:val="22"/>
        </w:rPr>
        <w:t xml:space="preserve"> </w:t>
      </w:r>
      <w:r w:rsidRPr="00E2024E">
        <w:rPr>
          <w:rFonts w:ascii="Arial" w:hAnsi="Arial" w:cs="Arial"/>
          <w:spacing w:val="-2"/>
          <w:sz w:val="22"/>
          <w:szCs w:val="22"/>
        </w:rPr>
        <w:t>interrelacionados</w:t>
      </w:r>
      <w:r>
        <w:rPr>
          <w:rFonts w:ascii="Arial" w:hAnsi="Arial" w:cs="Arial"/>
          <w:spacing w:val="-2"/>
          <w:sz w:val="22"/>
          <w:szCs w:val="22"/>
        </w:rPr>
        <w:t xml:space="preserve"> y</w:t>
      </w:r>
      <w:r w:rsidRPr="00E2024E">
        <w:rPr>
          <w:rFonts w:ascii="Arial" w:hAnsi="Arial" w:cs="Arial"/>
          <w:spacing w:val="-12"/>
          <w:sz w:val="22"/>
          <w:szCs w:val="22"/>
        </w:rPr>
        <w:t xml:space="preserve"> </w:t>
      </w:r>
      <w:r w:rsidRPr="00E2024E">
        <w:rPr>
          <w:rFonts w:ascii="Arial" w:hAnsi="Arial" w:cs="Arial"/>
          <w:spacing w:val="-2"/>
          <w:sz w:val="22"/>
          <w:szCs w:val="22"/>
        </w:rPr>
        <w:t>fundamentales</w:t>
      </w:r>
      <w:r w:rsidRPr="00E2024E">
        <w:rPr>
          <w:rFonts w:ascii="Arial" w:hAnsi="Arial" w:cs="Arial"/>
          <w:spacing w:val="-12"/>
          <w:sz w:val="22"/>
          <w:szCs w:val="22"/>
        </w:rPr>
        <w:t xml:space="preserve"> </w:t>
      </w:r>
      <w:r w:rsidRPr="00E2024E">
        <w:rPr>
          <w:rFonts w:ascii="Arial" w:hAnsi="Arial" w:cs="Arial"/>
          <w:spacing w:val="-2"/>
          <w:sz w:val="22"/>
          <w:szCs w:val="22"/>
        </w:rPr>
        <w:t>en la</w:t>
      </w:r>
      <w:r w:rsidRPr="00E2024E">
        <w:rPr>
          <w:rFonts w:ascii="Arial" w:hAnsi="Arial" w:cs="Arial"/>
          <w:spacing w:val="-15"/>
          <w:sz w:val="22"/>
          <w:szCs w:val="22"/>
        </w:rPr>
        <w:t xml:space="preserve"> </w:t>
      </w:r>
      <w:r w:rsidRPr="00E2024E">
        <w:rPr>
          <w:rFonts w:ascii="Arial" w:hAnsi="Arial" w:cs="Arial"/>
          <w:spacing w:val="-2"/>
          <w:sz w:val="22"/>
          <w:szCs w:val="22"/>
        </w:rPr>
        <w:t>construcción</w:t>
      </w:r>
      <w:r w:rsidRPr="00E2024E">
        <w:rPr>
          <w:rFonts w:ascii="Arial" w:hAnsi="Arial" w:cs="Arial"/>
          <w:spacing w:val="-15"/>
          <w:sz w:val="22"/>
          <w:szCs w:val="22"/>
        </w:rPr>
        <w:t xml:space="preserve"> </w:t>
      </w:r>
      <w:r w:rsidRPr="00E2024E">
        <w:rPr>
          <w:rFonts w:ascii="Arial" w:hAnsi="Arial" w:cs="Arial"/>
          <w:spacing w:val="-2"/>
          <w:sz w:val="22"/>
          <w:szCs w:val="22"/>
        </w:rPr>
        <w:t>de</w:t>
      </w:r>
      <w:r w:rsidRPr="00E2024E">
        <w:rPr>
          <w:rFonts w:ascii="Arial" w:hAnsi="Arial" w:cs="Arial"/>
          <w:spacing w:val="-15"/>
          <w:sz w:val="22"/>
          <w:szCs w:val="22"/>
        </w:rPr>
        <w:t xml:space="preserve"> </w:t>
      </w:r>
      <w:r w:rsidRPr="00E2024E">
        <w:rPr>
          <w:rFonts w:ascii="Arial" w:hAnsi="Arial" w:cs="Arial"/>
          <w:spacing w:val="-2"/>
          <w:sz w:val="22"/>
          <w:szCs w:val="22"/>
        </w:rPr>
        <w:t>sociedades</w:t>
      </w:r>
      <w:r w:rsidRPr="00E2024E">
        <w:rPr>
          <w:rFonts w:ascii="Arial" w:hAnsi="Arial" w:cs="Arial"/>
          <w:spacing w:val="-15"/>
          <w:sz w:val="22"/>
          <w:szCs w:val="22"/>
        </w:rPr>
        <w:t xml:space="preserve"> </w:t>
      </w:r>
      <w:r w:rsidRPr="00E2024E">
        <w:rPr>
          <w:rFonts w:ascii="Arial" w:hAnsi="Arial" w:cs="Arial"/>
          <w:spacing w:val="-2"/>
          <w:sz w:val="22"/>
          <w:szCs w:val="22"/>
        </w:rPr>
        <w:t>justas</w:t>
      </w:r>
      <w:r w:rsidRPr="00E2024E">
        <w:rPr>
          <w:rFonts w:ascii="Arial" w:hAnsi="Arial" w:cs="Arial"/>
          <w:spacing w:val="-15"/>
          <w:sz w:val="22"/>
          <w:szCs w:val="22"/>
        </w:rPr>
        <w:t xml:space="preserve"> </w:t>
      </w:r>
      <w:r w:rsidRPr="00E2024E">
        <w:rPr>
          <w:rFonts w:ascii="Arial" w:hAnsi="Arial" w:cs="Arial"/>
          <w:spacing w:val="-2"/>
          <w:sz w:val="22"/>
          <w:szCs w:val="22"/>
        </w:rPr>
        <w:t>y</w:t>
      </w:r>
      <w:r w:rsidRPr="00E2024E">
        <w:rPr>
          <w:rFonts w:ascii="Arial" w:hAnsi="Arial" w:cs="Arial"/>
          <w:spacing w:val="-15"/>
          <w:sz w:val="22"/>
          <w:szCs w:val="22"/>
        </w:rPr>
        <w:t xml:space="preserve"> </w:t>
      </w:r>
      <w:r w:rsidRPr="00E2024E">
        <w:rPr>
          <w:rFonts w:ascii="Arial" w:hAnsi="Arial" w:cs="Arial"/>
          <w:spacing w:val="-2"/>
          <w:sz w:val="22"/>
          <w:szCs w:val="22"/>
        </w:rPr>
        <w:t>sostenibles.</w:t>
      </w:r>
      <w:r w:rsidRPr="00E2024E">
        <w:rPr>
          <w:rFonts w:ascii="Arial" w:hAnsi="Arial" w:cs="Arial"/>
          <w:spacing w:val="-13"/>
          <w:sz w:val="22"/>
          <w:szCs w:val="22"/>
        </w:rPr>
        <w:t xml:space="preserve"> </w:t>
      </w:r>
      <w:r w:rsidRPr="00E2024E">
        <w:rPr>
          <w:rFonts w:ascii="Arial" w:hAnsi="Arial" w:cs="Arial"/>
          <w:spacing w:val="-2"/>
          <w:sz w:val="22"/>
          <w:szCs w:val="22"/>
        </w:rPr>
        <w:t>Es</w:t>
      </w:r>
      <w:r w:rsidRPr="00E2024E">
        <w:rPr>
          <w:rFonts w:ascii="Arial" w:hAnsi="Arial" w:cs="Arial"/>
          <w:spacing w:val="-13"/>
          <w:sz w:val="22"/>
          <w:szCs w:val="22"/>
        </w:rPr>
        <w:t xml:space="preserve"> </w:t>
      </w:r>
      <w:r w:rsidRPr="00E2024E">
        <w:rPr>
          <w:rFonts w:ascii="Arial" w:hAnsi="Arial" w:cs="Arial"/>
          <w:spacing w:val="-2"/>
          <w:sz w:val="22"/>
          <w:szCs w:val="22"/>
        </w:rPr>
        <w:t>esencial</w:t>
      </w:r>
      <w:r w:rsidRPr="00E2024E">
        <w:rPr>
          <w:rFonts w:ascii="Arial" w:hAnsi="Arial" w:cs="Arial"/>
          <w:spacing w:val="-13"/>
          <w:sz w:val="22"/>
          <w:szCs w:val="22"/>
        </w:rPr>
        <w:t xml:space="preserve"> </w:t>
      </w:r>
      <w:r w:rsidRPr="00E2024E">
        <w:rPr>
          <w:rFonts w:ascii="Arial" w:hAnsi="Arial" w:cs="Arial"/>
          <w:spacing w:val="-2"/>
          <w:sz w:val="22"/>
          <w:szCs w:val="22"/>
        </w:rPr>
        <w:t>entender</w:t>
      </w:r>
      <w:r w:rsidRPr="00E2024E">
        <w:rPr>
          <w:rFonts w:ascii="Arial" w:hAnsi="Arial" w:cs="Arial"/>
          <w:spacing w:val="-13"/>
          <w:sz w:val="22"/>
          <w:szCs w:val="22"/>
        </w:rPr>
        <w:t xml:space="preserve"> </w:t>
      </w:r>
      <w:r w:rsidRPr="00E2024E">
        <w:rPr>
          <w:rFonts w:ascii="Arial" w:hAnsi="Arial" w:cs="Arial"/>
          <w:spacing w:val="-2"/>
          <w:sz w:val="22"/>
          <w:szCs w:val="22"/>
        </w:rPr>
        <w:t>cómo</w:t>
      </w:r>
      <w:r w:rsidRPr="00E2024E">
        <w:rPr>
          <w:rFonts w:ascii="Arial" w:hAnsi="Arial" w:cs="Arial"/>
          <w:spacing w:val="-13"/>
          <w:sz w:val="22"/>
          <w:szCs w:val="22"/>
        </w:rPr>
        <w:t xml:space="preserve"> </w:t>
      </w:r>
      <w:r w:rsidRPr="00E2024E">
        <w:rPr>
          <w:rFonts w:ascii="Arial" w:hAnsi="Arial" w:cs="Arial"/>
          <w:spacing w:val="-2"/>
          <w:sz w:val="22"/>
          <w:szCs w:val="22"/>
        </w:rPr>
        <w:t>estos</w:t>
      </w:r>
      <w:r w:rsidRPr="00E2024E">
        <w:rPr>
          <w:rFonts w:ascii="Arial" w:hAnsi="Arial" w:cs="Arial"/>
          <w:spacing w:val="-13"/>
          <w:sz w:val="22"/>
          <w:szCs w:val="22"/>
        </w:rPr>
        <w:t xml:space="preserve"> </w:t>
      </w:r>
      <w:r w:rsidRPr="00E2024E">
        <w:rPr>
          <w:rFonts w:ascii="Arial" w:hAnsi="Arial" w:cs="Arial"/>
          <w:spacing w:val="-2"/>
          <w:sz w:val="22"/>
          <w:szCs w:val="22"/>
        </w:rPr>
        <w:t xml:space="preserve">factores </w:t>
      </w:r>
      <w:r w:rsidRPr="00E2024E">
        <w:rPr>
          <w:rFonts w:ascii="Arial" w:hAnsi="Arial" w:cs="Arial"/>
          <w:sz w:val="22"/>
          <w:szCs w:val="22"/>
        </w:rPr>
        <w:t>impactan</w:t>
      </w:r>
      <w:r w:rsidRPr="00E2024E">
        <w:rPr>
          <w:rFonts w:ascii="Arial" w:hAnsi="Arial" w:cs="Arial"/>
          <w:spacing w:val="-8"/>
          <w:sz w:val="22"/>
          <w:szCs w:val="22"/>
        </w:rPr>
        <w:t xml:space="preserve"> </w:t>
      </w:r>
      <w:r w:rsidRPr="00E2024E">
        <w:rPr>
          <w:rFonts w:ascii="Arial" w:hAnsi="Arial" w:cs="Arial"/>
          <w:sz w:val="22"/>
          <w:szCs w:val="22"/>
        </w:rPr>
        <w:t>el</w:t>
      </w:r>
      <w:r w:rsidRPr="00E2024E">
        <w:rPr>
          <w:rFonts w:ascii="Arial" w:hAnsi="Arial" w:cs="Arial"/>
          <w:spacing w:val="-8"/>
          <w:sz w:val="22"/>
          <w:szCs w:val="22"/>
        </w:rPr>
        <w:t xml:space="preserve"> </w:t>
      </w:r>
      <w:r w:rsidRPr="00E2024E">
        <w:rPr>
          <w:rFonts w:ascii="Arial" w:hAnsi="Arial" w:cs="Arial"/>
          <w:sz w:val="22"/>
          <w:szCs w:val="22"/>
        </w:rPr>
        <w:t>bienestar</w:t>
      </w:r>
      <w:r w:rsidRPr="00E2024E">
        <w:rPr>
          <w:rFonts w:ascii="Arial" w:hAnsi="Arial" w:cs="Arial"/>
          <w:spacing w:val="-8"/>
          <w:sz w:val="22"/>
          <w:szCs w:val="22"/>
        </w:rPr>
        <w:t xml:space="preserve"> </w:t>
      </w:r>
      <w:r w:rsidRPr="00E2024E">
        <w:rPr>
          <w:rFonts w:ascii="Arial" w:hAnsi="Arial" w:cs="Arial"/>
          <w:sz w:val="22"/>
          <w:szCs w:val="22"/>
        </w:rPr>
        <w:t>de</w:t>
      </w:r>
      <w:r w:rsidRPr="00E2024E">
        <w:rPr>
          <w:rFonts w:ascii="Arial" w:hAnsi="Arial" w:cs="Arial"/>
          <w:spacing w:val="-8"/>
          <w:sz w:val="22"/>
          <w:szCs w:val="22"/>
        </w:rPr>
        <w:t xml:space="preserve"> </w:t>
      </w:r>
      <w:r w:rsidRPr="00E2024E">
        <w:rPr>
          <w:rFonts w:ascii="Arial" w:hAnsi="Arial" w:cs="Arial"/>
          <w:sz w:val="22"/>
          <w:szCs w:val="22"/>
        </w:rPr>
        <w:t>las</w:t>
      </w:r>
      <w:r w:rsidRPr="00E2024E">
        <w:rPr>
          <w:rFonts w:ascii="Arial" w:hAnsi="Arial" w:cs="Arial"/>
          <w:spacing w:val="-8"/>
          <w:sz w:val="22"/>
          <w:szCs w:val="22"/>
        </w:rPr>
        <w:t xml:space="preserve"> </w:t>
      </w:r>
      <w:r w:rsidRPr="00E2024E">
        <w:rPr>
          <w:rFonts w:ascii="Arial" w:hAnsi="Arial" w:cs="Arial"/>
          <w:sz w:val="22"/>
          <w:szCs w:val="22"/>
        </w:rPr>
        <w:t>comunidades.</w:t>
      </w:r>
      <w:r w:rsidRPr="00E2024E">
        <w:rPr>
          <w:rFonts w:ascii="Arial" w:hAnsi="Arial" w:cs="Arial"/>
          <w:spacing w:val="-8"/>
          <w:sz w:val="22"/>
          <w:szCs w:val="22"/>
        </w:rPr>
        <w:t xml:space="preserve"> </w:t>
      </w:r>
      <w:r w:rsidRPr="00E2024E">
        <w:rPr>
          <w:rFonts w:ascii="Arial" w:hAnsi="Arial" w:cs="Arial"/>
          <w:sz w:val="22"/>
          <w:szCs w:val="22"/>
        </w:rPr>
        <w:t xml:space="preserve">La </w:t>
      </w:r>
      <w:r w:rsidRPr="00E2024E">
        <w:rPr>
          <w:rFonts w:ascii="Arial" w:hAnsi="Arial" w:cs="Arial"/>
          <w:spacing w:val="-6"/>
          <w:sz w:val="22"/>
          <w:szCs w:val="22"/>
        </w:rPr>
        <w:t>seguridad</w:t>
      </w:r>
      <w:r w:rsidRPr="00E2024E">
        <w:rPr>
          <w:rFonts w:ascii="Arial" w:hAnsi="Arial" w:cs="Arial"/>
          <w:spacing w:val="-13"/>
          <w:sz w:val="22"/>
          <w:szCs w:val="22"/>
        </w:rPr>
        <w:t xml:space="preserve"> </w:t>
      </w:r>
      <w:r w:rsidRPr="00E2024E">
        <w:rPr>
          <w:rFonts w:ascii="Arial" w:hAnsi="Arial" w:cs="Arial"/>
          <w:spacing w:val="-6"/>
          <w:sz w:val="22"/>
          <w:szCs w:val="22"/>
        </w:rPr>
        <w:t>no</w:t>
      </w:r>
      <w:r w:rsidRPr="00E2024E">
        <w:rPr>
          <w:rFonts w:ascii="Arial" w:hAnsi="Arial" w:cs="Arial"/>
          <w:spacing w:val="-12"/>
          <w:sz w:val="22"/>
          <w:szCs w:val="22"/>
        </w:rPr>
        <w:t xml:space="preserve"> </w:t>
      </w:r>
      <w:r w:rsidRPr="00E2024E">
        <w:rPr>
          <w:rFonts w:ascii="Arial" w:hAnsi="Arial" w:cs="Arial"/>
          <w:spacing w:val="-6"/>
          <w:sz w:val="22"/>
          <w:szCs w:val="22"/>
        </w:rPr>
        <w:t>solo</w:t>
      </w:r>
      <w:r w:rsidRPr="00E2024E">
        <w:rPr>
          <w:rFonts w:ascii="Arial" w:hAnsi="Arial" w:cs="Arial"/>
          <w:spacing w:val="-13"/>
          <w:sz w:val="22"/>
          <w:szCs w:val="22"/>
        </w:rPr>
        <w:t xml:space="preserve"> </w:t>
      </w:r>
      <w:r w:rsidRPr="00E2024E">
        <w:rPr>
          <w:rFonts w:ascii="Arial" w:hAnsi="Arial" w:cs="Arial"/>
          <w:spacing w:val="-6"/>
          <w:sz w:val="22"/>
          <w:szCs w:val="22"/>
        </w:rPr>
        <w:t>se</w:t>
      </w:r>
      <w:r w:rsidRPr="00E2024E">
        <w:rPr>
          <w:rFonts w:ascii="Arial" w:hAnsi="Arial" w:cs="Arial"/>
          <w:spacing w:val="-12"/>
          <w:sz w:val="22"/>
          <w:szCs w:val="22"/>
        </w:rPr>
        <w:t xml:space="preserve"> </w:t>
      </w:r>
      <w:r w:rsidRPr="00E2024E">
        <w:rPr>
          <w:rFonts w:ascii="Arial" w:hAnsi="Arial" w:cs="Arial"/>
          <w:spacing w:val="-6"/>
          <w:sz w:val="22"/>
          <w:szCs w:val="22"/>
        </w:rPr>
        <w:t>refiere</w:t>
      </w:r>
      <w:r w:rsidRPr="00E2024E">
        <w:rPr>
          <w:rFonts w:ascii="Arial" w:hAnsi="Arial" w:cs="Arial"/>
          <w:spacing w:val="-13"/>
          <w:sz w:val="22"/>
          <w:szCs w:val="22"/>
        </w:rPr>
        <w:t xml:space="preserve"> </w:t>
      </w:r>
      <w:r w:rsidRPr="00E2024E">
        <w:rPr>
          <w:rFonts w:ascii="Arial" w:hAnsi="Arial" w:cs="Arial"/>
          <w:spacing w:val="-6"/>
          <w:sz w:val="22"/>
          <w:szCs w:val="22"/>
        </w:rPr>
        <w:t>a</w:t>
      </w:r>
      <w:r w:rsidRPr="00E2024E">
        <w:rPr>
          <w:rFonts w:ascii="Arial" w:hAnsi="Arial" w:cs="Arial"/>
          <w:spacing w:val="-12"/>
          <w:sz w:val="22"/>
          <w:szCs w:val="22"/>
        </w:rPr>
        <w:t xml:space="preserve"> </w:t>
      </w:r>
      <w:r w:rsidRPr="00E2024E">
        <w:rPr>
          <w:rFonts w:ascii="Arial" w:hAnsi="Arial" w:cs="Arial"/>
          <w:spacing w:val="-6"/>
          <w:sz w:val="22"/>
          <w:szCs w:val="22"/>
        </w:rPr>
        <w:t>la</w:t>
      </w:r>
      <w:r w:rsidRPr="00E2024E">
        <w:rPr>
          <w:rFonts w:ascii="Arial" w:hAnsi="Arial" w:cs="Arial"/>
          <w:spacing w:val="-13"/>
          <w:sz w:val="22"/>
          <w:szCs w:val="22"/>
        </w:rPr>
        <w:t xml:space="preserve"> </w:t>
      </w:r>
      <w:r w:rsidRPr="00E2024E">
        <w:rPr>
          <w:rFonts w:ascii="Arial" w:hAnsi="Arial" w:cs="Arial"/>
          <w:spacing w:val="-6"/>
          <w:sz w:val="22"/>
          <w:szCs w:val="22"/>
        </w:rPr>
        <w:t>ausencia</w:t>
      </w:r>
      <w:r w:rsidRPr="00E2024E">
        <w:rPr>
          <w:rFonts w:ascii="Arial" w:hAnsi="Arial" w:cs="Arial"/>
          <w:spacing w:val="-12"/>
          <w:sz w:val="22"/>
          <w:szCs w:val="22"/>
        </w:rPr>
        <w:t xml:space="preserve"> </w:t>
      </w:r>
      <w:r w:rsidRPr="00E2024E">
        <w:rPr>
          <w:rFonts w:ascii="Arial" w:hAnsi="Arial" w:cs="Arial"/>
          <w:spacing w:val="-6"/>
          <w:sz w:val="22"/>
          <w:szCs w:val="22"/>
        </w:rPr>
        <w:t>de</w:t>
      </w:r>
      <w:r w:rsidRPr="00E2024E">
        <w:rPr>
          <w:rFonts w:ascii="Arial" w:hAnsi="Arial" w:cs="Arial"/>
          <w:spacing w:val="-13"/>
          <w:sz w:val="22"/>
          <w:szCs w:val="22"/>
        </w:rPr>
        <w:t xml:space="preserve"> </w:t>
      </w:r>
      <w:r w:rsidRPr="00E2024E">
        <w:rPr>
          <w:rFonts w:ascii="Arial" w:hAnsi="Arial" w:cs="Arial"/>
          <w:spacing w:val="-6"/>
          <w:sz w:val="22"/>
          <w:szCs w:val="22"/>
        </w:rPr>
        <w:t>de</w:t>
      </w:r>
      <w:r w:rsidRPr="00E2024E">
        <w:rPr>
          <w:rFonts w:ascii="Arial" w:hAnsi="Arial" w:cs="Arial"/>
          <w:sz w:val="22"/>
          <w:szCs w:val="22"/>
        </w:rPr>
        <w:t>litos</w:t>
      </w:r>
      <w:r w:rsidRPr="00E2024E">
        <w:rPr>
          <w:rFonts w:ascii="Arial" w:hAnsi="Arial" w:cs="Arial"/>
          <w:spacing w:val="-19"/>
          <w:sz w:val="22"/>
          <w:szCs w:val="22"/>
        </w:rPr>
        <w:t xml:space="preserve"> </w:t>
      </w:r>
      <w:r w:rsidRPr="00E2024E">
        <w:rPr>
          <w:rFonts w:ascii="Arial" w:hAnsi="Arial" w:cs="Arial"/>
          <w:sz w:val="22"/>
          <w:szCs w:val="22"/>
        </w:rPr>
        <w:t>o</w:t>
      </w:r>
      <w:r w:rsidRPr="00E2024E">
        <w:rPr>
          <w:rFonts w:ascii="Arial" w:hAnsi="Arial" w:cs="Arial"/>
          <w:spacing w:val="-18"/>
          <w:sz w:val="22"/>
          <w:szCs w:val="22"/>
        </w:rPr>
        <w:t xml:space="preserve"> </w:t>
      </w:r>
      <w:r w:rsidRPr="00E2024E">
        <w:rPr>
          <w:rFonts w:ascii="Arial" w:hAnsi="Arial" w:cs="Arial"/>
          <w:sz w:val="22"/>
          <w:szCs w:val="22"/>
        </w:rPr>
        <w:t>conflictos</w:t>
      </w:r>
      <w:r>
        <w:rPr>
          <w:rFonts w:ascii="Arial" w:hAnsi="Arial" w:cs="Arial"/>
          <w:sz w:val="22"/>
          <w:szCs w:val="22"/>
        </w:rPr>
        <w:t>;</w:t>
      </w:r>
      <w:r w:rsidRPr="00E2024E">
        <w:rPr>
          <w:rFonts w:ascii="Arial" w:hAnsi="Arial" w:cs="Arial"/>
          <w:spacing w:val="-19"/>
          <w:sz w:val="22"/>
          <w:szCs w:val="22"/>
        </w:rPr>
        <w:t xml:space="preserve"> </w:t>
      </w:r>
      <w:r w:rsidRPr="00E2024E">
        <w:rPr>
          <w:rFonts w:ascii="Arial" w:hAnsi="Arial" w:cs="Arial"/>
          <w:sz w:val="22"/>
          <w:szCs w:val="22"/>
        </w:rPr>
        <w:t>también</w:t>
      </w:r>
      <w:r w:rsidRPr="00E2024E">
        <w:rPr>
          <w:rFonts w:ascii="Arial" w:hAnsi="Arial" w:cs="Arial"/>
          <w:spacing w:val="-18"/>
          <w:sz w:val="22"/>
          <w:szCs w:val="22"/>
        </w:rPr>
        <w:t xml:space="preserve"> </w:t>
      </w:r>
      <w:r w:rsidRPr="00E2024E">
        <w:rPr>
          <w:rFonts w:ascii="Arial" w:hAnsi="Arial" w:cs="Arial"/>
          <w:sz w:val="22"/>
          <w:szCs w:val="22"/>
        </w:rPr>
        <w:t>abarca</w:t>
      </w:r>
      <w:r w:rsidRPr="00E2024E">
        <w:rPr>
          <w:rFonts w:ascii="Arial" w:hAnsi="Arial" w:cs="Arial"/>
          <w:spacing w:val="-19"/>
          <w:sz w:val="22"/>
          <w:szCs w:val="22"/>
        </w:rPr>
        <w:t xml:space="preserve"> </w:t>
      </w:r>
      <w:r w:rsidRPr="00E2024E">
        <w:rPr>
          <w:rFonts w:ascii="Arial" w:hAnsi="Arial" w:cs="Arial"/>
          <w:sz w:val="22"/>
          <w:szCs w:val="22"/>
        </w:rPr>
        <w:t>la</w:t>
      </w:r>
      <w:r w:rsidRPr="00E2024E">
        <w:rPr>
          <w:rFonts w:ascii="Arial" w:hAnsi="Arial" w:cs="Arial"/>
          <w:spacing w:val="-18"/>
          <w:sz w:val="22"/>
          <w:szCs w:val="22"/>
        </w:rPr>
        <w:t xml:space="preserve"> </w:t>
      </w:r>
      <w:r w:rsidRPr="00E2024E">
        <w:rPr>
          <w:rFonts w:ascii="Arial" w:hAnsi="Arial" w:cs="Arial"/>
          <w:sz w:val="22"/>
          <w:szCs w:val="22"/>
        </w:rPr>
        <w:t xml:space="preserve">protección </w:t>
      </w:r>
      <w:r w:rsidRPr="00E2024E">
        <w:rPr>
          <w:rFonts w:ascii="Arial" w:hAnsi="Arial" w:cs="Arial"/>
          <w:spacing w:val="-4"/>
          <w:sz w:val="22"/>
          <w:szCs w:val="22"/>
        </w:rPr>
        <w:t>de</w:t>
      </w:r>
      <w:r w:rsidRPr="00E2024E">
        <w:rPr>
          <w:rFonts w:ascii="Arial" w:hAnsi="Arial" w:cs="Arial"/>
          <w:spacing w:val="-14"/>
          <w:sz w:val="22"/>
          <w:szCs w:val="22"/>
        </w:rPr>
        <w:t xml:space="preserve"> </w:t>
      </w:r>
      <w:r w:rsidRPr="00E2024E">
        <w:rPr>
          <w:rFonts w:ascii="Arial" w:hAnsi="Arial" w:cs="Arial"/>
          <w:spacing w:val="-4"/>
          <w:sz w:val="22"/>
          <w:szCs w:val="22"/>
        </w:rPr>
        <w:t>los</w:t>
      </w:r>
      <w:r w:rsidRPr="00E2024E">
        <w:rPr>
          <w:rFonts w:ascii="Arial" w:hAnsi="Arial" w:cs="Arial"/>
          <w:spacing w:val="-14"/>
          <w:sz w:val="22"/>
          <w:szCs w:val="22"/>
        </w:rPr>
        <w:t xml:space="preserve"> </w:t>
      </w:r>
      <w:r w:rsidRPr="00E2024E">
        <w:rPr>
          <w:rFonts w:ascii="Arial" w:hAnsi="Arial" w:cs="Arial"/>
          <w:spacing w:val="-4"/>
          <w:sz w:val="22"/>
          <w:szCs w:val="22"/>
        </w:rPr>
        <w:t>derechos</w:t>
      </w:r>
      <w:r w:rsidRPr="00E2024E">
        <w:rPr>
          <w:rFonts w:ascii="Arial" w:hAnsi="Arial" w:cs="Arial"/>
          <w:spacing w:val="-14"/>
          <w:sz w:val="22"/>
          <w:szCs w:val="22"/>
        </w:rPr>
        <w:t xml:space="preserve"> </w:t>
      </w:r>
      <w:r w:rsidRPr="00E2024E">
        <w:rPr>
          <w:rFonts w:ascii="Arial" w:hAnsi="Arial" w:cs="Arial"/>
          <w:spacing w:val="-4"/>
          <w:sz w:val="22"/>
          <w:szCs w:val="22"/>
        </w:rPr>
        <w:t>humanos,</w:t>
      </w:r>
      <w:r w:rsidRPr="00E2024E">
        <w:rPr>
          <w:rFonts w:ascii="Arial" w:hAnsi="Arial" w:cs="Arial"/>
          <w:spacing w:val="-14"/>
          <w:sz w:val="22"/>
          <w:szCs w:val="22"/>
        </w:rPr>
        <w:t xml:space="preserve"> </w:t>
      </w:r>
      <w:r w:rsidRPr="00E2024E">
        <w:rPr>
          <w:rFonts w:ascii="Arial" w:hAnsi="Arial" w:cs="Arial"/>
          <w:spacing w:val="-4"/>
          <w:sz w:val="22"/>
          <w:szCs w:val="22"/>
        </w:rPr>
        <w:t>la</w:t>
      </w:r>
      <w:r w:rsidRPr="00E2024E">
        <w:rPr>
          <w:rFonts w:ascii="Arial" w:hAnsi="Arial" w:cs="Arial"/>
          <w:spacing w:val="-14"/>
          <w:sz w:val="22"/>
          <w:szCs w:val="22"/>
        </w:rPr>
        <w:t xml:space="preserve"> </w:t>
      </w:r>
      <w:r w:rsidRPr="00E2024E">
        <w:rPr>
          <w:rFonts w:ascii="Arial" w:hAnsi="Arial" w:cs="Arial"/>
          <w:spacing w:val="-4"/>
          <w:sz w:val="22"/>
          <w:szCs w:val="22"/>
        </w:rPr>
        <w:t>tenencia</w:t>
      </w:r>
      <w:r w:rsidRPr="00E2024E">
        <w:rPr>
          <w:rFonts w:ascii="Arial" w:hAnsi="Arial" w:cs="Arial"/>
          <w:spacing w:val="-14"/>
          <w:sz w:val="22"/>
          <w:szCs w:val="22"/>
        </w:rPr>
        <w:t xml:space="preserve"> </w:t>
      </w:r>
      <w:r w:rsidRPr="00E2024E">
        <w:rPr>
          <w:rFonts w:ascii="Arial" w:hAnsi="Arial" w:cs="Arial"/>
          <w:spacing w:val="-4"/>
          <w:sz w:val="22"/>
          <w:szCs w:val="22"/>
        </w:rPr>
        <w:t>de</w:t>
      </w:r>
      <w:r>
        <w:rPr>
          <w:rFonts w:ascii="Arial" w:hAnsi="Arial" w:cs="Arial"/>
          <w:spacing w:val="-4"/>
          <w:sz w:val="22"/>
          <w:szCs w:val="22"/>
        </w:rPr>
        <w:t xml:space="preserve"> la</w:t>
      </w:r>
      <w:r w:rsidRPr="00E2024E">
        <w:rPr>
          <w:rFonts w:ascii="Arial" w:hAnsi="Arial" w:cs="Arial"/>
          <w:spacing w:val="-14"/>
          <w:sz w:val="22"/>
          <w:szCs w:val="22"/>
        </w:rPr>
        <w:t xml:space="preserve"> </w:t>
      </w:r>
      <w:r w:rsidRPr="00E2024E">
        <w:rPr>
          <w:rFonts w:ascii="Arial" w:hAnsi="Arial" w:cs="Arial"/>
          <w:spacing w:val="-4"/>
          <w:sz w:val="22"/>
          <w:szCs w:val="22"/>
        </w:rPr>
        <w:t xml:space="preserve">tierra, </w:t>
      </w:r>
      <w:r w:rsidRPr="00E2024E">
        <w:rPr>
          <w:rFonts w:ascii="Arial" w:hAnsi="Arial" w:cs="Arial"/>
          <w:sz w:val="22"/>
          <w:szCs w:val="22"/>
        </w:rPr>
        <w:t>vivienda</w:t>
      </w:r>
      <w:r w:rsidRPr="00E2024E">
        <w:rPr>
          <w:rFonts w:ascii="Arial" w:hAnsi="Arial" w:cs="Arial"/>
          <w:spacing w:val="-5"/>
          <w:sz w:val="22"/>
          <w:szCs w:val="22"/>
        </w:rPr>
        <w:t xml:space="preserve"> </w:t>
      </w:r>
      <w:r w:rsidRPr="00E2024E">
        <w:rPr>
          <w:rFonts w:ascii="Arial" w:hAnsi="Arial" w:cs="Arial"/>
          <w:sz w:val="22"/>
          <w:szCs w:val="22"/>
        </w:rPr>
        <w:t>digna,</w:t>
      </w:r>
      <w:r w:rsidRPr="00E2024E">
        <w:rPr>
          <w:rFonts w:ascii="Arial" w:hAnsi="Arial" w:cs="Arial"/>
          <w:spacing w:val="-5"/>
          <w:sz w:val="22"/>
          <w:szCs w:val="22"/>
        </w:rPr>
        <w:t xml:space="preserve"> </w:t>
      </w:r>
      <w:r w:rsidRPr="00E2024E">
        <w:rPr>
          <w:rFonts w:ascii="Arial" w:hAnsi="Arial" w:cs="Arial"/>
          <w:sz w:val="22"/>
          <w:szCs w:val="22"/>
        </w:rPr>
        <w:t>espacios</w:t>
      </w:r>
      <w:r w:rsidRPr="00E2024E">
        <w:rPr>
          <w:rFonts w:ascii="Arial" w:hAnsi="Arial" w:cs="Arial"/>
          <w:spacing w:val="-5"/>
          <w:sz w:val="22"/>
          <w:szCs w:val="22"/>
        </w:rPr>
        <w:t xml:space="preserve"> </w:t>
      </w:r>
      <w:r w:rsidRPr="00E2024E">
        <w:rPr>
          <w:rFonts w:ascii="Arial" w:hAnsi="Arial" w:cs="Arial"/>
          <w:sz w:val="22"/>
          <w:szCs w:val="22"/>
        </w:rPr>
        <w:t>públicos</w:t>
      </w:r>
      <w:r w:rsidRPr="00E2024E">
        <w:rPr>
          <w:rFonts w:ascii="Arial" w:hAnsi="Arial" w:cs="Arial"/>
          <w:spacing w:val="-5"/>
          <w:sz w:val="22"/>
          <w:szCs w:val="22"/>
        </w:rPr>
        <w:t xml:space="preserve"> </w:t>
      </w:r>
      <w:r w:rsidRPr="00E2024E">
        <w:rPr>
          <w:rFonts w:ascii="Arial" w:hAnsi="Arial" w:cs="Arial"/>
          <w:sz w:val="22"/>
          <w:szCs w:val="22"/>
        </w:rPr>
        <w:t>y</w:t>
      </w:r>
      <w:r w:rsidRPr="00E2024E">
        <w:rPr>
          <w:rFonts w:ascii="Arial" w:hAnsi="Arial" w:cs="Arial"/>
          <w:spacing w:val="-5"/>
          <w:sz w:val="22"/>
          <w:szCs w:val="22"/>
        </w:rPr>
        <w:t xml:space="preserve"> </w:t>
      </w:r>
      <w:r w:rsidRPr="00E2024E">
        <w:rPr>
          <w:rFonts w:ascii="Arial" w:hAnsi="Arial" w:cs="Arial"/>
          <w:sz w:val="22"/>
          <w:szCs w:val="22"/>
        </w:rPr>
        <w:t>la</w:t>
      </w:r>
      <w:r w:rsidRPr="00E2024E">
        <w:rPr>
          <w:rFonts w:ascii="Arial" w:hAnsi="Arial" w:cs="Arial"/>
          <w:spacing w:val="-5"/>
          <w:sz w:val="22"/>
          <w:szCs w:val="22"/>
        </w:rPr>
        <w:t xml:space="preserve"> </w:t>
      </w:r>
      <w:r w:rsidRPr="00E2024E">
        <w:rPr>
          <w:rFonts w:ascii="Arial" w:hAnsi="Arial" w:cs="Arial"/>
          <w:sz w:val="22"/>
          <w:szCs w:val="22"/>
        </w:rPr>
        <w:t>promoción de oportunidades para todos los indivi</w:t>
      </w:r>
      <w:r w:rsidRPr="00E2024E">
        <w:rPr>
          <w:rFonts w:ascii="Arial" w:hAnsi="Arial" w:cs="Arial"/>
          <w:spacing w:val="-2"/>
          <w:sz w:val="22"/>
          <w:szCs w:val="22"/>
        </w:rPr>
        <w:t>duos.</w:t>
      </w:r>
    </w:p>
    <w:p w14:paraId="526A471F" w14:textId="5FE4987D" w:rsidR="0070429C" w:rsidRPr="00E2024E" w:rsidRDefault="0070429C" w:rsidP="00B205BA">
      <w:pPr>
        <w:pStyle w:val="Textoindependiente"/>
        <w:spacing w:after="120"/>
        <w:ind w:right="49"/>
        <w:jc w:val="both"/>
        <w:rPr>
          <w:rFonts w:ascii="Arial" w:hAnsi="Arial" w:cs="Arial"/>
          <w:sz w:val="22"/>
          <w:szCs w:val="22"/>
        </w:rPr>
      </w:pPr>
      <w:r w:rsidRPr="00E2024E">
        <w:rPr>
          <w:rFonts w:ascii="Arial" w:hAnsi="Arial" w:cs="Arial"/>
          <w:spacing w:val="-8"/>
          <w:sz w:val="22"/>
          <w:szCs w:val="22"/>
        </w:rPr>
        <w:t>La</w:t>
      </w:r>
      <w:r w:rsidRPr="00E2024E">
        <w:rPr>
          <w:rFonts w:ascii="Arial" w:hAnsi="Arial" w:cs="Arial"/>
          <w:spacing w:val="-11"/>
          <w:sz w:val="22"/>
          <w:szCs w:val="22"/>
        </w:rPr>
        <w:t xml:space="preserve"> </w:t>
      </w:r>
      <w:r w:rsidRPr="00E2024E">
        <w:rPr>
          <w:rFonts w:ascii="Arial" w:hAnsi="Arial" w:cs="Arial"/>
          <w:spacing w:val="-8"/>
          <w:sz w:val="22"/>
          <w:szCs w:val="22"/>
        </w:rPr>
        <w:t>seguridad</w:t>
      </w:r>
      <w:r w:rsidRPr="00E2024E">
        <w:rPr>
          <w:rFonts w:ascii="Arial" w:hAnsi="Arial" w:cs="Arial"/>
          <w:spacing w:val="-10"/>
          <w:sz w:val="22"/>
          <w:szCs w:val="22"/>
        </w:rPr>
        <w:t xml:space="preserve"> </w:t>
      </w:r>
      <w:r w:rsidRPr="00E2024E">
        <w:rPr>
          <w:rFonts w:ascii="Arial" w:hAnsi="Arial" w:cs="Arial"/>
          <w:spacing w:val="-8"/>
          <w:sz w:val="22"/>
          <w:szCs w:val="22"/>
        </w:rPr>
        <w:t>de</w:t>
      </w:r>
      <w:r w:rsidRPr="00E2024E">
        <w:rPr>
          <w:rFonts w:ascii="Arial" w:hAnsi="Arial" w:cs="Arial"/>
          <w:spacing w:val="-10"/>
          <w:sz w:val="22"/>
          <w:szCs w:val="22"/>
        </w:rPr>
        <w:t xml:space="preserve"> </w:t>
      </w:r>
      <w:r w:rsidRPr="00E2024E">
        <w:rPr>
          <w:rFonts w:ascii="Arial" w:hAnsi="Arial" w:cs="Arial"/>
          <w:spacing w:val="-8"/>
          <w:sz w:val="22"/>
          <w:szCs w:val="22"/>
        </w:rPr>
        <w:t>la</w:t>
      </w:r>
      <w:r w:rsidRPr="00E2024E">
        <w:rPr>
          <w:rFonts w:ascii="Arial" w:hAnsi="Arial" w:cs="Arial"/>
          <w:spacing w:val="-11"/>
          <w:sz w:val="22"/>
          <w:szCs w:val="22"/>
        </w:rPr>
        <w:t xml:space="preserve"> </w:t>
      </w:r>
      <w:r w:rsidRPr="00E2024E">
        <w:rPr>
          <w:rFonts w:ascii="Arial" w:hAnsi="Arial" w:cs="Arial"/>
          <w:spacing w:val="-8"/>
          <w:sz w:val="22"/>
          <w:szCs w:val="22"/>
        </w:rPr>
        <w:t>tenencia</w:t>
      </w:r>
      <w:r w:rsidRPr="00E2024E">
        <w:rPr>
          <w:rFonts w:ascii="Arial" w:hAnsi="Arial" w:cs="Arial"/>
          <w:spacing w:val="-10"/>
          <w:sz w:val="22"/>
          <w:szCs w:val="22"/>
        </w:rPr>
        <w:t xml:space="preserve"> </w:t>
      </w:r>
      <w:r w:rsidRPr="00E2024E">
        <w:rPr>
          <w:rFonts w:ascii="Arial" w:hAnsi="Arial" w:cs="Arial"/>
          <w:spacing w:val="-8"/>
          <w:sz w:val="22"/>
          <w:szCs w:val="22"/>
        </w:rPr>
        <w:t>se</w:t>
      </w:r>
      <w:r w:rsidRPr="00E2024E">
        <w:rPr>
          <w:rFonts w:ascii="Arial" w:hAnsi="Arial" w:cs="Arial"/>
          <w:spacing w:val="-11"/>
          <w:sz w:val="22"/>
          <w:szCs w:val="22"/>
        </w:rPr>
        <w:t xml:space="preserve"> </w:t>
      </w:r>
      <w:r w:rsidRPr="00E2024E">
        <w:rPr>
          <w:rFonts w:ascii="Arial" w:hAnsi="Arial" w:cs="Arial"/>
          <w:spacing w:val="-8"/>
          <w:sz w:val="22"/>
          <w:szCs w:val="22"/>
        </w:rPr>
        <w:t>refiere</w:t>
      </w:r>
      <w:r w:rsidRPr="00E2024E">
        <w:rPr>
          <w:rFonts w:ascii="Arial" w:hAnsi="Arial" w:cs="Arial"/>
          <w:spacing w:val="-10"/>
          <w:sz w:val="22"/>
          <w:szCs w:val="22"/>
        </w:rPr>
        <w:t xml:space="preserve"> </w:t>
      </w:r>
      <w:r w:rsidRPr="00E2024E">
        <w:rPr>
          <w:rFonts w:ascii="Arial" w:hAnsi="Arial" w:cs="Arial"/>
          <w:spacing w:val="-8"/>
          <w:sz w:val="22"/>
          <w:szCs w:val="22"/>
        </w:rPr>
        <w:t>a</w:t>
      </w:r>
      <w:r w:rsidRPr="00E2024E">
        <w:rPr>
          <w:rFonts w:ascii="Arial" w:hAnsi="Arial" w:cs="Arial"/>
          <w:spacing w:val="-10"/>
          <w:sz w:val="22"/>
          <w:szCs w:val="22"/>
        </w:rPr>
        <w:t xml:space="preserve"> </w:t>
      </w:r>
      <w:r w:rsidRPr="00E2024E">
        <w:rPr>
          <w:rFonts w:ascii="Arial" w:hAnsi="Arial" w:cs="Arial"/>
          <w:spacing w:val="-8"/>
          <w:sz w:val="22"/>
          <w:szCs w:val="22"/>
        </w:rPr>
        <w:t>la</w:t>
      </w:r>
      <w:r w:rsidRPr="00E2024E">
        <w:rPr>
          <w:rFonts w:ascii="Arial" w:hAnsi="Arial" w:cs="Arial"/>
          <w:spacing w:val="-11"/>
          <w:sz w:val="22"/>
          <w:szCs w:val="22"/>
        </w:rPr>
        <w:t xml:space="preserve"> </w:t>
      </w:r>
      <w:r w:rsidRPr="00E2024E">
        <w:rPr>
          <w:rFonts w:ascii="Arial" w:hAnsi="Arial" w:cs="Arial"/>
          <w:spacing w:val="-8"/>
          <w:sz w:val="22"/>
          <w:szCs w:val="22"/>
        </w:rPr>
        <w:t>garan</w:t>
      </w:r>
      <w:r w:rsidRPr="00E2024E">
        <w:rPr>
          <w:rFonts w:ascii="Arial" w:hAnsi="Arial" w:cs="Arial"/>
          <w:spacing w:val="-2"/>
          <w:sz w:val="22"/>
          <w:szCs w:val="22"/>
        </w:rPr>
        <w:t>tía</w:t>
      </w:r>
      <w:r w:rsidRPr="00E2024E">
        <w:rPr>
          <w:rFonts w:ascii="Arial" w:hAnsi="Arial" w:cs="Arial"/>
          <w:spacing w:val="-16"/>
          <w:sz w:val="22"/>
          <w:szCs w:val="22"/>
        </w:rPr>
        <w:t xml:space="preserve"> </w:t>
      </w:r>
      <w:r w:rsidRPr="00E2024E">
        <w:rPr>
          <w:rFonts w:ascii="Arial" w:hAnsi="Arial" w:cs="Arial"/>
          <w:spacing w:val="-2"/>
          <w:sz w:val="22"/>
          <w:szCs w:val="22"/>
        </w:rPr>
        <w:t>que</w:t>
      </w:r>
      <w:r w:rsidRPr="00E2024E">
        <w:rPr>
          <w:rFonts w:ascii="Arial" w:hAnsi="Arial" w:cs="Arial"/>
          <w:spacing w:val="-16"/>
          <w:sz w:val="22"/>
          <w:szCs w:val="22"/>
        </w:rPr>
        <w:t xml:space="preserve"> </w:t>
      </w:r>
      <w:r w:rsidRPr="00E2024E">
        <w:rPr>
          <w:rFonts w:ascii="Arial" w:hAnsi="Arial" w:cs="Arial"/>
          <w:spacing w:val="-2"/>
          <w:sz w:val="22"/>
          <w:szCs w:val="22"/>
        </w:rPr>
        <w:t>tienen</w:t>
      </w:r>
      <w:r w:rsidRPr="00E2024E">
        <w:rPr>
          <w:rFonts w:ascii="Arial" w:hAnsi="Arial" w:cs="Arial"/>
          <w:spacing w:val="-16"/>
          <w:sz w:val="22"/>
          <w:szCs w:val="22"/>
        </w:rPr>
        <w:t xml:space="preserve"> </w:t>
      </w:r>
      <w:r w:rsidRPr="00E2024E">
        <w:rPr>
          <w:rFonts w:ascii="Arial" w:hAnsi="Arial" w:cs="Arial"/>
          <w:spacing w:val="-2"/>
          <w:sz w:val="22"/>
          <w:szCs w:val="22"/>
        </w:rPr>
        <w:t>los</w:t>
      </w:r>
      <w:r w:rsidRPr="00E2024E">
        <w:rPr>
          <w:rFonts w:ascii="Arial" w:hAnsi="Arial" w:cs="Arial"/>
          <w:spacing w:val="-16"/>
          <w:sz w:val="22"/>
          <w:szCs w:val="22"/>
        </w:rPr>
        <w:t xml:space="preserve"> </w:t>
      </w:r>
      <w:r w:rsidRPr="00E2024E">
        <w:rPr>
          <w:rFonts w:ascii="Arial" w:hAnsi="Arial" w:cs="Arial"/>
          <w:spacing w:val="-2"/>
          <w:sz w:val="22"/>
          <w:szCs w:val="22"/>
        </w:rPr>
        <w:t>ciudadanos</w:t>
      </w:r>
      <w:r w:rsidRPr="00E2024E">
        <w:rPr>
          <w:rFonts w:ascii="Arial" w:hAnsi="Arial" w:cs="Arial"/>
          <w:spacing w:val="-16"/>
          <w:sz w:val="22"/>
          <w:szCs w:val="22"/>
        </w:rPr>
        <w:t xml:space="preserve"> </w:t>
      </w:r>
      <w:r w:rsidRPr="00E2024E">
        <w:rPr>
          <w:rFonts w:ascii="Arial" w:hAnsi="Arial" w:cs="Arial"/>
          <w:spacing w:val="-2"/>
          <w:sz w:val="22"/>
          <w:szCs w:val="22"/>
        </w:rPr>
        <w:t>sobre</w:t>
      </w:r>
      <w:r w:rsidRPr="00E2024E">
        <w:rPr>
          <w:rFonts w:ascii="Arial" w:hAnsi="Arial" w:cs="Arial"/>
          <w:spacing w:val="-16"/>
          <w:sz w:val="22"/>
          <w:szCs w:val="22"/>
        </w:rPr>
        <w:t xml:space="preserve"> </w:t>
      </w:r>
      <w:r w:rsidRPr="00E2024E">
        <w:rPr>
          <w:rFonts w:ascii="Arial" w:hAnsi="Arial" w:cs="Arial"/>
          <w:spacing w:val="-2"/>
          <w:sz w:val="22"/>
          <w:szCs w:val="22"/>
        </w:rPr>
        <w:t>su</w:t>
      </w:r>
      <w:r w:rsidRPr="00E2024E">
        <w:rPr>
          <w:rFonts w:ascii="Arial" w:hAnsi="Arial" w:cs="Arial"/>
          <w:spacing w:val="-16"/>
          <w:sz w:val="22"/>
          <w:szCs w:val="22"/>
        </w:rPr>
        <w:t xml:space="preserve"> </w:t>
      </w:r>
      <w:r w:rsidRPr="00E2024E">
        <w:rPr>
          <w:rFonts w:ascii="Arial" w:hAnsi="Arial" w:cs="Arial"/>
          <w:spacing w:val="-2"/>
          <w:sz w:val="22"/>
          <w:szCs w:val="22"/>
        </w:rPr>
        <w:t xml:space="preserve">derecho </w:t>
      </w:r>
      <w:r w:rsidRPr="00E2024E">
        <w:rPr>
          <w:rFonts w:ascii="Arial" w:hAnsi="Arial" w:cs="Arial"/>
          <w:sz w:val="22"/>
          <w:szCs w:val="22"/>
        </w:rPr>
        <w:t>a</w:t>
      </w:r>
      <w:r w:rsidRPr="00E2024E">
        <w:rPr>
          <w:rFonts w:ascii="Arial" w:hAnsi="Arial" w:cs="Arial"/>
          <w:spacing w:val="-10"/>
          <w:sz w:val="22"/>
          <w:szCs w:val="22"/>
        </w:rPr>
        <w:t xml:space="preserve"> </w:t>
      </w:r>
      <w:r w:rsidRPr="00E2024E">
        <w:rPr>
          <w:rFonts w:ascii="Arial" w:hAnsi="Arial" w:cs="Arial"/>
          <w:sz w:val="22"/>
          <w:szCs w:val="22"/>
        </w:rPr>
        <w:t>habitar</w:t>
      </w:r>
      <w:r w:rsidRPr="00E2024E">
        <w:rPr>
          <w:rFonts w:ascii="Arial" w:hAnsi="Arial" w:cs="Arial"/>
          <w:spacing w:val="-10"/>
          <w:sz w:val="22"/>
          <w:szCs w:val="22"/>
        </w:rPr>
        <w:t xml:space="preserve"> </w:t>
      </w:r>
      <w:r w:rsidRPr="00E2024E">
        <w:rPr>
          <w:rFonts w:ascii="Arial" w:hAnsi="Arial" w:cs="Arial"/>
          <w:sz w:val="22"/>
          <w:szCs w:val="22"/>
        </w:rPr>
        <w:t>un</w:t>
      </w:r>
      <w:r w:rsidRPr="00E2024E">
        <w:rPr>
          <w:rFonts w:ascii="Arial" w:hAnsi="Arial" w:cs="Arial"/>
          <w:spacing w:val="-10"/>
          <w:sz w:val="22"/>
          <w:szCs w:val="22"/>
        </w:rPr>
        <w:t xml:space="preserve"> </w:t>
      </w:r>
      <w:r w:rsidRPr="00E2024E">
        <w:rPr>
          <w:rFonts w:ascii="Arial" w:hAnsi="Arial" w:cs="Arial"/>
          <w:sz w:val="22"/>
          <w:szCs w:val="22"/>
        </w:rPr>
        <w:t>espacio</w:t>
      </w:r>
      <w:r w:rsidRPr="00E2024E">
        <w:rPr>
          <w:rFonts w:ascii="Arial" w:hAnsi="Arial" w:cs="Arial"/>
          <w:spacing w:val="-10"/>
          <w:sz w:val="22"/>
          <w:szCs w:val="22"/>
        </w:rPr>
        <w:t xml:space="preserve"> </w:t>
      </w:r>
      <w:r w:rsidRPr="00E2024E">
        <w:rPr>
          <w:rFonts w:ascii="Arial" w:hAnsi="Arial" w:cs="Arial"/>
          <w:sz w:val="22"/>
          <w:szCs w:val="22"/>
        </w:rPr>
        <w:t>sin</w:t>
      </w:r>
      <w:r w:rsidRPr="00E2024E">
        <w:rPr>
          <w:rFonts w:ascii="Arial" w:hAnsi="Arial" w:cs="Arial"/>
          <w:spacing w:val="-10"/>
          <w:sz w:val="22"/>
          <w:szCs w:val="22"/>
        </w:rPr>
        <w:t xml:space="preserve"> </w:t>
      </w:r>
      <w:r w:rsidRPr="00E2024E">
        <w:rPr>
          <w:rFonts w:ascii="Arial" w:hAnsi="Arial" w:cs="Arial"/>
          <w:sz w:val="22"/>
          <w:szCs w:val="22"/>
        </w:rPr>
        <w:t>temor</w:t>
      </w:r>
      <w:r w:rsidRPr="00E2024E">
        <w:rPr>
          <w:rFonts w:ascii="Arial" w:hAnsi="Arial" w:cs="Arial"/>
          <w:spacing w:val="-10"/>
          <w:sz w:val="22"/>
          <w:szCs w:val="22"/>
        </w:rPr>
        <w:t xml:space="preserve"> </w:t>
      </w:r>
      <w:r w:rsidRPr="00E2024E">
        <w:rPr>
          <w:rFonts w:ascii="Arial" w:hAnsi="Arial" w:cs="Arial"/>
          <w:sz w:val="22"/>
          <w:szCs w:val="22"/>
        </w:rPr>
        <w:t>a</w:t>
      </w:r>
      <w:r w:rsidRPr="00E2024E">
        <w:rPr>
          <w:rFonts w:ascii="Arial" w:hAnsi="Arial" w:cs="Arial"/>
          <w:spacing w:val="-10"/>
          <w:sz w:val="22"/>
          <w:szCs w:val="22"/>
        </w:rPr>
        <w:t xml:space="preserve"> </w:t>
      </w:r>
      <w:r w:rsidRPr="00E2024E">
        <w:rPr>
          <w:rFonts w:ascii="Arial" w:hAnsi="Arial" w:cs="Arial"/>
          <w:sz w:val="22"/>
          <w:szCs w:val="22"/>
        </w:rPr>
        <w:t>ser</w:t>
      </w:r>
      <w:r w:rsidRPr="00E2024E">
        <w:rPr>
          <w:rFonts w:ascii="Arial" w:hAnsi="Arial" w:cs="Arial"/>
          <w:spacing w:val="-10"/>
          <w:sz w:val="22"/>
          <w:szCs w:val="22"/>
        </w:rPr>
        <w:t xml:space="preserve"> </w:t>
      </w:r>
      <w:r w:rsidRPr="00E2024E">
        <w:rPr>
          <w:rFonts w:ascii="Arial" w:hAnsi="Arial" w:cs="Arial"/>
          <w:sz w:val="22"/>
          <w:szCs w:val="22"/>
        </w:rPr>
        <w:t>desaloja</w:t>
      </w:r>
      <w:r w:rsidRPr="00E2024E">
        <w:rPr>
          <w:rFonts w:ascii="Arial" w:hAnsi="Arial" w:cs="Arial"/>
          <w:spacing w:val="-4"/>
          <w:sz w:val="22"/>
          <w:szCs w:val="22"/>
        </w:rPr>
        <w:t>dos</w:t>
      </w:r>
      <w:r w:rsidRPr="00E2024E">
        <w:rPr>
          <w:rFonts w:ascii="Arial" w:hAnsi="Arial" w:cs="Arial"/>
          <w:spacing w:val="-11"/>
          <w:sz w:val="22"/>
          <w:szCs w:val="22"/>
        </w:rPr>
        <w:t xml:space="preserve"> </w:t>
      </w:r>
      <w:r w:rsidRPr="00E2024E">
        <w:rPr>
          <w:rFonts w:ascii="Arial" w:hAnsi="Arial" w:cs="Arial"/>
          <w:spacing w:val="-4"/>
          <w:sz w:val="22"/>
          <w:szCs w:val="22"/>
        </w:rPr>
        <w:t>arbitrariamente,</w:t>
      </w:r>
      <w:r w:rsidRPr="00E2024E">
        <w:rPr>
          <w:rFonts w:ascii="Arial" w:hAnsi="Arial" w:cs="Arial"/>
          <w:spacing w:val="-11"/>
          <w:sz w:val="22"/>
          <w:szCs w:val="22"/>
        </w:rPr>
        <w:t xml:space="preserve"> </w:t>
      </w:r>
      <w:r w:rsidRPr="00E2024E">
        <w:rPr>
          <w:rFonts w:ascii="Arial" w:hAnsi="Arial" w:cs="Arial"/>
          <w:spacing w:val="-4"/>
          <w:sz w:val="22"/>
          <w:szCs w:val="22"/>
        </w:rPr>
        <w:t>lo</w:t>
      </w:r>
      <w:r w:rsidRPr="00E2024E">
        <w:rPr>
          <w:rFonts w:ascii="Arial" w:hAnsi="Arial" w:cs="Arial"/>
          <w:spacing w:val="-11"/>
          <w:sz w:val="22"/>
          <w:szCs w:val="22"/>
        </w:rPr>
        <w:t xml:space="preserve"> </w:t>
      </w:r>
      <w:r w:rsidRPr="00E2024E">
        <w:rPr>
          <w:rFonts w:ascii="Arial" w:hAnsi="Arial" w:cs="Arial"/>
          <w:spacing w:val="-4"/>
          <w:sz w:val="22"/>
          <w:szCs w:val="22"/>
        </w:rPr>
        <w:t>cual</w:t>
      </w:r>
      <w:r w:rsidRPr="00E2024E">
        <w:rPr>
          <w:rFonts w:ascii="Arial" w:hAnsi="Arial" w:cs="Arial"/>
          <w:spacing w:val="-11"/>
          <w:sz w:val="22"/>
          <w:szCs w:val="22"/>
        </w:rPr>
        <w:t xml:space="preserve"> </w:t>
      </w:r>
      <w:r>
        <w:rPr>
          <w:rFonts w:ascii="Arial" w:hAnsi="Arial" w:cs="Arial"/>
          <w:spacing w:val="-4"/>
          <w:sz w:val="22"/>
          <w:szCs w:val="22"/>
        </w:rPr>
        <w:t>constituye</w:t>
      </w:r>
      <w:r w:rsidRPr="00E2024E">
        <w:rPr>
          <w:rFonts w:ascii="Arial" w:hAnsi="Arial" w:cs="Arial"/>
          <w:spacing w:val="-11"/>
          <w:sz w:val="22"/>
          <w:szCs w:val="22"/>
        </w:rPr>
        <w:t xml:space="preserve"> </w:t>
      </w:r>
      <w:r w:rsidRPr="00E2024E">
        <w:rPr>
          <w:rFonts w:ascii="Arial" w:hAnsi="Arial" w:cs="Arial"/>
          <w:spacing w:val="-4"/>
          <w:sz w:val="22"/>
          <w:szCs w:val="22"/>
        </w:rPr>
        <w:t>un</w:t>
      </w:r>
      <w:r w:rsidRPr="00E2024E">
        <w:rPr>
          <w:rFonts w:ascii="Arial" w:hAnsi="Arial" w:cs="Arial"/>
          <w:spacing w:val="-11"/>
          <w:sz w:val="22"/>
          <w:szCs w:val="22"/>
        </w:rPr>
        <w:t xml:space="preserve"> </w:t>
      </w:r>
      <w:r w:rsidRPr="00E2024E">
        <w:rPr>
          <w:rFonts w:ascii="Arial" w:hAnsi="Arial" w:cs="Arial"/>
          <w:spacing w:val="-4"/>
          <w:sz w:val="22"/>
          <w:szCs w:val="22"/>
        </w:rPr>
        <w:t>pilar</w:t>
      </w:r>
      <w:r w:rsidRPr="00E2024E">
        <w:rPr>
          <w:rFonts w:ascii="Arial" w:hAnsi="Arial" w:cs="Arial"/>
          <w:spacing w:val="-11"/>
          <w:sz w:val="22"/>
          <w:szCs w:val="22"/>
        </w:rPr>
        <w:t xml:space="preserve"> </w:t>
      </w:r>
      <w:r w:rsidRPr="00E2024E">
        <w:rPr>
          <w:rFonts w:ascii="Arial" w:hAnsi="Arial" w:cs="Arial"/>
          <w:spacing w:val="-4"/>
          <w:sz w:val="22"/>
          <w:szCs w:val="22"/>
        </w:rPr>
        <w:t xml:space="preserve">esencial </w:t>
      </w:r>
      <w:r w:rsidRPr="00E2024E">
        <w:rPr>
          <w:rFonts w:ascii="Arial" w:hAnsi="Arial" w:cs="Arial"/>
          <w:sz w:val="22"/>
          <w:szCs w:val="22"/>
        </w:rPr>
        <w:t>para</w:t>
      </w:r>
      <w:r w:rsidRPr="00E2024E">
        <w:rPr>
          <w:rFonts w:ascii="Arial" w:hAnsi="Arial" w:cs="Arial"/>
          <w:spacing w:val="-18"/>
          <w:sz w:val="22"/>
          <w:szCs w:val="22"/>
        </w:rPr>
        <w:t xml:space="preserve"> </w:t>
      </w:r>
      <w:r w:rsidRPr="00E2024E">
        <w:rPr>
          <w:rFonts w:ascii="Arial" w:hAnsi="Arial" w:cs="Arial"/>
          <w:sz w:val="22"/>
          <w:szCs w:val="22"/>
        </w:rPr>
        <w:t>lograr</w:t>
      </w:r>
      <w:r w:rsidRPr="00E2024E">
        <w:rPr>
          <w:rFonts w:ascii="Arial" w:hAnsi="Arial" w:cs="Arial"/>
          <w:spacing w:val="-18"/>
          <w:sz w:val="22"/>
          <w:szCs w:val="22"/>
        </w:rPr>
        <w:t xml:space="preserve"> </w:t>
      </w:r>
      <w:r w:rsidRPr="00E2024E">
        <w:rPr>
          <w:rFonts w:ascii="Arial" w:hAnsi="Arial" w:cs="Arial"/>
          <w:sz w:val="22"/>
          <w:szCs w:val="22"/>
        </w:rPr>
        <w:t>una</w:t>
      </w:r>
      <w:r w:rsidRPr="00E2024E">
        <w:rPr>
          <w:rFonts w:ascii="Arial" w:hAnsi="Arial" w:cs="Arial"/>
          <w:spacing w:val="-18"/>
          <w:sz w:val="22"/>
          <w:szCs w:val="22"/>
        </w:rPr>
        <w:t xml:space="preserve"> </w:t>
      </w:r>
      <w:r w:rsidRPr="00E2024E">
        <w:rPr>
          <w:rFonts w:ascii="Arial" w:hAnsi="Arial" w:cs="Arial"/>
          <w:sz w:val="22"/>
          <w:szCs w:val="22"/>
        </w:rPr>
        <w:t>vivienda</w:t>
      </w:r>
      <w:r w:rsidRPr="00E2024E">
        <w:rPr>
          <w:rFonts w:ascii="Arial" w:hAnsi="Arial" w:cs="Arial"/>
          <w:spacing w:val="-18"/>
          <w:sz w:val="22"/>
          <w:szCs w:val="22"/>
        </w:rPr>
        <w:t xml:space="preserve"> </w:t>
      </w:r>
      <w:r w:rsidRPr="00E2024E">
        <w:rPr>
          <w:rFonts w:ascii="Arial" w:hAnsi="Arial" w:cs="Arial"/>
          <w:sz w:val="22"/>
          <w:szCs w:val="22"/>
        </w:rPr>
        <w:t>digna.</w:t>
      </w:r>
      <w:r w:rsidRPr="00E2024E">
        <w:rPr>
          <w:rFonts w:ascii="Arial" w:hAnsi="Arial" w:cs="Arial"/>
          <w:spacing w:val="-18"/>
          <w:sz w:val="22"/>
          <w:szCs w:val="22"/>
        </w:rPr>
        <w:t xml:space="preserve"> </w:t>
      </w:r>
      <w:r w:rsidRPr="00E2024E">
        <w:rPr>
          <w:rFonts w:ascii="Arial" w:hAnsi="Arial" w:cs="Arial"/>
          <w:sz w:val="22"/>
          <w:szCs w:val="22"/>
        </w:rPr>
        <w:t>Esta</w:t>
      </w:r>
      <w:r w:rsidRPr="00E2024E">
        <w:rPr>
          <w:rFonts w:ascii="Arial" w:hAnsi="Arial" w:cs="Arial"/>
          <w:spacing w:val="-18"/>
          <w:sz w:val="22"/>
          <w:szCs w:val="22"/>
        </w:rPr>
        <w:t xml:space="preserve"> </w:t>
      </w:r>
      <w:r w:rsidRPr="00E2024E">
        <w:rPr>
          <w:rFonts w:ascii="Arial" w:hAnsi="Arial" w:cs="Arial"/>
          <w:sz w:val="22"/>
          <w:szCs w:val="22"/>
        </w:rPr>
        <w:t xml:space="preserve">no </w:t>
      </w:r>
      <w:r w:rsidRPr="00E2024E">
        <w:rPr>
          <w:rFonts w:ascii="Arial" w:hAnsi="Arial" w:cs="Arial"/>
          <w:spacing w:val="-4"/>
          <w:sz w:val="22"/>
          <w:szCs w:val="22"/>
        </w:rPr>
        <w:t>solo</w:t>
      </w:r>
      <w:r w:rsidRPr="00E2024E">
        <w:rPr>
          <w:rFonts w:ascii="Arial" w:hAnsi="Arial" w:cs="Arial"/>
          <w:spacing w:val="-13"/>
          <w:sz w:val="22"/>
          <w:szCs w:val="22"/>
        </w:rPr>
        <w:t xml:space="preserve"> </w:t>
      </w:r>
      <w:r w:rsidRPr="00E2024E">
        <w:rPr>
          <w:rFonts w:ascii="Arial" w:hAnsi="Arial" w:cs="Arial"/>
          <w:spacing w:val="-4"/>
          <w:sz w:val="22"/>
          <w:szCs w:val="22"/>
        </w:rPr>
        <w:t>implica</w:t>
      </w:r>
      <w:r w:rsidRPr="00E2024E">
        <w:rPr>
          <w:rFonts w:ascii="Arial" w:hAnsi="Arial" w:cs="Arial"/>
          <w:spacing w:val="-13"/>
          <w:sz w:val="22"/>
          <w:szCs w:val="22"/>
        </w:rPr>
        <w:t xml:space="preserve"> </w:t>
      </w:r>
      <w:r w:rsidRPr="00E2024E">
        <w:rPr>
          <w:rFonts w:ascii="Arial" w:hAnsi="Arial" w:cs="Arial"/>
          <w:spacing w:val="-4"/>
          <w:sz w:val="22"/>
          <w:szCs w:val="22"/>
        </w:rPr>
        <w:t>condiciones</w:t>
      </w:r>
      <w:r w:rsidRPr="00E2024E">
        <w:rPr>
          <w:rFonts w:ascii="Arial" w:hAnsi="Arial" w:cs="Arial"/>
          <w:spacing w:val="-13"/>
          <w:sz w:val="22"/>
          <w:szCs w:val="22"/>
        </w:rPr>
        <w:t xml:space="preserve"> </w:t>
      </w:r>
      <w:r w:rsidRPr="00E2024E">
        <w:rPr>
          <w:rFonts w:ascii="Arial" w:hAnsi="Arial" w:cs="Arial"/>
          <w:spacing w:val="-4"/>
          <w:sz w:val="22"/>
          <w:szCs w:val="22"/>
        </w:rPr>
        <w:t>físicas</w:t>
      </w:r>
      <w:r w:rsidRPr="00E2024E">
        <w:rPr>
          <w:rFonts w:ascii="Arial" w:hAnsi="Arial" w:cs="Arial"/>
          <w:spacing w:val="-13"/>
          <w:sz w:val="22"/>
          <w:szCs w:val="22"/>
        </w:rPr>
        <w:t xml:space="preserve"> </w:t>
      </w:r>
      <w:r w:rsidRPr="00E2024E">
        <w:rPr>
          <w:rFonts w:ascii="Arial" w:hAnsi="Arial" w:cs="Arial"/>
          <w:spacing w:val="-4"/>
          <w:sz w:val="22"/>
          <w:szCs w:val="22"/>
        </w:rPr>
        <w:t>adecuadas,</w:t>
      </w:r>
      <w:r w:rsidRPr="00E2024E">
        <w:rPr>
          <w:rFonts w:ascii="Arial" w:hAnsi="Arial" w:cs="Arial"/>
          <w:spacing w:val="-13"/>
          <w:sz w:val="22"/>
          <w:szCs w:val="22"/>
        </w:rPr>
        <w:t xml:space="preserve"> </w:t>
      </w:r>
      <w:r w:rsidRPr="00E2024E">
        <w:rPr>
          <w:rFonts w:ascii="Arial" w:hAnsi="Arial" w:cs="Arial"/>
          <w:spacing w:val="-4"/>
          <w:sz w:val="22"/>
          <w:szCs w:val="22"/>
        </w:rPr>
        <w:t xml:space="preserve">sino </w:t>
      </w:r>
      <w:r w:rsidRPr="00E2024E">
        <w:rPr>
          <w:rFonts w:ascii="Arial" w:hAnsi="Arial" w:cs="Arial"/>
          <w:sz w:val="22"/>
          <w:szCs w:val="22"/>
        </w:rPr>
        <w:t>también un entorno seguro que promueva el bienestar social.</w:t>
      </w:r>
    </w:p>
    <w:p w14:paraId="2DAF9E4B" w14:textId="5FBACFDF" w:rsidR="0070429C" w:rsidRPr="00A033CE" w:rsidRDefault="0070429C" w:rsidP="00B205BA">
      <w:pPr>
        <w:pStyle w:val="Textoindependiente"/>
        <w:spacing w:after="120"/>
        <w:ind w:right="49"/>
        <w:jc w:val="both"/>
        <w:rPr>
          <w:rFonts w:ascii="Arial" w:hAnsi="Arial" w:cs="Arial"/>
          <w:sz w:val="22"/>
          <w:szCs w:val="22"/>
        </w:rPr>
      </w:pPr>
      <w:r w:rsidRPr="00E2024E">
        <w:rPr>
          <w:rFonts w:ascii="Arial" w:hAnsi="Arial" w:cs="Arial"/>
          <w:sz w:val="22"/>
          <w:szCs w:val="22"/>
        </w:rPr>
        <w:t>Los</w:t>
      </w:r>
      <w:r w:rsidRPr="00E2024E">
        <w:rPr>
          <w:rFonts w:ascii="Arial" w:hAnsi="Arial" w:cs="Arial"/>
          <w:spacing w:val="-1"/>
          <w:sz w:val="22"/>
          <w:szCs w:val="22"/>
        </w:rPr>
        <w:t xml:space="preserve"> </w:t>
      </w:r>
      <w:r w:rsidRPr="00E2024E">
        <w:rPr>
          <w:rFonts w:ascii="Arial" w:hAnsi="Arial" w:cs="Arial"/>
          <w:sz w:val="22"/>
          <w:szCs w:val="22"/>
        </w:rPr>
        <w:t>espacios</w:t>
      </w:r>
      <w:r w:rsidRPr="00E2024E">
        <w:rPr>
          <w:rFonts w:ascii="Arial" w:hAnsi="Arial" w:cs="Arial"/>
          <w:spacing w:val="-1"/>
          <w:sz w:val="22"/>
          <w:szCs w:val="22"/>
        </w:rPr>
        <w:t xml:space="preserve"> </w:t>
      </w:r>
      <w:r w:rsidRPr="00E2024E">
        <w:rPr>
          <w:rFonts w:ascii="Arial" w:hAnsi="Arial" w:cs="Arial"/>
          <w:sz w:val="22"/>
          <w:szCs w:val="22"/>
        </w:rPr>
        <w:t>públicos</w:t>
      </w:r>
      <w:r w:rsidRPr="00E2024E">
        <w:rPr>
          <w:rFonts w:ascii="Arial" w:hAnsi="Arial" w:cs="Arial"/>
          <w:spacing w:val="-1"/>
          <w:sz w:val="22"/>
          <w:szCs w:val="22"/>
        </w:rPr>
        <w:t xml:space="preserve"> </w:t>
      </w:r>
      <w:r w:rsidRPr="00E2024E">
        <w:rPr>
          <w:rFonts w:ascii="Arial" w:hAnsi="Arial" w:cs="Arial"/>
          <w:sz w:val="22"/>
          <w:szCs w:val="22"/>
        </w:rPr>
        <w:t>juegan</w:t>
      </w:r>
      <w:r w:rsidRPr="00E2024E">
        <w:rPr>
          <w:rFonts w:ascii="Arial" w:hAnsi="Arial" w:cs="Arial"/>
          <w:spacing w:val="-1"/>
          <w:sz w:val="22"/>
          <w:szCs w:val="22"/>
        </w:rPr>
        <w:t xml:space="preserve"> </w:t>
      </w:r>
      <w:r w:rsidRPr="00E2024E">
        <w:rPr>
          <w:rFonts w:ascii="Arial" w:hAnsi="Arial" w:cs="Arial"/>
          <w:sz w:val="22"/>
          <w:szCs w:val="22"/>
        </w:rPr>
        <w:t>un</w:t>
      </w:r>
      <w:r w:rsidRPr="00E2024E">
        <w:rPr>
          <w:rFonts w:ascii="Arial" w:hAnsi="Arial" w:cs="Arial"/>
          <w:spacing w:val="-1"/>
          <w:sz w:val="22"/>
          <w:szCs w:val="22"/>
        </w:rPr>
        <w:t xml:space="preserve"> </w:t>
      </w:r>
      <w:r w:rsidRPr="00E2024E">
        <w:rPr>
          <w:rFonts w:ascii="Arial" w:hAnsi="Arial" w:cs="Arial"/>
          <w:sz w:val="22"/>
          <w:szCs w:val="22"/>
        </w:rPr>
        <w:t>papel</w:t>
      </w:r>
      <w:r w:rsidRPr="00E2024E">
        <w:rPr>
          <w:rFonts w:ascii="Arial" w:hAnsi="Arial" w:cs="Arial"/>
          <w:spacing w:val="-1"/>
          <w:sz w:val="22"/>
          <w:szCs w:val="22"/>
        </w:rPr>
        <w:t xml:space="preserve"> </w:t>
      </w:r>
      <w:r w:rsidRPr="00E2024E">
        <w:rPr>
          <w:rFonts w:ascii="Arial" w:hAnsi="Arial" w:cs="Arial"/>
          <w:sz w:val="22"/>
          <w:szCs w:val="22"/>
        </w:rPr>
        <w:t xml:space="preserve">crucial </w:t>
      </w:r>
      <w:r w:rsidRPr="00E2024E">
        <w:rPr>
          <w:rFonts w:ascii="Arial" w:hAnsi="Arial" w:cs="Arial"/>
          <w:spacing w:val="-2"/>
          <w:sz w:val="22"/>
          <w:szCs w:val="22"/>
        </w:rPr>
        <w:t>en</w:t>
      </w:r>
      <w:r w:rsidRPr="00E2024E">
        <w:rPr>
          <w:rFonts w:ascii="Arial" w:hAnsi="Arial" w:cs="Arial"/>
          <w:spacing w:val="-17"/>
          <w:sz w:val="22"/>
          <w:szCs w:val="22"/>
        </w:rPr>
        <w:t xml:space="preserve"> </w:t>
      </w:r>
      <w:r w:rsidRPr="00E2024E">
        <w:rPr>
          <w:rFonts w:ascii="Arial" w:hAnsi="Arial" w:cs="Arial"/>
          <w:spacing w:val="-2"/>
          <w:sz w:val="22"/>
          <w:szCs w:val="22"/>
        </w:rPr>
        <w:t>este</w:t>
      </w:r>
      <w:r w:rsidRPr="00E2024E">
        <w:rPr>
          <w:rFonts w:ascii="Arial" w:hAnsi="Arial" w:cs="Arial"/>
          <w:spacing w:val="-16"/>
          <w:sz w:val="22"/>
          <w:szCs w:val="22"/>
        </w:rPr>
        <w:t xml:space="preserve"> </w:t>
      </w:r>
      <w:r w:rsidRPr="00E2024E">
        <w:rPr>
          <w:rFonts w:ascii="Arial" w:hAnsi="Arial" w:cs="Arial"/>
          <w:spacing w:val="-2"/>
          <w:sz w:val="22"/>
          <w:szCs w:val="22"/>
        </w:rPr>
        <w:t>contexto,</w:t>
      </w:r>
      <w:r w:rsidRPr="00E2024E">
        <w:rPr>
          <w:rFonts w:ascii="Arial" w:hAnsi="Arial" w:cs="Arial"/>
          <w:spacing w:val="-17"/>
          <w:sz w:val="22"/>
          <w:szCs w:val="22"/>
        </w:rPr>
        <w:t xml:space="preserve"> </w:t>
      </w:r>
      <w:r w:rsidRPr="00E2024E">
        <w:rPr>
          <w:rFonts w:ascii="Arial" w:hAnsi="Arial" w:cs="Arial"/>
          <w:spacing w:val="-2"/>
          <w:sz w:val="22"/>
          <w:szCs w:val="22"/>
        </w:rPr>
        <w:t>ya</w:t>
      </w:r>
      <w:r w:rsidRPr="00E2024E">
        <w:rPr>
          <w:rFonts w:ascii="Arial" w:hAnsi="Arial" w:cs="Arial"/>
          <w:spacing w:val="-16"/>
          <w:sz w:val="22"/>
          <w:szCs w:val="22"/>
        </w:rPr>
        <w:t xml:space="preserve"> </w:t>
      </w:r>
      <w:r w:rsidRPr="00E2024E">
        <w:rPr>
          <w:rFonts w:ascii="Arial" w:hAnsi="Arial" w:cs="Arial"/>
          <w:spacing w:val="-2"/>
          <w:sz w:val="22"/>
          <w:szCs w:val="22"/>
        </w:rPr>
        <w:t>que</w:t>
      </w:r>
      <w:r w:rsidRPr="00E2024E">
        <w:rPr>
          <w:rFonts w:ascii="Arial" w:hAnsi="Arial" w:cs="Arial"/>
          <w:spacing w:val="-17"/>
          <w:sz w:val="22"/>
          <w:szCs w:val="22"/>
        </w:rPr>
        <w:t xml:space="preserve"> </w:t>
      </w:r>
      <w:r w:rsidRPr="00E2024E">
        <w:rPr>
          <w:rFonts w:ascii="Arial" w:hAnsi="Arial" w:cs="Arial"/>
          <w:spacing w:val="-2"/>
          <w:sz w:val="22"/>
          <w:szCs w:val="22"/>
        </w:rPr>
        <w:t>son</w:t>
      </w:r>
      <w:r w:rsidRPr="00E2024E">
        <w:rPr>
          <w:rFonts w:ascii="Arial" w:hAnsi="Arial" w:cs="Arial"/>
          <w:spacing w:val="-16"/>
          <w:sz w:val="22"/>
          <w:szCs w:val="22"/>
        </w:rPr>
        <w:t xml:space="preserve"> </w:t>
      </w:r>
      <w:r w:rsidRPr="00E2024E">
        <w:rPr>
          <w:rFonts w:ascii="Arial" w:hAnsi="Arial" w:cs="Arial"/>
          <w:spacing w:val="-2"/>
          <w:sz w:val="22"/>
          <w:szCs w:val="22"/>
        </w:rPr>
        <w:t>lugares</w:t>
      </w:r>
      <w:r w:rsidRPr="00E2024E">
        <w:rPr>
          <w:rFonts w:ascii="Arial" w:hAnsi="Arial" w:cs="Arial"/>
          <w:spacing w:val="-17"/>
          <w:sz w:val="22"/>
          <w:szCs w:val="22"/>
        </w:rPr>
        <w:t xml:space="preserve"> </w:t>
      </w:r>
      <w:r w:rsidRPr="00E2024E">
        <w:rPr>
          <w:rFonts w:ascii="Arial" w:hAnsi="Arial" w:cs="Arial"/>
          <w:spacing w:val="-2"/>
          <w:sz w:val="22"/>
          <w:szCs w:val="22"/>
        </w:rPr>
        <w:t>donde</w:t>
      </w:r>
      <w:r w:rsidRPr="00E2024E">
        <w:rPr>
          <w:rFonts w:ascii="Arial" w:hAnsi="Arial" w:cs="Arial"/>
          <w:spacing w:val="-16"/>
          <w:sz w:val="22"/>
          <w:szCs w:val="22"/>
        </w:rPr>
        <w:t xml:space="preserve"> </w:t>
      </w:r>
      <w:r w:rsidRPr="00E2024E">
        <w:rPr>
          <w:rFonts w:ascii="Arial" w:hAnsi="Arial" w:cs="Arial"/>
          <w:spacing w:val="-2"/>
          <w:sz w:val="22"/>
          <w:szCs w:val="22"/>
        </w:rPr>
        <w:t>las personas</w:t>
      </w:r>
      <w:r w:rsidRPr="00E2024E">
        <w:rPr>
          <w:rFonts w:ascii="Arial" w:hAnsi="Arial" w:cs="Arial"/>
          <w:spacing w:val="-17"/>
          <w:sz w:val="22"/>
          <w:szCs w:val="22"/>
        </w:rPr>
        <w:t xml:space="preserve"> </w:t>
      </w:r>
      <w:r w:rsidRPr="00E2024E">
        <w:rPr>
          <w:rFonts w:ascii="Arial" w:hAnsi="Arial" w:cs="Arial"/>
          <w:spacing w:val="-2"/>
          <w:sz w:val="22"/>
          <w:szCs w:val="22"/>
        </w:rPr>
        <w:t>pueden</w:t>
      </w:r>
      <w:r w:rsidRPr="00E2024E">
        <w:rPr>
          <w:rFonts w:ascii="Arial" w:hAnsi="Arial" w:cs="Arial"/>
          <w:spacing w:val="-16"/>
          <w:sz w:val="22"/>
          <w:szCs w:val="22"/>
        </w:rPr>
        <w:t xml:space="preserve"> </w:t>
      </w:r>
      <w:r w:rsidRPr="00E2024E">
        <w:rPr>
          <w:rFonts w:ascii="Arial" w:hAnsi="Arial" w:cs="Arial"/>
          <w:spacing w:val="-2"/>
          <w:sz w:val="22"/>
          <w:szCs w:val="22"/>
        </w:rPr>
        <w:t>interactuar,</w:t>
      </w:r>
      <w:r w:rsidRPr="00E2024E">
        <w:rPr>
          <w:rFonts w:ascii="Arial" w:hAnsi="Arial" w:cs="Arial"/>
          <w:spacing w:val="-17"/>
          <w:sz w:val="22"/>
          <w:szCs w:val="22"/>
        </w:rPr>
        <w:t xml:space="preserve"> </w:t>
      </w:r>
      <w:r w:rsidRPr="00E2024E">
        <w:rPr>
          <w:rFonts w:ascii="Arial" w:hAnsi="Arial" w:cs="Arial"/>
          <w:spacing w:val="-2"/>
          <w:sz w:val="22"/>
          <w:szCs w:val="22"/>
        </w:rPr>
        <w:t>realizar</w:t>
      </w:r>
      <w:r w:rsidRPr="00E2024E">
        <w:rPr>
          <w:rFonts w:ascii="Arial" w:hAnsi="Arial" w:cs="Arial"/>
          <w:spacing w:val="-16"/>
          <w:sz w:val="22"/>
          <w:szCs w:val="22"/>
        </w:rPr>
        <w:t xml:space="preserve"> </w:t>
      </w:r>
      <w:r w:rsidRPr="00E2024E">
        <w:rPr>
          <w:rFonts w:ascii="Arial" w:hAnsi="Arial" w:cs="Arial"/>
          <w:spacing w:val="-2"/>
          <w:sz w:val="22"/>
          <w:szCs w:val="22"/>
        </w:rPr>
        <w:t>activida</w:t>
      </w:r>
      <w:r w:rsidRPr="00E2024E">
        <w:rPr>
          <w:rFonts w:ascii="Arial" w:hAnsi="Arial" w:cs="Arial"/>
          <w:sz w:val="22"/>
          <w:szCs w:val="22"/>
        </w:rPr>
        <w:t>des recreativas y construir redes sociales</w:t>
      </w:r>
      <w:r>
        <w:rPr>
          <w:rFonts w:ascii="Arial" w:hAnsi="Arial" w:cs="Arial"/>
          <w:sz w:val="22"/>
          <w:szCs w:val="22"/>
        </w:rPr>
        <w:t>.</w:t>
      </w:r>
      <w:r w:rsidRPr="00E2024E">
        <w:rPr>
          <w:rFonts w:ascii="Arial" w:hAnsi="Arial" w:cs="Arial"/>
          <w:sz w:val="22"/>
          <w:szCs w:val="22"/>
        </w:rPr>
        <w:t xml:space="preserve"> </w:t>
      </w:r>
      <w:r>
        <w:rPr>
          <w:rFonts w:ascii="Arial" w:hAnsi="Arial" w:cs="Arial"/>
          <w:sz w:val="22"/>
          <w:szCs w:val="22"/>
        </w:rPr>
        <w:t>S</w:t>
      </w:r>
      <w:r w:rsidRPr="00E2024E">
        <w:rPr>
          <w:rFonts w:ascii="Arial" w:hAnsi="Arial" w:cs="Arial"/>
          <w:sz w:val="22"/>
          <w:szCs w:val="22"/>
        </w:rPr>
        <w:t xml:space="preserve">u </w:t>
      </w:r>
      <w:r w:rsidRPr="00E2024E">
        <w:rPr>
          <w:rFonts w:ascii="Arial" w:hAnsi="Arial" w:cs="Arial"/>
          <w:spacing w:val="-4"/>
          <w:sz w:val="22"/>
          <w:szCs w:val="22"/>
        </w:rPr>
        <w:t>adecuada</w:t>
      </w:r>
      <w:r w:rsidRPr="00E2024E">
        <w:rPr>
          <w:rFonts w:ascii="Arial" w:hAnsi="Arial" w:cs="Arial"/>
          <w:spacing w:val="-15"/>
          <w:sz w:val="22"/>
          <w:szCs w:val="22"/>
        </w:rPr>
        <w:t xml:space="preserve"> </w:t>
      </w:r>
      <w:r w:rsidRPr="00E2024E">
        <w:rPr>
          <w:rFonts w:ascii="Arial" w:hAnsi="Arial" w:cs="Arial"/>
          <w:spacing w:val="-4"/>
          <w:sz w:val="22"/>
          <w:szCs w:val="22"/>
        </w:rPr>
        <w:t>gestión</w:t>
      </w:r>
      <w:r w:rsidRPr="00E2024E">
        <w:rPr>
          <w:rFonts w:ascii="Arial" w:hAnsi="Arial" w:cs="Arial"/>
          <w:spacing w:val="-14"/>
          <w:sz w:val="22"/>
          <w:szCs w:val="22"/>
        </w:rPr>
        <w:t xml:space="preserve"> </w:t>
      </w:r>
      <w:r w:rsidRPr="00E2024E">
        <w:rPr>
          <w:rFonts w:ascii="Arial" w:hAnsi="Arial" w:cs="Arial"/>
          <w:spacing w:val="-4"/>
          <w:sz w:val="22"/>
          <w:szCs w:val="22"/>
        </w:rPr>
        <w:t>y</w:t>
      </w:r>
      <w:r w:rsidRPr="00E2024E">
        <w:rPr>
          <w:rFonts w:ascii="Arial" w:hAnsi="Arial" w:cs="Arial"/>
          <w:spacing w:val="-15"/>
          <w:sz w:val="22"/>
          <w:szCs w:val="22"/>
        </w:rPr>
        <w:t xml:space="preserve"> </w:t>
      </w:r>
      <w:r w:rsidRPr="00E2024E">
        <w:rPr>
          <w:rFonts w:ascii="Arial" w:hAnsi="Arial" w:cs="Arial"/>
          <w:spacing w:val="-4"/>
          <w:sz w:val="22"/>
          <w:szCs w:val="22"/>
        </w:rPr>
        <w:t>mantenimiento</w:t>
      </w:r>
      <w:r w:rsidRPr="00E2024E">
        <w:rPr>
          <w:rFonts w:ascii="Arial" w:hAnsi="Arial" w:cs="Arial"/>
          <w:spacing w:val="-14"/>
          <w:sz w:val="22"/>
          <w:szCs w:val="22"/>
        </w:rPr>
        <w:t xml:space="preserve"> </w:t>
      </w:r>
      <w:r w:rsidRPr="00E2024E">
        <w:rPr>
          <w:rFonts w:ascii="Arial" w:hAnsi="Arial" w:cs="Arial"/>
          <w:spacing w:val="-4"/>
          <w:sz w:val="22"/>
          <w:szCs w:val="22"/>
        </w:rPr>
        <w:t xml:space="preserve">contribuyen </w:t>
      </w:r>
      <w:r w:rsidRPr="00E2024E">
        <w:rPr>
          <w:rFonts w:ascii="Arial" w:hAnsi="Arial" w:cs="Arial"/>
          <w:sz w:val="22"/>
          <w:szCs w:val="22"/>
        </w:rPr>
        <w:t>a</w:t>
      </w:r>
      <w:r w:rsidRPr="00E2024E">
        <w:rPr>
          <w:rFonts w:ascii="Arial" w:hAnsi="Arial" w:cs="Arial"/>
          <w:spacing w:val="-18"/>
          <w:sz w:val="22"/>
          <w:szCs w:val="22"/>
        </w:rPr>
        <w:t xml:space="preserve"> </w:t>
      </w:r>
      <w:r w:rsidRPr="00E2024E">
        <w:rPr>
          <w:rFonts w:ascii="Arial" w:hAnsi="Arial" w:cs="Arial"/>
          <w:sz w:val="22"/>
          <w:szCs w:val="22"/>
        </w:rPr>
        <w:t>la</w:t>
      </w:r>
      <w:r w:rsidRPr="00E2024E">
        <w:rPr>
          <w:rFonts w:ascii="Arial" w:hAnsi="Arial" w:cs="Arial"/>
          <w:spacing w:val="-18"/>
          <w:sz w:val="22"/>
          <w:szCs w:val="22"/>
        </w:rPr>
        <w:t xml:space="preserve"> </w:t>
      </w:r>
      <w:r w:rsidRPr="00E2024E">
        <w:rPr>
          <w:rFonts w:ascii="Arial" w:hAnsi="Arial" w:cs="Arial"/>
          <w:sz w:val="22"/>
          <w:szCs w:val="22"/>
        </w:rPr>
        <w:t>prevención</w:t>
      </w:r>
      <w:r w:rsidRPr="00E2024E">
        <w:rPr>
          <w:rFonts w:ascii="Arial" w:hAnsi="Arial" w:cs="Arial"/>
          <w:spacing w:val="-18"/>
          <w:sz w:val="22"/>
          <w:szCs w:val="22"/>
        </w:rPr>
        <w:t xml:space="preserve"> </w:t>
      </w:r>
      <w:r w:rsidRPr="00E2024E">
        <w:rPr>
          <w:rFonts w:ascii="Arial" w:hAnsi="Arial" w:cs="Arial"/>
          <w:sz w:val="22"/>
          <w:szCs w:val="22"/>
        </w:rPr>
        <w:t>del</w:t>
      </w:r>
      <w:r w:rsidRPr="00E2024E">
        <w:rPr>
          <w:rFonts w:ascii="Arial" w:hAnsi="Arial" w:cs="Arial"/>
          <w:spacing w:val="-18"/>
          <w:sz w:val="22"/>
          <w:szCs w:val="22"/>
        </w:rPr>
        <w:t xml:space="preserve"> </w:t>
      </w:r>
      <w:r w:rsidRPr="00E2024E">
        <w:rPr>
          <w:rFonts w:ascii="Arial" w:hAnsi="Arial" w:cs="Arial"/>
          <w:sz w:val="22"/>
          <w:szCs w:val="22"/>
        </w:rPr>
        <w:t>delito</w:t>
      </w:r>
      <w:r w:rsidRPr="00E2024E">
        <w:rPr>
          <w:rFonts w:ascii="Arial" w:hAnsi="Arial" w:cs="Arial"/>
          <w:spacing w:val="-18"/>
          <w:sz w:val="22"/>
          <w:szCs w:val="22"/>
        </w:rPr>
        <w:t xml:space="preserve"> </w:t>
      </w:r>
      <w:r w:rsidRPr="00E2024E">
        <w:rPr>
          <w:rFonts w:ascii="Arial" w:hAnsi="Arial" w:cs="Arial"/>
          <w:sz w:val="22"/>
          <w:szCs w:val="22"/>
        </w:rPr>
        <w:t>al</w:t>
      </w:r>
      <w:r w:rsidRPr="00E2024E">
        <w:rPr>
          <w:rFonts w:ascii="Arial" w:hAnsi="Arial" w:cs="Arial"/>
          <w:spacing w:val="-18"/>
          <w:sz w:val="22"/>
          <w:szCs w:val="22"/>
        </w:rPr>
        <w:t xml:space="preserve"> </w:t>
      </w:r>
      <w:r w:rsidRPr="00E2024E">
        <w:rPr>
          <w:rFonts w:ascii="Arial" w:hAnsi="Arial" w:cs="Arial"/>
          <w:sz w:val="22"/>
          <w:szCs w:val="22"/>
        </w:rPr>
        <w:t>fomentar</w:t>
      </w:r>
      <w:r w:rsidRPr="00E2024E">
        <w:rPr>
          <w:rFonts w:ascii="Arial" w:hAnsi="Arial" w:cs="Arial"/>
          <w:spacing w:val="-18"/>
          <w:sz w:val="22"/>
          <w:szCs w:val="22"/>
        </w:rPr>
        <w:t xml:space="preserve"> </w:t>
      </w:r>
      <w:r w:rsidRPr="00E2024E">
        <w:rPr>
          <w:rFonts w:ascii="Arial" w:hAnsi="Arial" w:cs="Arial"/>
          <w:sz w:val="22"/>
          <w:szCs w:val="22"/>
        </w:rPr>
        <w:t>la</w:t>
      </w:r>
      <w:r w:rsidRPr="00E2024E">
        <w:rPr>
          <w:rFonts w:ascii="Arial" w:hAnsi="Arial" w:cs="Arial"/>
          <w:spacing w:val="-18"/>
          <w:sz w:val="22"/>
          <w:szCs w:val="22"/>
        </w:rPr>
        <w:t xml:space="preserve"> </w:t>
      </w:r>
      <w:r w:rsidRPr="00E2024E">
        <w:rPr>
          <w:rFonts w:ascii="Arial" w:hAnsi="Arial" w:cs="Arial"/>
          <w:sz w:val="22"/>
          <w:szCs w:val="22"/>
        </w:rPr>
        <w:t>convi</w:t>
      </w:r>
      <w:r w:rsidRPr="00E2024E">
        <w:rPr>
          <w:rFonts w:ascii="Arial" w:hAnsi="Arial" w:cs="Arial"/>
          <w:spacing w:val="-2"/>
          <w:sz w:val="22"/>
          <w:szCs w:val="22"/>
        </w:rPr>
        <w:t>vencia</w:t>
      </w:r>
      <w:r w:rsidRPr="00E2024E">
        <w:rPr>
          <w:rFonts w:ascii="Arial" w:hAnsi="Arial" w:cs="Arial"/>
          <w:spacing w:val="-17"/>
          <w:sz w:val="22"/>
          <w:szCs w:val="22"/>
        </w:rPr>
        <w:t xml:space="preserve"> </w:t>
      </w:r>
      <w:r w:rsidRPr="00E2024E">
        <w:rPr>
          <w:rFonts w:ascii="Arial" w:hAnsi="Arial" w:cs="Arial"/>
          <w:spacing w:val="-2"/>
          <w:sz w:val="22"/>
          <w:szCs w:val="22"/>
        </w:rPr>
        <w:t>pacífica</w:t>
      </w:r>
      <w:r w:rsidRPr="00E2024E">
        <w:rPr>
          <w:rFonts w:ascii="Arial" w:hAnsi="Arial" w:cs="Arial"/>
          <w:spacing w:val="-16"/>
          <w:sz w:val="22"/>
          <w:szCs w:val="22"/>
        </w:rPr>
        <w:t xml:space="preserve"> </w:t>
      </w:r>
      <w:r w:rsidRPr="00E2024E">
        <w:rPr>
          <w:rFonts w:ascii="Arial" w:hAnsi="Arial" w:cs="Arial"/>
          <w:spacing w:val="-2"/>
          <w:sz w:val="22"/>
          <w:szCs w:val="22"/>
        </w:rPr>
        <w:t>y</w:t>
      </w:r>
      <w:r w:rsidRPr="00E2024E">
        <w:rPr>
          <w:rFonts w:ascii="Arial" w:hAnsi="Arial" w:cs="Arial"/>
          <w:spacing w:val="-17"/>
          <w:sz w:val="22"/>
          <w:szCs w:val="22"/>
        </w:rPr>
        <w:t xml:space="preserve"> </w:t>
      </w:r>
      <w:r w:rsidRPr="00E2024E">
        <w:rPr>
          <w:rFonts w:ascii="Arial" w:hAnsi="Arial" w:cs="Arial"/>
          <w:spacing w:val="-2"/>
          <w:sz w:val="22"/>
          <w:szCs w:val="22"/>
        </w:rPr>
        <w:t>el</w:t>
      </w:r>
      <w:r w:rsidRPr="00E2024E">
        <w:rPr>
          <w:rFonts w:ascii="Arial" w:hAnsi="Arial" w:cs="Arial"/>
          <w:spacing w:val="-16"/>
          <w:sz w:val="22"/>
          <w:szCs w:val="22"/>
        </w:rPr>
        <w:t xml:space="preserve"> </w:t>
      </w:r>
      <w:r w:rsidRPr="00E2024E">
        <w:rPr>
          <w:rFonts w:ascii="Arial" w:hAnsi="Arial" w:cs="Arial"/>
          <w:spacing w:val="-2"/>
          <w:sz w:val="22"/>
          <w:szCs w:val="22"/>
        </w:rPr>
        <w:t>sentido</w:t>
      </w:r>
      <w:r w:rsidRPr="00E2024E">
        <w:rPr>
          <w:rFonts w:ascii="Arial" w:hAnsi="Arial" w:cs="Arial"/>
          <w:spacing w:val="-17"/>
          <w:sz w:val="22"/>
          <w:szCs w:val="22"/>
        </w:rPr>
        <w:t xml:space="preserve"> </w:t>
      </w:r>
      <w:r w:rsidRPr="00E2024E">
        <w:rPr>
          <w:rFonts w:ascii="Arial" w:hAnsi="Arial" w:cs="Arial"/>
          <w:spacing w:val="-2"/>
          <w:sz w:val="22"/>
          <w:szCs w:val="22"/>
        </w:rPr>
        <w:t>de</w:t>
      </w:r>
      <w:r w:rsidRPr="00E2024E">
        <w:rPr>
          <w:rFonts w:ascii="Arial" w:hAnsi="Arial" w:cs="Arial"/>
          <w:spacing w:val="-16"/>
          <w:sz w:val="22"/>
          <w:szCs w:val="22"/>
        </w:rPr>
        <w:t xml:space="preserve"> </w:t>
      </w:r>
      <w:r w:rsidRPr="00E2024E">
        <w:rPr>
          <w:rFonts w:ascii="Arial" w:hAnsi="Arial" w:cs="Arial"/>
          <w:spacing w:val="-2"/>
          <w:sz w:val="22"/>
          <w:szCs w:val="22"/>
        </w:rPr>
        <w:t>comunidad.</w:t>
      </w:r>
      <w:r w:rsidRPr="00E2024E">
        <w:rPr>
          <w:rFonts w:ascii="Arial" w:hAnsi="Arial" w:cs="Arial"/>
          <w:spacing w:val="-17"/>
          <w:sz w:val="22"/>
          <w:szCs w:val="22"/>
        </w:rPr>
        <w:t xml:space="preserve"> </w:t>
      </w:r>
      <w:r w:rsidRPr="00E2024E">
        <w:rPr>
          <w:rFonts w:ascii="Arial" w:hAnsi="Arial" w:cs="Arial"/>
          <w:spacing w:val="-2"/>
          <w:sz w:val="22"/>
          <w:szCs w:val="22"/>
        </w:rPr>
        <w:t>A</w:t>
      </w:r>
      <w:r w:rsidRPr="00E2024E">
        <w:rPr>
          <w:rFonts w:ascii="Arial" w:hAnsi="Arial" w:cs="Arial"/>
          <w:spacing w:val="-16"/>
          <w:sz w:val="22"/>
          <w:szCs w:val="22"/>
        </w:rPr>
        <w:t xml:space="preserve"> </w:t>
      </w:r>
      <w:r w:rsidRPr="00E2024E">
        <w:rPr>
          <w:rFonts w:ascii="Arial" w:hAnsi="Arial" w:cs="Arial"/>
          <w:spacing w:val="-2"/>
          <w:sz w:val="22"/>
          <w:szCs w:val="22"/>
        </w:rPr>
        <w:t xml:space="preserve">su </w:t>
      </w:r>
      <w:r w:rsidRPr="00E2024E">
        <w:rPr>
          <w:rFonts w:ascii="Arial" w:hAnsi="Arial" w:cs="Arial"/>
          <w:spacing w:val="-6"/>
          <w:sz w:val="22"/>
          <w:szCs w:val="22"/>
        </w:rPr>
        <w:t>vez,</w:t>
      </w:r>
      <w:r w:rsidRPr="00E2024E">
        <w:rPr>
          <w:rFonts w:ascii="Arial" w:hAnsi="Arial" w:cs="Arial"/>
          <w:spacing w:val="-10"/>
          <w:sz w:val="22"/>
          <w:szCs w:val="22"/>
        </w:rPr>
        <w:t xml:space="preserve"> </w:t>
      </w:r>
      <w:r w:rsidRPr="00E2024E">
        <w:rPr>
          <w:rFonts w:ascii="Arial" w:hAnsi="Arial" w:cs="Arial"/>
          <w:spacing w:val="-6"/>
          <w:sz w:val="22"/>
          <w:szCs w:val="22"/>
        </w:rPr>
        <w:t>la</w:t>
      </w:r>
      <w:r w:rsidRPr="00E2024E">
        <w:rPr>
          <w:rFonts w:ascii="Arial" w:hAnsi="Arial" w:cs="Arial"/>
          <w:spacing w:val="-10"/>
          <w:sz w:val="22"/>
          <w:szCs w:val="22"/>
        </w:rPr>
        <w:t xml:space="preserve"> </w:t>
      </w:r>
      <w:r w:rsidRPr="00E2024E">
        <w:rPr>
          <w:rFonts w:ascii="Arial" w:hAnsi="Arial" w:cs="Arial"/>
          <w:spacing w:val="-6"/>
          <w:sz w:val="22"/>
          <w:szCs w:val="22"/>
        </w:rPr>
        <w:t>seguridad</w:t>
      </w:r>
      <w:r w:rsidRPr="00E2024E">
        <w:rPr>
          <w:rFonts w:ascii="Arial" w:hAnsi="Arial" w:cs="Arial"/>
          <w:spacing w:val="-10"/>
          <w:sz w:val="22"/>
          <w:szCs w:val="22"/>
        </w:rPr>
        <w:t xml:space="preserve"> </w:t>
      </w:r>
      <w:r w:rsidRPr="00E2024E">
        <w:rPr>
          <w:rFonts w:ascii="Arial" w:hAnsi="Arial" w:cs="Arial"/>
          <w:spacing w:val="-6"/>
          <w:sz w:val="22"/>
          <w:szCs w:val="22"/>
        </w:rPr>
        <w:t>pública</w:t>
      </w:r>
      <w:r w:rsidRPr="00E2024E">
        <w:rPr>
          <w:rFonts w:ascii="Arial" w:hAnsi="Arial" w:cs="Arial"/>
          <w:spacing w:val="-10"/>
          <w:sz w:val="22"/>
          <w:szCs w:val="22"/>
        </w:rPr>
        <w:t xml:space="preserve"> </w:t>
      </w:r>
      <w:r w:rsidRPr="00E2024E">
        <w:rPr>
          <w:rFonts w:ascii="Arial" w:hAnsi="Arial" w:cs="Arial"/>
          <w:spacing w:val="-6"/>
          <w:sz w:val="22"/>
          <w:szCs w:val="22"/>
        </w:rPr>
        <w:t>se</w:t>
      </w:r>
      <w:r w:rsidRPr="00E2024E">
        <w:rPr>
          <w:rFonts w:ascii="Arial" w:hAnsi="Arial" w:cs="Arial"/>
          <w:spacing w:val="-10"/>
          <w:sz w:val="22"/>
          <w:szCs w:val="22"/>
        </w:rPr>
        <w:t xml:space="preserve"> </w:t>
      </w:r>
      <w:r w:rsidRPr="00E2024E">
        <w:rPr>
          <w:rFonts w:ascii="Arial" w:hAnsi="Arial" w:cs="Arial"/>
          <w:spacing w:val="-6"/>
          <w:sz w:val="22"/>
          <w:szCs w:val="22"/>
        </w:rPr>
        <w:t>ve</w:t>
      </w:r>
      <w:r w:rsidRPr="00E2024E">
        <w:rPr>
          <w:rFonts w:ascii="Arial" w:hAnsi="Arial" w:cs="Arial"/>
          <w:spacing w:val="-10"/>
          <w:sz w:val="22"/>
          <w:szCs w:val="22"/>
        </w:rPr>
        <w:t xml:space="preserve"> </w:t>
      </w:r>
      <w:r w:rsidRPr="00E2024E">
        <w:rPr>
          <w:rFonts w:ascii="Arial" w:hAnsi="Arial" w:cs="Arial"/>
          <w:spacing w:val="-6"/>
          <w:sz w:val="22"/>
          <w:szCs w:val="22"/>
        </w:rPr>
        <w:t>fortalecida</w:t>
      </w:r>
      <w:r w:rsidRPr="00E2024E">
        <w:rPr>
          <w:rFonts w:ascii="Arial" w:hAnsi="Arial" w:cs="Arial"/>
          <w:spacing w:val="-10"/>
          <w:sz w:val="22"/>
          <w:szCs w:val="22"/>
        </w:rPr>
        <w:t xml:space="preserve"> </w:t>
      </w:r>
      <w:r w:rsidRPr="00E2024E">
        <w:rPr>
          <w:rFonts w:ascii="Arial" w:hAnsi="Arial" w:cs="Arial"/>
          <w:spacing w:val="-6"/>
          <w:sz w:val="22"/>
          <w:szCs w:val="22"/>
        </w:rPr>
        <w:t>cuan</w:t>
      </w:r>
      <w:r w:rsidRPr="00E2024E">
        <w:rPr>
          <w:rFonts w:ascii="Arial" w:hAnsi="Arial" w:cs="Arial"/>
          <w:sz w:val="22"/>
          <w:szCs w:val="22"/>
        </w:rPr>
        <w:t>do</w:t>
      </w:r>
      <w:r w:rsidRPr="00E2024E">
        <w:rPr>
          <w:rFonts w:ascii="Arial" w:hAnsi="Arial" w:cs="Arial"/>
          <w:spacing w:val="-19"/>
          <w:sz w:val="22"/>
          <w:szCs w:val="22"/>
        </w:rPr>
        <w:t xml:space="preserve"> </w:t>
      </w:r>
      <w:r w:rsidRPr="00E2024E">
        <w:rPr>
          <w:rFonts w:ascii="Arial" w:hAnsi="Arial" w:cs="Arial"/>
          <w:sz w:val="22"/>
          <w:szCs w:val="22"/>
        </w:rPr>
        <w:t>las</w:t>
      </w:r>
      <w:r w:rsidRPr="00E2024E">
        <w:rPr>
          <w:rFonts w:ascii="Arial" w:hAnsi="Arial" w:cs="Arial"/>
          <w:spacing w:val="-18"/>
          <w:sz w:val="22"/>
          <w:szCs w:val="22"/>
        </w:rPr>
        <w:t xml:space="preserve"> </w:t>
      </w:r>
      <w:r w:rsidRPr="00E2024E">
        <w:rPr>
          <w:rFonts w:ascii="Arial" w:hAnsi="Arial" w:cs="Arial"/>
          <w:sz w:val="22"/>
          <w:szCs w:val="22"/>
        </w:rPr>
        <w:t>comunidades</w:t>
      </w:r>
      <w:r w:rsidRPr="00E2024E">
        <w:rPr>
          <w:rFonts w:ascii="Arial" w:hAnsi="Arial" w:cs="Arial"/>
          <w:spacing w:val="-19"/>
          <w:sz w:val="22"/>
          <w:szCs w:val="22"/>
        </w:rPr>
        <w:t xml:space="preserve"> </w:t>
      </w:r>
      <w:r w:rsidRPr="00E2024E">
        <w:rPr>
          <w:rFonts w:ascii="Arial" w:hAnsi="Arial" w:cs="Arial"/>
          <w:sz w:val="22"/>
          <w:szCs w:val="22"/>
        </w:rPr>
        <w:t>participan</w:t>
      </w:r>
      <w:r w:rsidRPr="00E2024E">
        <w:rPr>
          <w:rFonts w:ascii="Arial" w:hAnsi="Arial" w:cs="Arial"/>
          <w:spacing w:val="-18"/>
          <w:sz w:val="22"/>
          <w:szCs w:val="22"/>
        </w:rPr>
        <w:t xml:space="preserve"> </w:t>
      </w:r>
      <w:r w:rsidRPr="00E2024E">
        <w:rPr>
          <w:rFonts w:ascii="Arial" w:hAnsi="Arial" w:cs="Arial"/>
          <w:sz w:val="22"/>
          <w:szCs w:val="22"/>
        </w:rPr>
        <w:t>activamente</w:t>
      </w:r>
      <w:r w:rsidRPr="00E2024E">
        <w:rPr>
          <w:rFonts w:ascii="Arial" w:hAnsi="Arial" w:cs="Arial"/>
          <w:spacing w:val="-19"/>
          <w:sz w:val="22"/>
          <w:szCs w:val="22"/>
        </w:rPr>
        <w:t xml:space="preserve"> </w:t>
      </w:r>
      <w:r w:rsidRPr="00E2024E">
        <w:rPr>
          <w:rFonts w:ascii="Arial" w:hAnsi="Arial" w:cs="Arial"/>
          <w:sz w:val="22"/>
          <w:szCs w:val="22"/>
        </w:rPr>
        <w:t>en la</w:t>
      </w:r>
      <w:r w:rsidRPr="00E2024E">
        <w:rPr>
          <w:rFonts w:ascii="Arial" w:hAnsi="Arial" w:cs="Arial"/>
          <w:spacing w:val="-3"/>
          <w:sz w:val="22"/>
          <w:szCs w:val="22"/>
        </w:rPr>
        <w:t xml:space="preserve"> </w:t>
      </w:r>
      <w:r w:rsidRPr="00E2024E">
        <w:rPr>
          <w:rFonts w:ascii="Arial" w:hAnsi="Arial" w:cs="Arial"/>
          <w:sz w:val="22"/>
          <w:szCs w:val="22"/>
        </w:rPr>
        <w:t>vigilancia</w:t>
      </w:r>
      <w:r w:rsidRPr="00E2024E">
        <w:rPr>
          <w:rFonts w:ascii="Arial" w:hAnsi="Arial" w:cs="Arial"/>
          <w:spacing w:val="-3"/>
          <w:sz w:val="22"/>
          <w:szCs w:val="22"/>
        </w:rPr>
        <w:t xml:space="preserve"> </w:t>
      </w:r>
      <w:r w:rsidRPr="00E2024E">
        <w:rPr>
          <w:rFonts w:ascii="Arial" w:hAnsi="Arial" w:cs="Arial"/>
          <w:sz w:val="22"/>
          <w:szCs w:val="22"/>
        </w:rPr>
        <w:t>y</w:t>
      </w:r>
      <w:r w:rsidRPr="00E2024E">
        <w:rPr>
          <w:rFonts w:ascii="Arial" w:hAnsi="Arial" w:cs="Arial"/>
          <w:spacing w:val="-3"/>
          <w:sz w:val="22"/>
          <w:szCs w:val="22"/>
        </w:rPr>
        <w:t xml:space="preserve"> </w:t>
      </w:r>
      <w:r w:rsidRPr="00E2024E">
        <w:rPr>
          <w:rFonts w:ascii="Arial" w:hAnsi="Arial" w:cs="Arial"/>
          <w:sz w:val="22"/>
          <w:szCs w:val="22"/>
        </w:rPr>
        <w:t>cuidado</w:t>
      </w:r>
      <w:r w:rsidRPr="00E2024E">
        <w:rPr>
          <w:rFonts w:ascii="Arial" w:hAnsi="Arial" w:cs="Arial"/>
          <w:spacing w:val="-3"/>
          <w:sz w:val="22"/>
          <w:szCs w:val="22"/>
        </w:rPr>
        <w:t xml:space="preserve"> </w:t>
      </w:r>
      <w:r w:rsidRPr="00E2024E">
        <w:rPr>
          <w:rFonts w:ascii="Arial" w:hAnsi="Arial" w:cs="Arial"/>
          <w:sz w:val="22"/>
          <w:szCs w:val="22"/>
        </w:rPr>
        <w:t>de</w:t>
      </w:r>
      <w:r w:rsidRPr="00E2024E">
        <w:rPr>
          <w:rFonts w:ascii="Arial" w:hAnsi="Arial" w:cs="Arial"/>
          <w:spacing w:val="-3"/>
          <w:sz w:val="22"/>
          <w:szCs w:val="22"/>
        </w:rPr>
        <w:t xml:space="preserve"> </w:t>
      </w:r>
      <w:r w:rsidRPr="00E2024E">
        <w:rPr>
          <w:rFonts w:ascii="Arial" w:hAnsi="Arial" w:cs="Arial"/>
          <w:sz w:val="22"/>
          <w:szCs w:val="22"/>
        </w:rPr>
        <w:t>su</w:t>
      </w:r>
      <w:r w:rsidRPr="00E2024E">
        <w:rPr>
          <w:rFonts w:ascii="Arial" w:hAnsi="Arial" w:cs="Arial"/>
          <w:spacing w:val="-3"/>
          <w:sz w:val="22"/>
          <w:szCs w:val="22"/>
        </w:rPr>
        <w:t xml:space="preserve"> </w:t>
      </w:r>
      <w:r w:rsidRPr="00E2024E">
        <w:rPr>
          <w:rFonts w:ascii="Arial" w:hAnsi="Arial" w:cs="Arial"/>
          <w:sz w:val="22"/>
          <w:szCs w:val="22"/>
        </w:rPr>
        <w:t>entorno.</w:t>
      </w:r>
    </w:p>
    <w:p w14:paraId="6AA775FF" w14:textId="7C5E5B6B" w:rsidR="0070429C" w:rsidRPr="00C70FEC" w:rsidRDefault="0070429C" w:rsidP="00C70FEC">
      <w:pPr>
        <w:pStyle w:val="Textoindependiente"/>
        <w:spacing w:after="120"/>
        <w:ind w:right="49"/>
        <w:jc w:val="both"/>
        <w:rPr>
          <w:rFonts w:ascii="Arial" w:hAnsi="Arial" w:cs="Arial"/>
          <w:sz w:val="22"/>
          <w:szCs w:val="22"/>
        </w:rPr>
      </w:pPr>
      <w:r w:rsidRPr="00E2024E">
        <w:rPr>
          <w:rFonts w:ascii="Arial" w:hAnsi="Arial" w:cs="Arial"/>
          <w:spacing w:val="-6"/>
          <w:sz w:val="22"/>
          <w:szCs w:val="22"/>
        </w:rPr>
        <w:t>Entendida</w:t>
      </w:r>
      <w:r w:rsidRPr="00E2024E">
        <w:rPr>
          <w:rFonts w:ascii="Arial" w:hAnsi="Arial" w:cs="Arial"/>
          <w:spacing w:val="-10"/>
          <w:sz w:val="22"/>
          <w:szCs w:val="22"/>
        </w:rPr>
        <w:t xml:space="preserve"> </w:t>
      </w:r>
      <w:r w:rsidRPr="00E2024E">
        <w:rPr>
          <w:rFonts w:ascii="Arial" w:hAnsi="Arial" w:cs="Arial"/>
          <w:spacing w:val="-6"/>
          <w:sz w:val="22"/>
          <w:szCs w:val="22"/>
        </w:rPr>
        <w:t>e</w:t>
      </w:r>
      <w:r w:rsidRPr="00E2024E">
        <w:rPr>
          <w:rFonts w:ascii="Arial" w:hAnsi="Arial" w:cs="Arial"/>
          <w:spacing w:val="-10"/>
          <w:sz w:val="22"/>
          <w:szCs w:val="22"/>
        </w:rPr>
        <w:t xml:space="preserve"> </w:t>
      </w:r>
      <w:r w:rsidRPr="00E2024E">
        <w:rPr>
          <w:rFonts w:ascii="Arial" w:hAnsi="Arial" w:cs="Arial"/>
          <w:spacing w:val="-6"/>
          <w:sz w:val="22"/>
          <w:szCs w:val="22"/>
        </w:rPr>
        <w:t>implementada</w:t>
      </w:r>
      <w:r w:rsidRPr="00E2024E">
        <w:rPr>
          <w:rFonts w:ascii="Arial" w:hAnsi="Arial" w:cs="Arial"/>
          <w:spacing w:val="-10"/>
          <w:sz w:val="22"/>
          <w:szCs w:val="22"/>
        </w:rPr>
        <w:t xml:space="preserve"> </w:t>
      </w:r>
      <w:r w:rsidRPr="00E2024E">
        <w:rPr>
          <w:rFonts w:ascii="Arial" w:hAnsi="Arial" w:cs="Arial"/>
          <w:spacing w:val="-6"/>
          <w:sz w:val="22"/>
          <w:szCs w:val="22"/>
        </w:rPr>
        <w:t>como</w:t>
      </w:r>
      <w:r w:rsidRPr="00E2024E">
        <w:rPr>
          <w:rFonts w:ascii="Arial" w:hAnsi="Arial" w:cs="Arial"/>
          <w:spacing w:val="-10"/>
          <w:sz w:val="22"/>
          <w:szCs w:val="22"/>
        </w:rPr>
        <w:t xml:space="preserve"> </w:t>
      </w:r>
      <w:r w:rsidRPr="00E2024E">
        <w:rPr>
          <w:rFonts w:ascii="Arial" w:hAnsi="Arial" w:cs="Arial"/>
          <w:spacing w:val="-6"/>
          <w:sz w:val="22"/>
          <w:szCs w:val="22"/>
        </w:rPr>
        <w:t>una</w:t>
      </w:r>
      <w:r w:rsidRPr="00E2024E">
        <w:rPr>
          <w:rFonts w:ascii="Arial" w:hAnsi="Arial" w:cs="Arial"/>
          <w:spacing w:val="-10"/>
          <w:sz w:val="22"/>
          <w:szCs w:val="22"/>
        </w:rPr>
        <w:t xml:space="preserve"> </w:t>
      </w:r>
      <w:r w:rsidRPr="00E2024E">
        <w:rPr>
          <w:rFonts w:ascii="Arial" w:hAnsi="Arial" w:cs="Arial"/>
          <w:spacing w:val="-6"/>
          <w:sz w:val="22"/>
          <w:szCs w:val="22"/>
        </w:rPr>
        <w:t xml:space="preserve">estrategia </w:t>
      </w:r>
      <w:r w:rsidRPr="00E2024E">
        <w:rPr>
          <w:rFonts w:ascii="Arial" w:hAnsi="Arial" w:cs="Arial"/>
          <w:sz w:val="22"/>
          <w:szCs w:val="22"/>
        </w:rPr>
        <w:t>integral,</w:t>
      </w:r>
      <w:r w:rsidRPr="00E2024E">
        <w:rPr>
          <w:rFonts w:ascii="Arial" w:hAnsi="Arial" w:cs="Arial"/>
          <w:spacing w:val="-17"/>
          <w:sz w:val="22"/>
          <w:szCs w:val="22"/>
        </w:rPr>
        <w:t xml:space="preserve"> </w:t>
      </w:r>
      <w:r w:rsidRPr="00E2024E">
        <w:rPr>
          <w:rFonts w:ascii="Arial" w:hAnsi="Arial" w:cs="Arial"/>
          <w:sz w:val="22"/>
          <w:szCs w:val="22"/>
        </w:rPr>
        <w:t>la</w:t>
      </w:r>
      <w:r w:rsidRPr="00E2024E">
        <w:rPr>
          <w:rFonts w:ascii="Arial" w:hAnsi="Arial" w:cs="Arial"/>
          <w:spacing w:val="-17"/>
          <w:sz w:val="22"/>
          <w:szCs w:val="22"/>
        </w:rPr>
        <w:t xml:space="preserve"> </w:t>
      </w:r>
      <w:r w:rsidRPr="00E2024E">
        <w:rPr>
          <w:rFonts w:ascii="Arial" w:hAnsi="Arial" w:cs="Arial"/>
          <w:sz w:val="22"/>
          <w:szCs w:val="22"/>
        </w:rPr>
        <w:t>seguridad</w:t>
      </w:r>
      <w:r w:rsidRPr="00E2024E">
        <w:rPr>
          <w:rFonts w:ascii="Arial" w:hAnsi="Arial" w:cs="Arial"/>
          <w:spacing w:val="-17"/>
          <w:sz w:val="22"/>
          <w:szCs w:val="22"/>
        </w:rPr>
        <w:t xml:space="preserve"> </w:t>
      </w:r>
      <w:r w:rsidRPr="00E2024E">
        <w:rPr>
          <w:rFonts w:ascii="Arial" w:hAnsi="Arial" w:cs="Arial"/>
          <w:sz w:val="22"/>
          <w:szCs w:val="22"/>
        </w:rPr>
        <w:t>pública</w:t>
      </w:r>
      <w:r w:rsidRPr="00E2024E">
        <w:rPr>
          <w:rFonts w:ascii="Arial" w:hAnsi="Arial" w:cs="Arial"/>
          <w:spacing w:val="-17"/>
          <w:sz w:val="22"/>
          <w:szCs w:val="22"/>
        </w:rPr>
        <w:t xml:space="preserve"> </w:t>
      </w:r>
      <w:r w:rsidRPr="00E2024E">
        <w:rPr>
          <w:rFonts w:ascii="Arial" w:hAnsi="Arial" w:cs="Arial"/>
          <w:sz w:val="22"/>
          <w:szCs w:val="22"/>
        </w:rPr>
        <w:t>puede</w:t>
      </w:r>
      <w:r w:rsidRPr="00E2024E">
        <w:rPr>
          <w:rFonts w:ascii="Arial" w:hAnsi="Arial" w:cs="Arial"/>
          <w:spacing w:val="-17"/>
          <w:sz w:val="22"/>
          <w:szCs w:val="22"/>
        </w:rPr>
        <w:t xml:space="preserve"> </w:t>
      </w:r>
      <w:r w:rsidRPr="00E2024E">
        <w:rPr>
          <w:rFonts w:ascii="Arial" w:hAnsi="Arial" w:cs="Arial"/>
          <w:sz w:val="22"/>
          <w:szCs w:val="22"/>
        </w:rPr>
        <w:t xml:space="preserve">contribuir a la creación de entornos seguros y propicios </w:t>
      </w:r>
      <w:r w:rsidRPr="00E2024E">
        <w:rPr>
          <w:rFonts w:ascii="Arial" w:hAnsi="Arial" w:cs="Arial"/>
          <w:spacing w:val="-2"/>
          <w:sz w:val="22"/>
          <w:szCs w:val="22"/>
        </w:rPr>
        <w:t>para</w:t>
      </w:r>
      <w:r w:rsidRPr="00E2024E">
        <w:rPr>
          <w:rFonts w:ascii="Arial" w:hAnsi="Arial" w:cs="Arial"/>
          <w:spacing w:val="-15"/>
          <w:sz w:val="22"/>
          <w:szCs w:val="22"/>
        </w:rPr>
        <w:t xml:space="preserve"> </w:t>
      </w:r>
      <w:r w:rsidRPr="00E2024E">
        <w:rPr>
          <w:rFonts w:ascii="Arial" w:hAnsi="Arial" w:cs="Arial"/>
          <w:spacing w:val="-2"/>
          <w:sz w:val="22"/>
          <w:szCs w:val="22"/>
        </w:rPr>
        <w:t>el</w:t>
      </w:r>
      <w:r w:rsidRPr="00E2024E">
        <w:rPr>
          <w:rFonts w:ascii="Arial" w:hAnsi="Arial" w:cs="Arial"/>
          <w:spacing w:val="-15"/>
          <w:sz w:val="22"/>
          <w:szCs w:val="22"/>
        </w:rPr>
        <w:t xml:space="preserve"> </w:t>
      </w:r>
      <w:r w:rsidRPr="00E2024E">
        <w:rPr>
          <w:rFonts w:ascii="Arial" w:hAnsi="Arial" w:cs="Arial"/>
          <w:spacing w:val="-2"/>
          <w:sz w:val="22"/>
          <w:szCs w:val="22"/>
        </w:rPr>
        <w:t>crecimiento</w:t>
      </w:r>
      <w:r w:rsidRPr="00E2024E">
        <w:rPr>
          <w:rFonts w:ascii="Arial" w:hAnsi="Arial" w:cs="Arial"/>
          <w:spacing w:val="-15"/>
          <w:sz w:val="22"/>
          <w:szCs w:val="22"/>
        </w:rPr>
        <w:t xml:space="preserve"> </w:t>
      </w:r>
      <w:r w:rsidRPr="00E2024E">
        <w:rPr>
          <w:rFonts w:ascii="Arial" w:hAnsi="Arial" w:cs="Arial"/>
          <w:spacing w:val="-2"/>
          <w:sz w:val="22"/>
          <w:szCs w:val="22"/>
        </w:rPr>
        <w:t>personal</w:t>
      </w:r>
      <w:r w:rsidRPr="00E2024E">
        <w:rPr>
          <w:rFonts w:ascii="Arial" w:hAnsi="Arial" w:cs="Arial"/>
          <w:spacing w:val="-15"/>
          <w:sz w:val="22"/>
          <w:szCs w:val="22"/>
        </w:rPr>
        <w:t xml:space="preserve"> </w:t>
      </w:r>
      <w:r w:rsidRPr="00E2024E">
        <w:rPr>
          <w:rFonts w:ascii="Arial" w:hAnsi="Arial" w:cs="Arial"/>
          <w:spacing w:val="-2"/>
          <w:sz w:val="22"/>
          <w:szCs w:val="22"/>
        </w:rPr>
        <w:t>y</w:t>
      </w:r>
      <w:r w:rsidRPr="00E2024E">
        <w:rPr>
          <w:rFonts w:ascii="Arial" w:hAnsi="Arial" w:cs="Arial"/>
          <w:spacing w:val="-15"/>
          <w:sz w:val="22"/>
          <w:szCs w:val="22"/>
        </w:rPr>
        <w:t xml:space="preserve"> </w:t>
      </w:r>
      <w:r w:rsidRPr="00E2024E">
        <w:rPr>
          <w:rFonts w:ascii="Arial" w:hAnsi="Arial" w:cs="Arial"/>
          <w:spacing w:val="-2"/>
          <w:sz w:val="22"/>
          <w:szCs w:val="22"/>
        </w:rPr>
        <w:t>colectivo</w:t>
      </w:r>
      <w:r>
        <w:rPr>
          <w:rFonts w:ascii="Arial" w:hAnsi="Arial" w:cs="Arial"/>
          <w:spacing w:val="-2"/>
          <w:sz w:val="22"/>
          <w:szCs w:val="22"/>
        </w:rPr>
        <w:t>.</w:t>
      </w:r>
      <w:r w:rsidRPr="00E2024E">
        <w:rPr>
          <w:rFonts w:ascii="Arial" w:hAnsi="Arial" w:cs="Arial"/>
          <w:spacing w:val="-15"/>
          <w:sz w:val="22"/>
          <w:szCs w:val="22"/>
        </w:rPr>
        <w:t xml:space="preserve"> </w:t>
      </w:r>
      <w:r>
        <w:rPr>
          <w:rFonts w:ascii="Arial" w:hAnsi="Arial" w:cs="Arial"/>
          <w:spacing w:val="-2"/>
          <w:sz w:val="22"/>
          <w:szCs w:val="22"/>
        </w:rPr>
        <w:t>C</w:t>
      </w:r>
      <w:r w:rsidRPr="00E2024E">
        <w:rPr>
          <w:rFonts w:ascii="Arial" w:hAnsi="Arial" w:cs="Arial"/>
          <w:spacing w:val="-2"/>
          <w:sz w:val="22"/>
          <w:szCs w:val="22"/>
        </w:rPr>
        <w:t>uan</w:t>
      </w:r>
      <w:r w:rsidRPr="00E2024E">
        <w:rPr>
          <w:rFonts w:ascii="Arial" w:hAnsi="Arial" w:cs="Arial"/>
          <w:spacing w:val="-4"/>
          <w:sz w:val="22"/>
          <w:szCs w:val="22"/>
        </w:rPr>
        <w:t>do</w:t>
      </w:r>
      <w:r w:rsidRPr="00E2024E">
        <w:rPr>
          <w:rFonts w:ascii="Arial" w:hAnsi="Arial" w:cs="Arial"/>
          <w:spacing w:val="-11"/>
          <w:sz w:val="22"/>
          <w:szCs w:val="22"/>
        </w:rPr>
        <w:t xml:space="preserve"> </w:t>
      </w:r>
      <w:r w:rsidRPr="00E2024E">
        <w:rPr>
          <w:rFonts w:ascii="Arial" w:hAnsi="Arial" w:cs="Arial"/>
          <w:spacing w:val="-4"/>
          <w:sz w:val="22"/>
          <w:szCs w:val="22"/>
        </w:rPr>
        <w:t>las</w:t>
      </w:r>
      <w:r w:rsidRPr="00E2024E">
        <w:rPr>
          <w:rFonts w:ascii="Arial" w:hAnsi="Arial" w:cs="Arial"/>
          <w:spacing w:val="-11"/>
          <w:sz w:val="22"/>
          <w:szCs w:val="22"/>
        </w:rPr>
        <w:t xml:space="preserve"> </w:t>
      </w:r>
      <w:r w:rsidRPr="00E2024E">
        <w:rPr>
          <w:rFonts w:ascii="Arial" w:hAnsi="Arial" w:cs="Arial"/>
          <w:spacing w:val="-4"/>
          <w:sz w:val="22"/>
          <w:szCs w:val="22"/>
        </w:rPr>
        <w:t>personas</w:t>
      </w:r>
      <w:r w:rsidRPr="00E2024E">
        <w:rPr>
          <w:rFonts w:ascii="Arial" w:hAnsi="Arial" w:cs="Arial"/>
          <w:spacing w:val="-11"/>
          <w:sz w:val="22"/>
          <w:szCs w:val="22"/>
        </w:rPr>
        <w:t xml:space="preserve"> </w:t>
      </w:r>
      <w:r w:rsidRPr="00E2024E">
        <w:rPr>
          <w:rFonts w:ascii="Arial" w:hAnsi="Arial" w:cs="Arial"/>
          <w:spacing w:val="-4"/>
          <w:sz w:val="22"/>
          <w:szCs w:val="22"/>
        </w:rPr>
        <w:t>se</w:t>
      </w:r>
      <w:r w:rsidRPr="00E2024E">
        <w:rPr>
          <w:rFonts w:ascii="Arial" w:hAnsi="Arial" w:cs="Arial"/>
          <w:spacing w:val="-11"/>
          <w:sz w:val="22"/>
          <w:szCs w:val="22"/>
        </w:rPr>
        <w:t xml:space="preserve"> </w:t>
      </w:r>
      <w:r w:rsidRPr="00E2024E">
        <w:rPr>
          <w:rFonts w:ascii="Arial" w:hAnsi="Arial" w:cs="Arial"/>
          <w:spacing w:val="-4"/>
          <w:sz w:val="22"/>
          <w:szCs w:val="22"/>
        </w:rPr>
        <w:t>sienten</w:t>
      </w:r>
      <w:r w:rsidRPr="00E2024E">
        <w:rPr>
          <w:rFonts w:ascii="Arial" w:hAnsi="Arial" w:cs="Arial"/>
          <w:spacing w:val="-11"/>
          <w:sz w:val="22"/>
          <w:szCs w:val="22"/>
        </w:rPr>
        <w:t xml:space="preserve"> </w:t>
      </w:r>
      <w:r w:rsidRPr="00E2024E">
        <w:rPr>
          <w:rFonts w:ascii="Arial" w:hAnsi="Arial" w:cs="Arial"/>
          <w:spacing w:val="-4"/>
          <w:sz w:val="22"/>
          <w:szCs w:val="22"/>
        </w:rPr>
        <w:t>seguras,</w:t>
      </w:r>
      <w:r w:rsidRPr="00E2024E">
        <w:rPr>
          <w:rFonts w:ascii="Arial" w:hAnsi="Arial" w:cs="Arial"/>
          <w:spacing w:val="-11"/>
          <w:sz w:val="22"/>
          <w:szCs w:val="22"/>
        </w:rPr>
        <w:t xml:space="preserve"> </w:t>
      </w:r>
      <w:r w:rsidRPr="00E2024E">
        <w:rPr>
          <w:rFonts w:ascii="Arial" w:hAnsi="Arial" w:cs="Arial"/>
          <w:spacing w:val="-4"/>
          <w:sz w:val="22"/>
          <w:szCs w:val="22"/>
        </w:rPr>
        <w:t>tienen</w:t>
      </w:r>
      <w:r w:rsidRPr="00E2024E">
        <w:rPr>
          <w:rFonts w:ascii="Arial" w:hAnsi="Arial" w:cs="Arial"/>
          <w:spacing w:val="-11"/>
          <w:sz w:val="22"/>
          <w:szCs w:val="22"/>
        </w:rPr>
        <w:t xml:space="preserve"> </w:t>
      </w:r>
      <w:r w:rsidRPr="00E2024E">
        <w:rPr>
          <w:rFonts w:ascii="Arial" w:hAnsi="Arial" w:cs="Arial"/>
          <w:spacing w:val="-4"/>
          <w:sz w:val="22"/>
          <w:szCs w:val="22"/>
        </w:rPr>
        <w:t xml:space="preserve">más </w:t>
      </w:r>
      <w:r>
        <w:rPr>
          <w:rFonts w:ascii="Arial" w:hAnsi="Arial" w:cs="Arial"/>
          <w:sz w:val="22"/>
          <w:szCs w:val="22"/>
        </w:rPr>
        <w:t>posibilidades</w:t>
      </w:r>
      <w:r w:rsidRPr="00E2024E">
        <w:rPr>
          <w:rFonts w:ascii="Arial" w:hAnsi="Arial" w:cs="Arial"/>
          <w:sz w:val="22"/>
          <w:szCs w:val="22"/>
        </w:rPr>
        <w:t xml:space="preserve"> de participar activamente en </w:t>
      </w:r>
      <w:r w:rsidRPr="00E2024E">
        <w:rPr>
          <w:rFonts w:ascii="Arial" w:hAnsi="Arial" w:cs="Arial"/>
          <w:spacing w:val="-4"/>
          <w:sz w:val="22"/>
          <w:szCs w:val="22"/>
        </w:rPr>
        <w:t>sus</w:t>
      </w:r>
      <w:r w:rsidRPr="00E2024E">
        <w:rPr>
          <w:rFonts w:ascii="Arial" w:hAnsi="Arial" w:cs="Arial"/>
          <w:spacing w:val="-15"/>
          <w:sz w:val="22"/>
          <w:szCs w:val="22"/>
        </w:rPr>
        <w:t xml:space="preserve"> </w:t>
      </w:r>
      <w:r w:rsidRPr="00E2024E">
        <w:rPr>
          <w:rFonts w:ascii="Arial" w:hAnsi="Arial" w:cs="Arial"/>
          <w:spacing w:val="-4"/>
          <w:sz w:val="22"/>
          <w:szCs w:val="22"/>
        </w:rPr>
        <w:t>comunidades</w:t>
      </w:r>
      <w:r w:rsidRPr="00E2024E">
        <w:rPr>
          <w:rFonts w:ascii="Arial" w:hAnsi="Arial" w:cs="Arial"/>
          <w:spacing w:val="-14"/>
          <w:sz w:val="22"/>
          <w:szCs w:val="22"/>
        </w:rPr>
        <w:t xml:space="preserve"> </w:t>
      </w:r>
      <w:r w:rsidRPr="00E2024E">
        <w:rPr>
          <w:rFonts w:ascii="Arial" w:hAnsi="Arial" w:cs="Arial"/>
          <w:spacing w:val="-4"/>
          <w:sz w:val="22"/>
          <w:szCs w:val="22"/>
        </w:rPr>
        <w:t>y</w:t>
      </w:r>
      <w:r w:rsidRPr="00E2024E">
        <w:rPr>
          <w:rFonts w:ascii="Arial" w:hAnsi="Arial" w:cs="Arial"/>
          <w:spacing w:val="-15"/>
          <w:sz w:val="22"/>
          <w:szCs w:val="22"/>
        </w:rPr>
        <w:t xml:space="preserve"> </w:t>
      </w:r>
      <w:r w:rsidRPr="00E2024E">
        <w:rPr>
          <w:rFonts w:ascii="Arial" w:hAnsi="Arial" w:cs="Arial"/>
          <w:spacing w:val="-4"/>
          <w:sz w:val="22"/>
          <w:szCs w:val="22"/>
        </w:rPr>
        <w:t>ejercer</w:t>
      </w:r>
      <w:r w:rsidRPr="00E2024E">
        <w:rPr>
          <w:rFonts w:ascii="Arial" w:hAnsi="Arial" w:cs="Arial"/>
          <w:spacing w:val="-14"/>
          <w:sz w:val="22"/>
          <w:szCs w:val="22"/>
        </w:rPr>
        <w:t xml:space="preserve"> </w:t>
      </w:r>
      <w:r w:rsidRPr="00E2024E">
        <w:rPr>
          <w:rFonts w:ascii="Arial" w:hAnsi="Arial" w:cs="Arial"/>
          <w:spacing w:val="-4"/>
          <w:sz w:val="22"/>
          <w:szCs w:val="22"/>
        </w:rPr>
        <w:t>sus</w:t>
      </w:r>
      <w:r w:rsidRPr="00E2024E">
        <w:rPr>
          <w:rFonts w:ascii="Arial" w:hAnsi="Arial" w:cs="Arial"/>
          <w:spacing w:val="-15"/>
          <w:sz w:val="22"/>
          <w:szCs w:val="22"/>
        </w:rPr>
        <w:t xml:space="preserve"> </w:t>
      </w:r>
      <w:r w:rsidRPr="00E2024E">
        <w:rPr>
          <w:rFonts w:ascii="Arial" w:hAnsi="Arial" w:cs="Arial"/>
          <w:spacing w:val="-4"/>
          <w:sz w:val="22"/>
          <w:szCs w:val="22"/>
        </w:rPr>
        <w:t>derechos,</w:t>
      </w:r>
      <w:r w:rsidRPr="00E2024E">
        <w:rPr>
          <w:rFonts w:ascii="Arial" w:hAnsi="Arial" w:cs="Arial"/>
          <w:spacing w:val="-14"/>
          <w:sz w:val="22"/>
          <w:szCs w:val="22"/>
        </w:rPr>
        <w:t xml:space="preserve"> </w:t>
      </w:r>
      <w:r w:rsidRPr="00E2024E">
        <w:rPr>
          <w:rFonts w:ascii="Arial" w:hAnsi="Arial" w:cs="Arial"/>
          <w:spacing w:val="-4"/>
          <w:sz w:val="22"/>
          <w:szCs w:val="22"/>
        </w:rPr>
        <w:t>lo</w:t>
      </w:r>
      <w:r w:rsidRPr="00E2024E">
        <w:rPr>
          <w:rFonts w:ascii="Arial" w:hAnsi="Arial" w:cs="Arial"/>
          <w:spacing w:val="-15"/>
          <w:sz w:val="22"/>
          <w:szCs w:val="22"/>
        </w:rPr>
        <w:t xml:space="preserve"> </w:t>
      </w:r>
      <w:r w:rsidRPr="00E2024E">
        <w:rPr>
          <w:rFonts w:ascii="Arial" w:hAnsi="Arial" w:cs="Arial"/>
          <w:spacing w:val="-4"/>
          <w:sz w:val="22"/>
          <w:szCs w:val="22"/>
        </w:rPr>
        <w:t xml:space="preserve">que </w:t>
      </w:r>
      <w:r w:rsidRPr="00E2024E">
        <w:rPr>
          <w:rFonts w:ascii="Arial" w:hAnsi="Arial" w:cs="Arial"/>
          <w:sz w:val="22"/>
          <w:szCs w:val="22"/>
        </w:rPr>
        <w:t>contribuye al bienestar social.</w:t>
      </w:r>
    </w:p>
    <w:p w14:paraId="35669D2A" w14:textId="004B6BFA" w:rsidR="0070429C" w:rsidRPr="00A033CE" w:rsidRDefault="0070429C" w:rsidP="00B205BA">
      <w:pPr>
        <w:spacing w:after="120" w:line="240" w:lineRule="auto"/>
        <w:ind w:right="49"/>
        <w:rPr>
          <w:rFonts w:cs="Arial"/>
          <w:b/>
          <w:bCs/>
        </w:rPr>
      </w:pPr>
      <w:r w:rsidRPr="00A033CE">
        <w:rPr>
          <w:rFonts w:cs="Arial"/>
          <w:b/>
          <w:bCs/>
        </w:rPr>
        <w:t>Acceso a vivienda</w:t>
      </w:r>
      <w:r w:rsidR="00261A27" w:rsidRPr="00A033CE">
        <w:rPr>
          <w:rFonts w:cs="Arial"/>
          <w:b/>
          <w:bCs/>
        </w:rPr>
        <w:t>.</w:t>
      </w:r>
    </w:p>
    <w:p w14:paraId="1BB25E9C" w14:textId="4EF449D7" w:rsidR="0070429C" w:rsidRDefault="0070429C" w:rsidP="00B205BA">
      <w:pPr>
        <w:spacing w:after="120" w:line="240" w:lineRule="auto"/>
        <w:ind w:right="49"/>
        <w:rPr>
          <w:rFonts w:cs="Arial"/>
          <w:lang w:val="es-MX"/>
        </w:rPr>
      </w:pPr>
      <w:r>
        <w:rPr>
          <w:rFonts w:cs="Arial"/>
          <w:spacing w:val="-4"/>
        </w:rPr>
        <w:t xml:space="preserve">En </w:t>
      </w:r>
      <w:r w:rsidRPr="00C11C7B">
        <w:rPr>
          <w:rFonts w:cs="Arial"/>
          <w:spacing w:val="-4"/>
        </w:rPr>
        <w:t>una</w:t>
      </w:r>
      <w:r w:rsidRPr="00C11C7B">
        <w:rPr>
          <w:rFonts w:cs="Arial"/>
          <w:spacing w:val="-15"/>
        </w:rPr>
        <w:t xml:space="preserve"> </w:t>
      </w:r>
      <w:r w:rsidRPr="00C11C7B">
        <w:rPr>
          <w:rFonts w:cs="Arial"/>
          <w:spacing w:val="-4"/>
        </w:rPr>
        <w:t>ciudad</w:t>
      </w:r>
      <w:r w:rsidRPr="00C11C7B">
        <w:rPr>
          <w:rFonts w:cs="Arial"/>
          <w:spacing w:val="-14"/>
        </w:rPr>
        <w:t xml:space="preserve"> </w:t>
      </w:r>
      <w:r w:rsidRPr="00C11C7B">
        <w:rPr>
          <w:rFonts w:cs="Arial"/>
          <w:spacing w:val="-4"/>
        </w:rPr>
        <w:t>cuya</w:t>
      </w:r>
      <w:r w:rsidRPr="00C11C7B">
        <w:rPr>
          <w:rFonts w:cs="Arial"/>
          <w:spacing w:val="-15"/>
        </w:rPr>
        <w:t xml:space="preserve"> </w:t>
      </w:r>
      <w:r w:rsidRPr="00C11C7B">
        <w:rPr>
          <w:rFonts w:cs="Arial"/>
          <w:spacing w:val="-4"/>
        </w:rPr>
        <w:t>visión</w:t>
      </w:r>
      <w:r w:rsidRPr="00C11C7B">
        <w:rPr>
          <w:rFonts w:cs="Arial"/>
          <w:spacing w:val="-14"/>
        </w:rPr>
        <w:t xml:space="preserve"> </w:t>
      </w:r>
      <w:r w:rsidRPr="00C11C7B">
        <w:rPr>
          <w:rFonts w:cs="Arial"/>
          <w:spacing w:val="-4"/>
        </w:rPr>
        <w:t>es</w:t>
      </w:r>
      <w:r w:rsidRPr="00C11C7B">
        <w:rPr>
          <w:rFonts w:cs="Arial"/>
          <w:spacing w:val="-15"/>
        </w:rPr>
        <w:t xml:space="preserve"> </w:t>
      </w:r>
      <w:r w:rsidRPr="00C11C7B">
        <w:rPr>
          <w:rFonts w:cs="Arial"/>
          <w:spacing w:val="-4"/>
        </w:rPr>
        <w:t>lograr</w:t>
      </w:r>
      <w:r w:rsidRPr="00C11C7B">
        <w:rPr>
          <w:rFonts w:cs="Arial"/>
          <w:spacing w:val="-14"/>
        </w:rPr>
        <w:t xml:space="preserve"> </w:t>
      </w:r>
      <w:r w:rsidRPr="00C11C7B">
        <w:rPr>
          <w:rFonts w:cs="Arial"/>
          <w:spacing w:val="-4"/>
        </w:rPr>
        <w:t>pro</w:t>
      </w:r>
      <w:r w:rsidRPr="00C11C7B">
        <w:rPr>
          <w:rFonts w:cs="Arial"/>
        </w:rPr>
        <w:t>gresivamente</w:t>
      </w:r>
      <w:r w:rsidRPr="00C11C7B">
        <w:rPr>
          <w:rFonts w:cs="Arial"/>
          <w:spacing w:val="-12"/>
        </w:rPr>
        <w:t xml:space="preserve"> </w:t>
      </w:r>
      <w:r w:rsidRPr="00C11C7B">
        <w:rPr>
          <w:rFonts w:cs="Arial"/>
        </w:rPr>
        <w:t>la</w:t>
      </w:r>
      <w:r w:rsidRPr="00C11C7B">
        <w:rPr>
          <w:rFonts w:cs="Arial"/>
          <w:spacing w:val="-12"/>
        </w:rPr>
        <w:t xml:space="preserve"> </w:t>
      </w:r>
      <w:r w:rsidRPr="00C11C7B">
        <w:rPr>
          <w:rFonts w:cs="Arial"/>
        </w:rPr>
        <w:t>plena</w:t>
      </w:r>
      <w:r w:rsidRPr="00C11C7B">
        <w:rPr>
          <w:rFonts w:cs="Arial"/>
          <w:spacing w:val="-12"/>
        </w:rPr>
        <w:t xml:space="preserve"> </w:t>
      </w:r>
      <w:r w:rsidRPr="00C11C7B">
        <w:rPr>
          <w:rFonts w:cs="Arial"/>
        </w:rPr>
        <w:t>realización</w:t>
      </w:r>
      <w:r w:rsidRPr="00C11C7B">
        <w:rPr>
          <w:rFonts w:cs="Arial"/>
          <w:spacing w:val="-12"/>
        </w:rPr>
        <w:t xml:space="preserve"> </w:t>
      </w:r>
      <w:r w:rsidRPr="00C11C7B">
        <w:rPr>
          <w:rFonts w:cs="Arial"/>
        </w:rPr>
        <w:t>del</w:t>
      </w:r>
      <w:r w:rsidRPr="00C11C7B">
        <w:rPr>
          <w:rFonts w:cs="Arial"/>
          <w:spacing w:val="-12"/>
        </w:rPr>
        <w:t xml:space="preserve"> </w:t>
      </w:r>
      <w:r w:rsidRPr="00C11C7B">
        <w:rPr>
          <w:rFonts w:cs="Arial"/>
        </w:rPr>
        <w:t xml:space="preserve">derecho </w:t>
      </w:r>
      <w:r w:rsidRPr="00C11C7B">
        <w:rPr>
          <w:rFonts w:cs="Arial"/>
          <w:spacing w:val="-2"/>
        </w:rPr>
        <w:t>a</w:t>
      </w:r>
      <w:r w:rsidRPr="00C11C7B">
        <w:rPr>
          <w:rFonts w:cs="Arial"/>
          <w:spacing w:val="-13"/>
        </w:rPr>
        <w:t xml:space="preserve"> </w:t>
      </w:r>
      <w:r w:rsidRPr="00C11C7B">
        <w:rPr>
          <w:rFonts w:cs="Arial"/>
          <w:spacing w:val="-2"/>
        </w:rPr>
        <w:t>una</w:t>
      </w:r>
      <w:r w:rsidRPr="00C11C7B">
        <w:rPr>
          <w:rFonts w:cs="Arial"/>
          <w:spacing w:val="-13"/>
        </w:rPr>
        <w:t xml:space="preserve"> </w:t>
      </w:r>
      <w:r w:rsidRPr="00C11C7B">
        <w:rPr>
          <w:rFonts w:cs="Arial"/>
          <w:spacing w:val="-2"/>
        </w:rPr>
        <w:t>vivienda</w:t>
      </w:r>
      <w:r w:rsidRPr="00C11C7B">
        <w:rPr>
          <w:rFonts w:cs="Arial"/>
          <w:spacing w:val="-13"/>
        </w:rPr>
        <w:t xml:space="preserve"> </w:t>
      </w:r>
      <w:r w:rsidRPr="00C11C7B">
        <w:rPr>
          <w:rFonts w:cs="Arial"/>
          <w:spacing w:val="-2"/>
        </w:rPr>
        <w:t>adecuada,</w:t>
      </w:r>
      <w:r w:rsidRPr="00C11C7B">
        <w:rPr>
          <w:rFonts w:cs="Arial"/>
          <w:spacing w:val="-13"/>
        </w:rPr>
        <w:t xml:space="preserve"> </w:t>
      </w:r>
      <w:r>
        <w:rPr>
          <w:rFonts w:cs="Arial"/>
        </w:rPr>
        <w:t>la</w:t>
      </w:r>
      <w:r w:rsidRPr="00C11C7B">
        <w:rPr>
          <w:rFonts w:cs="Arial"/>
          <w:spacing w:val="-13"/>
        </w:rPr>
        <w:t xml:space="preserve"> </w:t>
      </w:r>
      <w:r w:rsidRPr="00C11C7B">
        <w:rPr>
          <w:rFonts w:cs="Arial"/>
        </w:rPr>
        <w:t>tierra</w:t>
      </w:r>
      <w:r w:rsidRPr="00C11C7B">
        <w:rPr>
          <w:rFonts w:cs="Arial"/>
          <w:spacing w:val="-13"/>
        </w:rPr>
        <w:t xml:space="preserve"> </w:t>
      </w:r>
      <w:r w:rsidRPr="00C11C7B">
        <w:rPr>
          <w:rFonts w:cs="Arial"/>
        </w:rPr>
        <w:t>se convierte en uno de los activos más valiosos</w:t>
      </w:r>
      <w:r>
        <w:rPr>
          <w:rFonts w:cs="Arial"/>
        </w:rPr>
        <w:t>.</w:t>
      </w:r>
      <w:r w:rsidRPr="00C11C7B">
        <w:rPr>
          <w:rFonts w:cs="Arial"/>
        </w:rPr>
        <w:t xml:space="preserve"> </w:t>
      </w:r>
      <w:r>
        <w:rPr>
          <w:rFonts w:cs="Arial"/>
          <w:spacing w:val="-4"/>
        </w:rPr>
        <w:t>Por ello,</w:t>
      </w:r>
      <w:r w:rsidRPr="00C11C7B">
        <w:rPr>
          <w:rFonts w:cs="Arial"/>
          <w:spacing w:val="-13"/>
        </w:rPr>
        <w:t xml:space="preserve"> </w:t>
      </w:r>
      <w:r w:rsidRPr="00C11C7B">
        <w:rPr>
          <w:rFonts w:cs="Arial"/>
          <w:spacing w:val="-2"/>
        </w:rPr>
        <w:t xml:space="preserve">promover </w:t>
      </w:r>
      <w:r w:rsidRPr="00C11C7B">
        <w:rPr>
          <w:rFonts w:cs="Arial"/>
          <w:spacing w:val="-6"/>
        </w:rPr>
        <w:t>una</w:t>
      </w:r>
      <w:r w:rsidRPr="00C11C7B">
        <w:rPr>
          <w:rFonts w:cs="Arial"/>
          <w:spacing w:val="-9"/>
        </w:rPr>
        <w:t xml:space="preserve"> </w:t>
      </w:r>
      <w:r w:rsidRPr="00C11C7B">
        <w:rPr>
          <w:rFonts w:cs="Arial"/>
          <w:spacing w:val="-6"/>
        </w:rPr>
        <w:t>mayor</w:t>
      </w:r>
      <w:r w:rsidRPr="00C11C7B">
        <w:rPr>
          <w:rFonts w:cs="Arial"/>
          <w:spacing w:val="-9"/>
        </w:rPr>
        <w:t xml:space="preserve"> </w:t>
      </w:r>
      <w:r w:rsidRPr="00C11C7B">
        <w:rPr>
          <w:rFonts w:cs="Arial"/>
          <w:spacing w:val="-6"/>
        </w:rPr>
        <w:t>seguridad</w:t>
      </w:r>
      <w:r w:rsidRPr="00C11C7B">
        <w:rPr>
          <w:rFonts w:cs="Arial"/>
          <w:spacing w:val="-9"/>
        </w:rPr>
        <w:t xml:space="preserve"> </w:t>
      </w:r>
      <w:r w:rsidRPr="00C11C7B">
        <w:rPr>
          <w:rFonts w:cs="Arial"/>
          <w:spacing w:val="-6"/>
        </w:rPr>
        <w:t>de</w:t>
      </w:r>
      <w:r w:rsidRPr="00C11C7B">
        <w:rPr>
          <w:rFonts w:cs="Arial"/>
          <w:spacing w:val="-9"/>
        </w:rPr>
        <w:t xml:space="preserve"> </w:t>
      </w:r>
      <w:r w:rsidRPr="00C11C7B">
        <w:rPr>
          <w:rFonts w:cs="Arial"/>
          <w:spacing w:val="-6"/>
        </w:rPr>
        <w:t>la</w:t>
      </w:r>
      <w:r w:rsidRPr="00C11C7B">
        <w:rPr>
          <w:rFonts w:cs="Arial"/>
          <w:spacing w:val="-9"/>
        </w:rPr>
        <w:t xml:space="preserve"> </w:t>
      </w:r>
      <w:r w:rsidRPr="00C11C7B">
        <w:rPr>
          <w:rFonts w:cs="Arial"/>
          <w:spacing w:val="-6"/>
        </w:rPr>
        <w:t>tenencia</w:t>
      </w:r>
      <w:r w:rsidRPr="00C11C7B">
        <w:rPr>
          <w:rFonts w:cs="Arial"/>
          <w:spacing w:val="-9"/>
        </w:rPr>
        <w:t xml:space="preserve"> </w:t>
      </w:r>
      <w:r w:rsidRPr="00C11C7B">
        <w:rPr>
          <w:rFonts w:cs="Arial"/>
          <w:spacing w:val="-6"/>
        </w:rPr>
        <w:t>para</w:t>
      </w:r>
      <w:r w:rsidRPr="00C11C7B">
        <w:rPr>
          <w:rFonts w:cs="Arial"/>
          <w:spacing w:val="-9"/>
        </w:rPr>
        <w:t xml:space="preserve"> </w:t>
      </w:r>
      <w:r w:rsidRPr="00C11C7B">
        <w:rPr>
          <w:rFonts w:cs="Arial"/>
          <w:spacing w:val="-6"/>
        </w:rPr>
        <w:t xml:space="preserve">todos </w:t>
      </w:r>
      <w:r w:rsidRPr="00C11C7B">
        <w:rPr>
          <w:rFonts w:cs="Arial"/>
        </w:rPr>
        <w:t>es</w:t>
      </w:r>
      <w:r w:rsidRPr="00C11C7B">
        <w:rPr>
          <w:rFonts w:cs="Arial"/>
          <w:spacing w:val="-19"/>
        </w:rPr>
        <w:t xml:space="preserve"> </w:t>
      </w:r>
      <w:r w:rsidRPr="00C11C7B">
        <w:rPr>
          <w:rFonts w:cs="Arial"/>
        </w:rPr>
        <w:t>un</w:t>
      </w:r>
      <w:r w:rsidRPr="00C11C7B">
        <w:rPr>
          <w:rFonts w:cs="Arial"/>
          <w:spacing w:val="-18"/>
        </w:rPr>
        <w:t xml:space="preserve"> </w:t>
      </w:r>
      <w:r w:rsidRPr="00C11C7B">
        <w:rPr>
          <w:rFonts w:cs="Arial"/>
        </w:rPr>
        <w:t>tema</w:t>
      </w:r>
      <w:r w:rsidRPr="00C11C7B">
        <w:rPr>
          <w:rFonts w:cs="Arial"/>
          <w:spacing w:val="-19"/>
        </w:rPr>
        <w:t xml:space="preserve"> </w:t>
      </w:r>
      <w:r w:rsidRPr="00C11C7B">
        <w:rPr>
          <w:rFonts w:cs="Arial"/>
        </w:rPr>
        <w:t>crítico</w:t>
      </w:r>
      <w:r w:rsidRPr="00C11C7B">
        <w:rPr>
          <w:rFonts w:cs="Arial"/>
          <w:spacing w:val="-18"/>
        </w:rPr>
        <w:t xml:space="preserve"> </w:t>
      </w:r>
      <w:r w:rsidRPr="00C11C7B">
        <w:rPr>
          <w:rFonts w:cs="Arial"/>
        </w:rPr>
        <w:t>para</w:t>
      </w:r>
      <w:r w:rsidRPr="00C11C7B">
        <w:rPr>
          <w:rFonts w:cs="Arial"/>
          <w:spacing w:val="-19"/>
        </w:rPr>
        <w:t xml:space="preserve"> </w:t>
      </w:r>
      <w:r w:rsidRPr="00C11C7B">
        <w:rPr>
          <w:rFonts w:cs="Arial"/>
        </w:rPr>
        <w:t>este</w:t>
      </w:r>
      <w:r w:rsidRPr="00C11C7B">
        <w:rPr>
          <w:rFonts w:cs="Arial"/>
          <w:spacing w:val="-18"/>
        </w:rPr>
        <w:t xml:space="preserve"> </w:t>
      </w:r>
      <w:r w:rsidRPr="00C11C7B">
        <w:rPr>
          <w:rFonts w:cs="Arial"/>
        </w:rPr>
        <w:t>Ayuntamiento.</w:t>
      </w:r>
      <w:r w:rsidRPr="00C11C7B">
        <w:rPr>
          <w:rFonts w:cs="Arial"/>
          <w:spacing w:val="-19"/>
        </w:rPr>
        <w:t xml:space="preserve"> </w:t>
      </w:r>
      <w:r w:rsidRPr="00EA46AC">
        <w:rPr>
          <w:rFonts w:cs="Arial"/>
          <w:lang w:val="es-MX"/>
        </w:rPr>
        <w:t xml:space="preserve">Uno de los enfoques clave ha sido facilitar el acceso a la tierra como base para la estabilidad económica y la movilidad social. </w:t>
      </w:r>
    </w:p>
    <w:p w14:paraId="63DC66DC" w14:textId="4A9B5C3C" w:rsidR="0070429C" w:rsidRPr="00AA46D5" w:rsidRDefault="0070429C" w:rsidP="00B205BA">
      <w:pPr>
        <w:spacing w:after="120" w:line="240" w:lineRule="auto"/>
        <w:ind w:right="49"/>
        <w:rPr>
          <w:rFonts w:cs="Arial"/>
          <w:lang w:val="es-MX"/>
        </w:rPr>
      </w:pPr>
      <w:r>
        <w:rPr>
          <w:rFonts w:cs="Arial"/>
          <w:lang w:val="es-MX"/>
        </w:rPr>
        <w:t xml:space="preserve">La administración anterior impulsó </w:t>
      </w:r>
      <w:r w:rsidRPr="00EA46AC">
        <w:rPr>
          <w:rFonts w:cs="Arial"/>
          <w:lang w:val="es-MX"/>
        </w:rPr>
        <w:t>diversas iniciativas para mejorar la tenencia de la tierra y la seguridad jurídica de los residentes, especialmente familias de bajos recursos. A través de la entrega de 1908 títulos de propiedad, se regularizó la situación de numerosas familias que</w:t>
      </w:r>
      <w:r>
        <w:rPr>
          <w:rFonts w:cs="Arial"/>
          <w:lang w:val="es-MX"/>
        </w:rPr>
        <w:t>,</w:t>
      </w:r>
      <w:r w:rsidRPr="00EA46AC">
        <w:rPr>
          <w:rFonts w:cs="Arial"/>
          <w:lang w:val="es-MX"/>
        </w:rPr>
        <w:t xml:space="preserve"> durante 15 a 20 años</w:t>
      </w:r>
      <w:r>
        <w:rPr>
          <w:rFonts w:cs="Arial"/>
          <w:lang w:val="es-MX"/>
        </w:rPr>
        <w:t>,</w:t>
      </w:r>
      <w:r w:rsidRPr="00EA46AC">
        <w:rPr>
          <w:rFonts w:cs="Arial"/>
          <w:lang w:val="es-MX"/>
        </w:rPr>
        <w:t xml:space="preserve"> </w:t>
      </w:r>
      <w:r>
        <w:rPr>
          <w:rFonts w:cs="Arial"/>
          <w:lang w:val="es-MX"/>
        </w:rPr>
        <w:t>habitaron terrenos</w:t>
      </w:r>
      <w:r w:rsidRPr="00EA46AC">
        <w:rPr>
          <w:rFonts w:cs="Arial"/>
          <w:lang w:val="es-MX"/>
        </w:rPr>
        <w:t xml:space="preserve"> de manera irregular</w:t>
      </w:r>
      <w:r>
        <w:rPr>
          <w:rFonts w:cs="Arial"/>
          <w:lang w:val="es-MX"/>
        </w:rPr>
        <w:t>. De esta manera, se les otorgó</w:t>
      </w:r>
      <w:r w:rsidRPr="00EA46AC">
        <w:rPr>
          <w:rFonts w:cs="Arial"/>
          <w:lang w:val="es-MX"/>
        </w:rPr>
        <w:t xml:space="preserve"> certeza jurídica sobre su patrimonio</w:t>
      </w:r>
      <w:r>
        <w:rPr>
          <w:rFonts w:cs="Arial"/>
          <w:lang w:val="es-MX"/>
        </w:rPr>
        <w:t>,</w:t>
      </w:r>
      <w:r w:rsidRPr="00EA46AC">
        <w:rPr>
          <w:rFonts w:cs="Arial"/>
          <w:lang w:val="es-MX"/>
        </w:rPr>
        <w:t xml:space="preserve"> contribuyendo a la solución de los problemas derivados de la informalidad urbana.</w:t>
      </w:r>
      <w:r>
        <w:rPr>
          <w:rFonts w:cs="Arial"/>
          <w:lang w:val="es-MX"/>
        </w:rPr>
        <w:t xml:space="preserve"> </w:t>
      </w:r>
    </w:p>
    <w:p w14:paraId="06117542" w14:textId="6E76BC05" w:rsidR="0070429C" w:rsidRPr="00EA46AC" w:rsidRDefault="0070429C" w:rsidP="00B205BA">
      <w:pPr>
        <w:spacing w:after="120" w:line="240" w:lineRule="auto"/>
        <w:ind w:right="49"/>
        <w:rPr>
          <w:rFonts w:cs="Arial"/>
          <w:lang w:val="es-MX"/>
        </w:rPr>
      </w:pPr>
      <w:r>
        <w:rPr>
          <w:rFonts w:cs="Arial"/>
          <w:lang w:val="es-MX"/>
        </w:rPr>
        <w:t>Adicionalmente</w:t>
      </w:r>
      <w:r w:rsidRPr="00EA46AC">
        <w:rPr>
          <w:rFonts w:cs="Arial"/>
          <w:lang w:val="es-MX"/>
        </w:rPr>
        <w:t>, se logró regularizar</w:t>
      </w:r>
      <w:r w:rsidR="00C47BF8">
        <w:rPr>
          <w:rFonts w:cs="Arial"/>
          <w:lang w:val="es-MX"/>
        </w:rPr>
        <w:t xml:space="preserve"> </w:t>
      </w:r>
      <w:r>
        <w:rPr>
          <w:rFonts w:cs="Arial"/>
          <w:lang w:val="es-MX"/>
        </w:rPr>
        <w:t>l</w:t>
      </w:r>
      <w:r w:rsidRPr="00EA46AC">
        <w:rPr>
          <w:rFonts w:cs="Arial"/>
          <w:lang w:val="es-MX"/>
        </w:rPr>
        <w:t xml:space="preserve">os asentamientos </w:t>
      </w:r>
      <w:r>
        <w:rPr>
          <w:rFonts w:cs="Arial"/>
          <w:lang w:val="es-MX"/>
        </w:rPr>
        <w:t>“</w:t>
      </w:r>
      <w:r w:rsidRPr="00EA46AC">
        <w:rPr>
          <w:rFonts w:cs="Arial"/>
          <w:lang w:val="es-MX"/>
        </w:rPr>
        <w:t>Primero de Julio</w:t>
      </w:r>
      <w:r>
        <w:rPr>
          <w:rFonts w:cs="Arial"/>
          <w:lang w:val="es-MX"/>
        </w:rPr>
        <w:t>”</w:t>
      </w:r>
      <w:r w:rsidRPr="00EA46AC">
        <w:rPr>
          <w:rFonts w:cs="Arial"/>
          <w:lang w:val="es-MX"/>
        </w:rPr>
        <w:t xml:space="preserve"> y </w:t>
      </w:r>
      <w:r>
        <w:rPr>
          <w:rFonts w:cs="Arial"/>
          <w:lang w:val="es-MX"/>
        </w:rPr>
        <w:t>“</w:t>
      </w:r>
      <w:r w:rsidRPr="00EA46AC">
        <w:rPr>
          <w:rFonts w:cs="Arial"/>
          <w:lang w:val="es-MX"/>
        </w:rPr>
        <w:t>Cajeme</w:t>
      </w:r>
      <w:r>
        <w:rPr>
          <w:rFonts w:cs="Arial"/>
          <w:lang w:val="es-MX"/>
        </w:rPr>
        <w:t>”</w:t>
      </w:r>
      <w:r w:rsidRPr="00EA46AC">
        <w:rPr>
          <w:rFonts w:cs="Arial"/>
          <w:lang w:val="es-MX"/>
        </w:rPr>
        <w:t xml:space="preserve">, beneficiando a más de </w:t>
      </w:r>
      <w:r>
        <w:rPr>
          <w:rFonts w:cs="Arial"/>
          <w:lang w:val="es-MX"/>
        </w:rPr>
        <w:t>cien</w:t>
      </w:r>
      <w:r w:rsidRPr="00EA46AC">
        <w:rPr>
          <w:rFonts w:cs="Arial"/>
          <w:lang w:val="es-MX"/>
        </w:rPr>
        <w:t xml:space="preserve"> familias</w:t>
      </w:r>
      <w:r>
        <w:rPr>
          <w:rFonts w:cs="Arial"/>
          <w:lang w:val="es-MX"/>
        </w:rPr>
        <w:t>,</w:t>
      </w:r>
      <w:r w:rsidRPr="00EA46AC">
        <w:rPr>
          <w:rFonts w:cs="Arial"/>
          <w:lang w:val="es-MX"/>
        </w:rPr>
        <w:t xml:space="preserve"> con un marco legal que fomenta el desarrollo de los asentamientos y mejora sus condiciones de vida.</w:t>
      </w:r>
    </w:p>
    <w:p w14:paraId="40513A9D" w14:textId="0CC19659" w:rsidR="0070429C" w:rsidRPr="00EA46AC" w:rsidRDefault="0070429C" w:rsidP="00B205BA">
      <w:pPr>
        <w:spacing w:after="120" w:line="240" w:lineRule="auto"/>
        <w:ind w:right="49"/>
        <w:rPr>
          <w:rFonts w:cs="Arial"/>
          <w:lang w:val="es-MX"/>
        </w:rPr>
      </w:pPr>
      <w:r w:rsidRPr="00EA46AC">
        <w:rPr>
          <w:rFonts w:cs="Arial"/>
          <w:lang w:val="es-MX"/>
        </w:rPr>
        <w:t>Además, el Ayuntamiento de Hermosillo adquirió</w:t>
      </w:r>
      <w:r>
        <w:rPr>
          <w:rFonts w:cs="Arial"/>
          <w:lang w:val="es-MX"/>
        </w:rPr>
        <w:t xml:space="preserve"> poco más de</w:t>
      </w:r>
      <w:r w:rsidRPr="00EA46AC">
        <w:rPr>
          <w:rFonts w:cs="Arial"/>
          <w:lang w:val="es-MX"/>
        </w:rPr>
        <w:t xml:space="preserve"> 318</w:t>
      </w:r>
      <w:r>
        <w:rPr>
          <w:rFonts w:cs="Arial"/>
          <w:lang w:val="es-MX"/>
        </w:rPr>
        <w:t xml:space="preserve"> 000 </w:t>
      </w:r>
      <w:r w:rsidRPr="00EA46AC">
        <w:rPr>
          <w:rFonts w:cs="Arial"/>
          <w:lang w:val="es-MX"/>
        </w:rPr>
        <w:t>m² de reserva territorial para la construcción de vivienda social</w:t>
      </w:r>
      <w:r>
        <w:rPr>
          <w:rFonts w:cs="Arial"/>
          <w:lang w:val="es-MX"/>
        </w:rPr>
        <w:t>,</w:t>
      </w:r>
      <w:r w:rsidRPr="00EA46AC">
        <w:rPr>
          <w:rFonts w:cs="Arial"/>
          <w:lang w:val="es-MX"/>
        </w:rPr>
        <w:t xml:space="preserve"> a fin de reducir el costo del suelo y promover un desarrollo urbano adecuado, con acceso a servicios básicos, educación e infraestructura.</w:t>
      </w:r>
    </w:p>
    <w:p w14:paraId="198600D6" w14:textId="2C9F6BC2" w:rsidR="0070429C" w:rsidRPr="00EA46AC" w:rsidRDefault="0070429C" w:rsidP="00B205BA">
      <w:pPr>
        <w:spacing w:after="120" w:line="240" w:lineRule="auto"/>
        <w:ind w:right="49"/>
        <w:rPr>
          <w:rFonts w:cs="Arial"/>
          <w:lang w:val="es-MX"/>
        </w:rPr>
      </w:pPr>
      <w:r w:rsidRPr="00EA46AC">
        <w:rPr>
          <w:rFonts w:cs="Arial"/>
          <w:lang w:val="es-MX"/>
        </w:rPr>
        <w:t xml:space="preserve">En cuanto a la problemática de viviendas abandonadas, se implementó el programa </w:t>
      </w:r>
      <w:r w:rsidRPr="00D41D61">
        <w:rPr>
          <w:rFonts w:cs="Arial"/>
          <w:lang w:val="es-MX"/>
        </w:rPr>
        <w:t>"Con Hogar Creces"</w:t>
      </w:r>
      <w:r w:rsidRPr="00EA46AC">
        <w:rPr>
          <w:rFonts w:cs="Arial"/>
          <w:lang w:val="es-MX"/>
        </w:rPr>
        <w:t xml:space="preserve">, </w:t>
      </w:r>
      <w:r>
        <w:rPr>
          <w:rFonts w:cs="Arial"/>
          <w:lang w:val="es-MX"/>
        </w:rPr>
        <w:t>para la recuperación y rehabilitación de</w:t>
      </w:r>
      <w:r w:rsidRPr="00EA46AC">
        <w:rPr>
          <w:rFonts w:cs="Arial"/>
          <w:lang w:val="es-MX"/>
        </w:rPr>
        <w:t xml:space="preserve"> viviendas abandonadas en zonas de alto riesgo. Estas viviendas son </w:t>
      </w:r>
      <w:r>
        <w:rPr>
          <w:rFonts w:cs="Arial"/>
          <w:lang w:val="es-MX"/>
        </w:rPr>
        <w:t>re</w:t>
      </w:r>
      <w:r w:rsidRPr="00EA46AC">
        <w:rPr>
          <w:rFonts w:cs="Arial"/>
          <w:lang w:val="es-MX"/>
        </w:rPr>
        <w:t xml:space="preserve">acondicionadas para ser habitadas por familias de bajos ingresos y personas con discapacidad. A través de convenios con Infonavit, se </w:t>
      </w:r>
      <w:r w:rsidRPr="00EA46AC">
        <w:rPr>
          <w:rFonts w:cs="Arial"/>
          <w:lang w:val="es-MX"/>
        </w:rPr>
        <w:lastRenderedPageBreak/>
        <w:t xml:space="preserve">adquirieron y rehabilitaron 116 viviendas, </w:t>
      </w:r>
      <w:r>
        <w:rPr>
          <w:rFonts w:cs="Arial"/>
          <w:lang w:val="es-MX"/>
        </w:rPr>
        <w:t>con lo que se mejoraron</w:t>
      </w:r>
      <w:r w:rsidRPr="00EA46AC">
        <w:rPr>
          <w:rFonts w:cs="Arial"/>
          <w:lang w:val="es-MX"/>
        </w:rPr>
        <w:t xml:space="preserve"> también los espacios públicos circundantes.</w:t>
      </w:r>
    </w:p>
    <w:p w14:paraId="1A3C8AF4" w14:textId="7AF5BCC7" w:rsidR="0070429C" w:rsidRPr="0076416A" w:rsidRDefault="0070429C" w:rsidP="00B205BA">
      <w:pPr>
        <w:spacing w:after="120" w:line="240" w:lineRule="auto"/>
        <w:ind w:right="49"/>
        <w:rPr>
          <w:rFonts w:cs="Arial"/>
          <w:lang w:val="es-MX"/>
        </w:rPr>
      </w:pPr>
      <w:r w:rsidRPr="00EA46AC">
        <w:rPr>
          <w:rFonts w:cs="Arial"/>
          <w:lang w:val="es-MX"/>
        </w:rPr>
        <w:t xml:space="preserve">Aunque la administración </w:t>
      </w:r>
      <w:r>
        <w:rPr>
          <w:rFonts w:cs="Arial"/>
          <w:lang w:val="es-MX"/>
        </w:rPr>
        <w:t xml:space="preserve">municipal </w:t>
      </w:r>
      <w:r w:rsidRPr="00EA46AC">
        <w:rPr>
          <w:rFonts w:cs="Arial"/>
          <w:lang w:val="es-MX"/>
        </w:rPr>
        <w:t xml:space="preserve">ha logrado avances significativos, aún enfrenta el reto de más de 1600 viviendas abandonadas, especialmente debido a la falta de incentivos para el desarrollo de vivienda económica nueva y la disponibilidad limitada de viviendas recuperadas por parte de Infonavit. </w:t>
      </w:r>
      <w:r>
        <w:rPr>
          <w:rFonts w:cs="Arial"/>
          <w:lang w:val="es-MX"/>
        </w:rPr>
        <w:t>No obstante</w:t>
      </w:r>
      <w:r w:rsidRPr="00EA46AC">
        <w:rPr>
          <w:rFonts w:cs="Arial"/>
          <w:lang w:val="es-MX"/>
        </w:rPr>
        <w:t>, se continúa trabajando con estrategias tanto sociales como financieras en soluciones de vivienda para las familias vulnerables.</w:t>
      </w:r>
    </w:p>
    <w:p w14:paraId="1FAB801E" w14:textId="687A082C" w:rsidR="0070429C" w:rsidRDefault="0070429C" w:rsidP="00B205BA">
      <w:pPr>
        <w:spacing w:after="120" w:line="240" w:lineRule="auto"/>
        <w:ind w:right="474"/>
        <w:rPr>
          <w:rFonts w:cs="Arial"/>
          <w:b/>
          <w:bCs/>
        </w:rPr>
      </w:pPr>
      <w:r w:rsidRPr="00730141">
        <w:rPr>
          <w:rFonts w:cs="Arial"/>
          <w:b/>
          <w:bCs/>
        </w:rPr>
        <w:t xml:space="preserve">Rezago </w:t>
      </w:r>
      <w:r>
        <w:rPr>
          <w:rFonts w:cs="Arial"/>
          <w:b/>
          <w:bCs/>
        </w:rPr>
        <w:t>habitacional</w:t>
      </w:r>
      <w:r w:rsidR="00261A27">
        <w:rPr>
          <w:rFonts w:cs="Arial"/>
          <w:b/>
          <w:bCs/>
        </w:rPr>
        <w:t>.</w:t>
      </w:r>
    </w:p>
    <w:p w14:paraId="445C34F2" w14:textId="77777777" w:rsidR="00A033CE" w:rsidRDefault="0070429C" w:rsidP="00A033CE">
      <w:pPr>
        <w:spacing w:after="120" w:line="240" w:lineRule="auto"/>
        <w:rPr>
          <w:rFonts w:cs="Arial"/>
          <w:color w:val="000000"/>
        </w:rPr>
      </w:pPr>
      <w:r>
        <w:rPr>
          <w:rFonts w:cs="Arial"/>
          <w:color w:val="000000"/>
        </w:rPr>
        <w:t>El rezago habitacional se define</w:t>
      </w:r>
      <w:r w:rsidRPr="00646293">
        <w:rPr>
          <w:rFonts w:cs="Arial"/>
          <w:color w:val="000000"/>
        </w:rPr>
        <w:t xml:space="preserve"> como "el número de viviendas que cuentan con materiales precarios en pisos, techos y muros, que no tienen excusado o cuyos residentes habitan en hacinamiento"</w:t>
      </w:r>
      <w:r>
        <w:rPr>
          <w:rStyle w:val="Refdenotaalpie"/>
          <w:rFonts w:cs="Arial"/>
          <w:color w:val="000000"/>
        </w:rPr>
        <w:footnoteReference w:id="24"/>
      </w:r>
      <w:r>
        <w:rPr>
          <w:rFonts w:cs="Arial"/>
          <w:color w:val="000000"/>
        </w:rPr>
        <w:t xml:space="preserve">, y se encuentra </w:t>
      </w:r>
      <w:r w:rsidRPr="00646293">
        <w:rPr>
          <w:rFonts w:cs="Arial"/>
          <w:color w:val="000000"/>
        </w:rPr>
        <w:t>vinculad</w:t>
      </w:r>
      <w:r>
        <w:rPr>
          <w:rFonts w:cs="Arial"/>
          <w:color w:val="000000"/>
        </w:rPr>
        <w:t>o</w:t>
      </w:r>
      <w:r w:rsidRPr="00646293">
        <w:rPr>
          <w:rFonts w:cs="Arial"/>
          <w:color w:val="000000"/>
        </w:rPr>
        <w:t xml:space="preserve"> a condiciones que afectan la calidad de vida de las personas, especialmente en contextos de pobreza. </w:t>
      </w:r>
      <w:r>
        <w:rPr>
          <w:rFonts w:cs="Arial"/>
          <w:color w:val="000000"/>
        </w:rPr>
        <w:t>En el plano</w:t>
      </w:r>
      <w:r w:rsidRPr="00646293">
        <w:rPr>
          <w:rFonts w:cs="Arial"/>
          <w:color w:val="000000"/>
        </w:rPr>
        <w:t xml:space="preserve"> nacional, el municipio de Hermosillo ocupa el lugar 2375 de 2469</w:t>
      </w:r>
      <w:r>
        <w:rPr>
          <w:rFonts w:cs="Arial"/>
          <w:color w:val="000000"/>
        </w:rPr>
        <w:t xml:space="preserve"> en rezago habitacional</w:t>
      </w:r>
      <w:r w:rsidRPr="00646293">
        <w:rPr>
          <w:rFonts w:cs="Arial"/>
          <w:color w:val="000000"/>
        </w:rPr>
        <w:t xml:space="preserve">, y a nivel estatal, se considera el municipio con el menor porcentaje de rezago habitacional en </w:t>
      </w:r>
      <w:r>
        <w:rPr>
          <w:rFonts w:cs="Arial"/>
          <w:color w:val="000000"/>
        </w:rPr>
        <w:t>función del</w:t>
      </w:r>
      <w:r w:rsidRPr="00646293">
        <w:rPr>
          <w:rFonts w:cs="Arial"/>
          <w:color w:val="000000"/>
        </w:rPr>
        <w:t xml:space="preserve"> total de viviendas.</w:t>
      </w:r>
    </w:p>
    <w:p w14:paraId="41EB58E7" w14:textId="77777777" w:rsidR="00A033CE" w:rsidRDefault="0070429C" w:rsidP="00A033CE">
      <w:pPr>
        <w:spacing w:after="120" w:line="240" w:lineRule="auto"/>
        <w:rPr>
          <w:rFonts w:cs="Arial"/>
          <w:color w:val="000000"/>
        </w:rPr>
      </w:pPr>
      <w:r w:rsidRPr="00646293">
        <w:rPr>
          <w:rFonts w:cs="Arial"/>
          <w:color w:val="000000"/>
        </w:rPr>
        <w:t xml:space="preserve">Según el Perfil Municipal del Rezago Habitacional del Estado de Sonora </w:t>
      </w:r>
      <w:r>
        <w:rPr>
          <w:rFonts w:cs="Arial"/>
          <w:color w:val="000000"/>
        </w:rPr>
        <w:t>2024</w:t>
      </w:r>
      <w:r w:rsidRPr="00646293">
        <w:rPr>
          <w:rFonts w:cs="Arial"/>
          <w:color w:val="000000"/>
        </w:rPr>
        <w:t xml:space="preserve">, elaborado por la Comisión Nacional de Vivienda </w:t>
      </w:r>
      <w:r>
        <w:rPr>
          <w:rFonts w:cs="Arial"/>
          <w:color w:val="000000"/>
        </w:rPr>
        <w:t>con base</w:t>
      </w:r>
      <w:r w:rsidRPr="00646293">
        <w:rPr>
          <w:rFonts w:cs="Arial"/>
          <w:color w:val="000000"/>
        </w:rPr>
        <w:t xml:space="preserve"> en los datos del Censo de Población y Vivienda 2020, Hermosillo cuenta con 279</w:t>
      </w:r>
      <w:r>
        <w:rPr>
          <w:rFonts w:cs="Arial"/>
          <w:color w:val="000000"/>
        </w:rPr>
        <w:t xml:space="preserve"> </w:t>
      </w:r>
      <w:r w:rsidRPr="00646293">
        <w:rPr>
          <w:rFonts w:cs="Arial"/>
          <w:color w:val="000000"/>
        </w:rPr>
        <w:t>706 viviendas</w:t>
      </w:r>
      <w:r>
        <w:rPr>
          <w:rFonts w:cs="Arial"/>
          <w:color w:val="000000"/>
        </w:rPr>
        <w:t>,</w:t>
      </w:r>
      <w:r w:rsidRPr="00646293">
        <w:rPr>
          <w:rFonts w:cs="Arial"/>
          <w:color w:val="000000"/>
        </w:rPr>
        <w:t xml:space="preserve"> en las </w:t>
      </w:r>
      <w:r>
        <w:rPr>
          <w:rFonts w:cs="Arial"/>
          <w:color w:val="000000"/>
        </w:rPr>
        <w:t>cuales</w:t>
      </w:r>
      <w:r w:rsidRPr="00646293">
        <w:rPr>
          <w:rFonts w:cs="Arial"/>
          <w:color w:val="000000"/>
        </w:rPr>
        <w:t xml:space="preserve"> habitan 924</w:t>
      </w:r>
      <w:r>
        <w:rPr>
          <w:rFonts w:cs="Arial"/>
          <w:color w:val="000000"/>
        </w:rPr>
        <w:t xml:space="preserve"> </w:t>
      </w:r>
      <w:r w:rsidRPr="00646293">
        <w:rPr>
          <w:rFonts w:cs="Arial"/>
          <w:color w:val="000000"/>
        </w:rPr>
        <w:t>607 personas. El 6.5</w:t>
      </w:r>
      <w:r>
        <w:rPr>
          <w:rFonts w:cs="Arial"/>
          <w:color w:val="000000"/>
        </w:rPr>
        <w:t xml:space="preserve"> </w:t>
      </w:r>
      <w:r w:rsidRPr="00646293">
        <w:rPr>
          <w:rFonts w:cs="Arial"/>
          <w:color w:val="000000"/>
        </w:rPr>
        <w:t>% de estas viviendas (18</w:t>
      </w:r>
      <w:r>
        <w:rPr>
          <w:rFonts w:cs="Arial"/>
          <w:color w:val="000000"/>
        </w:rPr>
        <w:t xml:space="preserve"> </w:t>
      </w:r>
      <w:r w:rsidRPr="00646293">
        <w:rPr>
          <w:rFonts w:cs="Arial"/>
          <w:color w:val="000000"/>
        </w:rPr>
        <w:t>053) presentan rezago habitacional, y en ellas reside el 8.3</w:t>
      </w:r>
      <w:r>
        <w:rPr>
          <w:rFonts w:cs="Arial"/>
          <w:color w:val="000000"/>
        </w:rPr>
        <w:t xml:space="preserve"> </w:t>
      </w:r>
      <w:r w:rsidRPr="00646293">
        <w:rPr>
          <w:rFonts w:cs="Arial"/>
          <w:color w:val="000000"/>
        </w:rPr>
        <w:t>% de la población total del municipio (77</w:t>
      </w:r>
      <w:r>
        <w:rPr>
          <w:rFonts w:cs="Arial"/>
          <w:color w:val="000000"/>
        </w:rPr>
        <w:t xml:space="preserve"> </w:t>
      </w:r>
      <w:r w:rsidRPr="00646293">
        <w:rPr>
          <w:rFonts w:cs="Arial"/>
          <w:color w:val="000000"/>
        </w:rPr>
        <w:t>062 personas).</w:t>
      </w:r>
    </w:p>
    <w:p w14:paraId="3EFF81B7" w14:textId="06DF95A6" w:rsidR="00A033CE" w:rsidRDefault="0070429C" w:rsidP="00A033CE">
      <w:pPr>
        <w:spacing w:after="120" w:line="240" w:lineRule="auto"/>
        <w:rPr>
          <w:rFonts w:cs="Arial"/>
          <w:color w:val="000000"/>
        </w:rPr>
      </w:pPr>
      <w:r w:rsidRPr="00646293">
        <w:rPr>
          <w:rFonts w:cs="Arial"/>
          <w:color w:val="000000"/>
        </w:rPr>
        <w:t>Del total de viviendas en rezago habitacional, 1</w:t>
      </w:r>
      <w:r w:rsidR="00CA2EC1">
        <w:rPr>
          <w:rFonts w:cs="Arial"/>
          <w:color w:val="000000"/>
        </w:rPr>
        <w:t xml:space="preserve"> </w:t>
      </w:r>
      <w:r w:rsidRPr="00646293">
        <w:rPr>
          <w:rFonts w:cs="Arial"/>
          <w:color w:val="000000"/>
        </w:rPr>
        <w:t>574 presentan materiales deteriorados, lo que indica que los materiales predominantes en las paredes, techos y pisos son de baja durabilidad y calidad. Además, 12</w:t>
      </w:r>
      <w:r>
        <w:rPr>
          <w:rFonts w:cs="Arial"/>
          <w:color w:val="000000"/>
        </w:rPr>
        <w:t xml:space="preserve"> </w:t>
      </w:r>
      <w:r w:rsidRPr="00646293">
        <w:rPr>
          <w:rFonts w:cs="Arial"/>
          <w:color w:val="000000"/>
        </w:rPr>
        <w:t>664 viviendas tienen materiales regulares, y 7921 cuentan con espacios precarios. Los grupos vulnerables que habitan estas viviendas incluyen 6261 jefas de familia, 21</w:t>
      </w:r>
      <w:r>
        <w:rPr>
          <w:rFonts w:cs="Arial"/>
          <w:color w:val="000000"/>
        </w:rPr>
        <w:t xml:space="preserve"> </w:t>
      </w:r>
      <w:r w:rsidRPr="00646293">
        <w:rPr>
          <w:rFonts w:cs="Arial"/>
          <w:color w:val="000000"/>
        </w:rPr>
        <w:t>426 adultos mayores, 14</w:t>
      </w:r>
      <w:r>
        <w:rPr>
          <w:rFonts w:cs="Arial"/>
          <w:color w:val="000000"/>
        </w:rPr>
        <w:t xml:space="preserve"> </w:t>
      </w:r>
      <w:r w:rsidRPr="00646293">
        <w:rPr>
          <w:rFonts w:cs="Arial"/>
          <w:color w:val="000000"/>
        </w:rPr>
        <w:t>751 personas con discapacidad y 19</w:t>
      </w:r>
      <w:r>
        <w:rPr>
          <w:rFonts w:cs="Arial"/>
          <w:color w:val="000000"/>
        </w:rPr>
        <w:t xml:space="preserve"> </w:t>
      </w:r>
      <w:r w:rsidRPr="00646293">
        <w:rPr>
          <w:rFonts w:cs="Arial"/>
          <w:color w:val="000000"/>
        </w:rPr>
        <w:t>057 personas que se autoidentifican como indígenas.</w:t>
      </w:r>
    </w:p>
    <w:p w14:paraId="101CAC4F" w14:textId="2FA7449A" w:rsidR="0070429C" w:rsidRPr="00646293" w:rsidRDefault="0070429C" w:rsidP="00A033CE">
      <w:pPr>
        <w:spacing w:after="120" w:line="240" w:lineRule="auto"/>
        <w:rPr>
          <w:rFonts w:cs="Arial"/>
          <w:color w:val="000000"/>
        </w:rPr>
      </w:pPr>
      <w:r>
        <w:rPr>
          <w:rFonts w:cs="Arial"/>
          <w:color w:val="000000"/>
        </w:rPr>
        <w:t>Se estima que 58.3 % de</w:t>
      </w:r>
      <w:r w:rsidRPr="00646293">
        <w:rPr>
          <w:rFonts w:cs="Arial"/>
          <w:color w:val="000000"/>
        </w:rPr>
        <w:t xml:space="preserve"> las viviendas con rezago habitacional</w:t>
      </w:r>
      <w:r>
        <w:rPr>
          <w:rFonts w:cs="Arial"/>
          <w:color w:val="000000"/>
        </w:rPr>
        <w:t xml:space="preserve"> </w:t>
      </w:r>
      <w:r w:rsidRPr="00646293">
        <w:rPr>
          <w:rFonts w:cs="Arial"/>
          <w:color w:val="000000"/>
        </w:rPr>
        <w:t xml:space="preserve">requieren </w:t>
      </w:r>
      <w:r>
        <w:rPr>
          <w:rFonts w:cs="Arial"/>
          <w:color w:val="000000"/>
        </w:rPr>
        <w:t>de</w:t>
      </w:r>
      <w:r w:rsidRPr="00646293">
        <w:rPr>
          <w:rFonts w:cs="Arial"/>
          <w:color w:val="000000"/>
        </w:rPr>
        <w:t xml:space="preserve"> reparaciones estructurales o rehabilitación. Un 13.8</w:t>
      </w:r>
      <w:r>
        <w:rPr>
          <w:rFonts w:cs="Arial"/>
          <w:color w:val="000000"/>
        </w:rPr>
        <w:t xml:space="preserve"> </w:t>
      </w:r>
      <w:r w:rsidRPr="00646293">
        <w:rPr>
          <w:rFonts w:cs="Arial"/>
          <w:color w:val="000000"/>
        </w:rPr>
        <w:t>% de estas viviendas necesita ser reemplazado por viviendas nuevas, mientras que 27.6</w:t>
      </w:r>
      <w:r>
        <w:rPr>
          <w:rFonts w:cs="Arial"/>
          <w:color w:val="000000"/>
        </w:rPr>
        <w:t xml:space="preserve"> </w:t>
      </w:r>
      <w:r w:rsidRPr="00646293">
        <w:rPr>
          <w:rFonts w:cs="Arial"/>
          <w:color w:val="000000"/>
        </w:rPr>
        <w:t xml:space="preserve">% requiere ampliaciones o modificaciones para aumentar la superficie habitable, </w:t>
      </w:r>
      <w:r>
        <w:rPr>
          <w:rFonts w:cs="Arial"/>
          <w:color w:val="000000"/>
        </w:rPr>
        <w:t xml:space="preserve">reducir </w:t>
      </w:r>
      <w:r w:rsidRPr="00646293">
        <w:rPr>
          <w:rFonts w:cs="Arial"/>
          <w:color w:val="000000"/>
        </w:rPr>
        <w:t xml:space="preserve">el hacinamiento y </w:t>
      </w:r>
      <w:r>
        <w:rPr>
          <w:rFonts w:cs="Arial"/>
          <w:color w:val="000000"/>
        </w:rPr>
        <w:t>proporcionar</w:t>
      </w:r>
      <w:r w:rsidRPr="00646293">
        <w:rPr>
          <w:rFonts w:cs="Arial"/>
          <w:color w:val="000000"/>
        </w:rPr>
        <w:t xml:space="preserve"> las condiciones adecuadas para </w:t>
      </w:r>
      <w:r>
        <w:rPr>
          <w:rFonts w:cs="Arial"/>
          <w:color w:val="000000"/>
        </w:rPr>
        <w:t>su</w:t>
      </w:r>
      <w:r w:rsidRPr="00646293">
        <w:rPr>
          <w:rFonts w:cs="Arial"/>
          <w:color w:val="000000"/>
        </w:rPr>
        <w:t xml:space="preserve"> habitabilidad</w:t>
      </w:r>
      <w:r>
        <w:rPr>
          <w:rFonts w:cs="Arial"/>
          <w:color w:val="000000"/>
        </w:rPr>
        <w:t>.</w:t>
      </w:r>
      <w:r>
        <w:rPr>
          <w:rStyle w:val="Refdenotaalpie"/>
          <w:rFonts w:cs="Arial"/>
          <w:color w:val="000000"/>
        </w:rPr>
        <w:footnoteReference w:id="25"/>
      </w:r>
      <w:r w:rsidRPr="00646293">
        <w:rPr>
          <w:rFonts w:cs="Arial"/>
          <w:color w:val="000000"/>
        </w:rPr>
        <w:t xml:space="preserve"> </w:t>
      </w:r>
    </w:p>
    <w:p w14:paraId="5C65DB4F" w14:textId="4AE6251C" w:rsidR="00261A27" w:rsidRPr="00C70FEC" w:rsidRDefault="0070429C" w:rsidP="00B205BA">
      <w:pPr>
        <w:pStyle w:val="NormalWeb"/>
        <w:spacing w:before="0" w:beforeAutospacing="0" w:after="120" w:afterAutospacing="0"/>
        <w:jc w:val="both"/>
        <w:rPr>
          <w:rFonts w:ascii="Arial" w:hAnsi="Arial" w:cs="Arial"/>
          <w:color w:val="000000"/>
          <w:sz w:val="22"/>
          <w:szCs w:val="22"/>
        </w:rPr>
      </w:pPr>
      <w:r w:rsidRPr="009D52C1">
        <w:rPr>
          <w:rFonts w:ascii="Arial" w:hAnsi="Arial" w:cs="Arial"/>
          <w:color w:val="000000"/>
          <w:sz w:val="22"/>
          <w:szCs w:val="22"/>
        </w:rPr>
        <w:t>En este contexto, considerando la importante proporción de viviendas deshabitadas (11.17</w:t>
      </w:r>
      <w:r>
        <w:rPr>
          <w:rFonts w:ascii="Arial" w:hAnsi="Arial" w:cs="Arial"/>
          <w:color w:val="000000"/>
          <w:sz w:val="22"/>
          <w:szCs w:val="22"/>
        </w:rPr>
        <w:t xml:space="preserve"> </w:t>
      </w:r>
      <w:r w:rsidRPr="009D52C1">
        <w:rPr>
          <w:rFonts w:ascii="Arial" w:hAnsi="Arial" w:cs="Arial"/>
          <w:color w:val="000000"/>
          <w:sz w:val="22"/>
          <w:szCs w:val="22"/>
        </w:rPr>
        <w:t>% del total de viviendas particulares) y la falta de oferta de vivienda social, es necesario implementar acciones que favorezcan el aprovechamiento de viviendas ya existentes, que cuenten con acceso a infraestructura y servicios para hacerlas asequibles a la población más vulnerable del municipio.</w:t>
      </w:r>
      <w:r>
        <w:rPr>
          <w:rFonts w:ascii="Arial" w:hAnsi="Arial" w:cs="Arial"/>
          <w:color w:val="000000"/>
          <w:sz w:val="22"/>
          <w:szCs w:val="22"/>
        </w:rPr>
        <w:t xml:space="preserve"> </w:t>
      </w:r>
    </w:p>
    <w:p w14:paraId="760E8462" w14:textId="2C985C39" w:rsidR="0070429C" w:rsidRPr="005C0F10" w:rsidRDefault="0070429C" w:rsidP="00B205BA">
      <w:pPr>
        <w:spacing w:after="120" w:line="240" w:lineRule="auto"/>
        <w:ind w:right="49"/>
        <w:rPr>
          <w:rFonts w:cs="Arial"/>
          <w:b/>
          <w:bCs/>
        </w:rPr>
      </w:pPr>
      <w:r w:rsidRPr="005C0F10">
        <w:rPr>
          <w:rFonts w:cs="Arial"/>
          <w:b/>
          <w:bCs/>
        </w:rPr>
        <w:t>Seguridad pública</w:t>
      </w:r>
      <w:r w:rsidR="00261A27">
        <w:rPr>
          <w:rFonts w:cs="Arial"/>
          <w:b/>
          <w:bCs/>
        </w:rPr>
        <w:t>.</w:t>
      </w:r>
    </w:p>
    <w:p w14:paraId="748F6D45" w14:textId="40580D30" w:rsidR="0070429C" w:rsidRDefault="0070429C" w:rsidP="00B205BA">
      <w:pPr>
        <w:spacing w:after="120" w:line="240" w:lineRule="auto"/>
        <w:ind w:right="49"/>
        <w:rPr>
          <w:rFonts w:cs="Arial"/>
        </w:rPr>
      </w:pPr>
      <w:r w:rsidRPr="005C0F10">
        <w:rPr>
          <w:rFonts w:cs="Arial"/>
        </w:rPr>
        <w:t>Con el firme objetivo de abordar los problemas de seguridad de manera efectiva y</w:t>
      </w:r>
      <w:r w:rsidRPr="00E050BE">
        <w:rPr>
          <w:rFonts w:cs="Arial"/>
        </w:rPr>
        <w:t xml:space="preserve"> sostenible, </w:t>
      </w:r>
      <w:r>
        <w:rPr>
          <w:rFonts w:cs="Arial"/>
        </w:rPr>
        <w:t xml:space="preserve">se </w:t>
      </w:r>
      <w:r w:rsidRPr="00E050BE">
        <w:rPr>
          <w:rFonts w:cs="Arial"/>
        </w:rPr>
        <w:t>implement</w:t>
      </w:r>
      <w:r>
        <w:rPr>
          <w:rFonts w:cs="Arial"/>
        </w:rPr>
        <w:t>ó</w:t>
      </w:r>
      <w:r w:rsidRPr="00E050BE">
        <w:rPr>
          <w:rFonts w:cs="Arial"/>
        </w:rPr>
        <w:t xml:space="preserve"> una estrategia integral de seguridad pública basada en el fortalecimiento de la policía, la colaboración interinstitucional y el uso de la tecnología al servicio de la prevención del delito, la atención a víctimas y el fomento a la participación </w:t>
      </w:r>
      <w:r w:rsidRPr="00E050BE">
        <w:rPr>
          <w:rFonts w:cs="Arial"/>
        </w:rPr>
        <w:lastRenderedPageBreak/>
        <w:t>comunitaria</w:t>
      </w:r>
      <w:r>
        <w:rPr>
          <w:rFonts w:cs="Arial"/>
        </w:rPr>
        <w:t xml:space="preserve">. Esto, </w:t>
      </w:r>
      <w:r w:rsidRPr="00E050BE">
        <w:rPr>
          <w:rFonts w:cs="Arial"/>
        </w:rPr>
        <w:t xml:space="preserve">a través de </w:t>
      </w:r>
      <w:r>
        <w:rPr>
          <w:rFonts w:cs="Arial"/>
        </w:rPr>
        <w:t xml:space="preserve">diversas acciones de </w:t>
      </w:r>
      <w:r w:rsidRPr="00E050BE">
        <w:rPr>
          <w:rFonts w:cs="Arial"/>
        </w:rPr>
        <w:t>educación y sensibilización</w:t>
      </w:r>
      <w:r>
        <w:rPr>
          <w:rFonts w:cs="Arial"/>
        </w:rPr>
        <w:t xml:space="preserve">, </w:t>
      </w:r>
      <w:r w:rsidRPr="00E050BE">
        <w:rPr>
          <w:rFonts w:cs="Arial"/>
        </w:rPr>
        <w:t>promoción de la transformación institucional y fortalecimiento de capacidades de las fuerzas de seguridad</w:t>
      </w:r>
      <w:r>
        <w:rPr>
          <w:rFonts w:cs="Arial"/>
        </w:rPr>
        <w:t>,</w:t>
      </w:r>
      <w:r w:rsidRPr="00E050BE">
        <w:rPr>
          <w:rFonts w:cs="Arial"/>
        </w:rPr>
        <w:t xml:space="preserve"> en beneficio de los habitantes de la capital sonorense.</w:t>
      </w:r>
    </w:p>
    <w:p w14:paraId="23F8FFBF" w14:textId="0CFEBDB0" w:rsidR="0070429C" w:rsidRDefault="0070429C" w:rsidP="00B205BA">
      <w:pPr>
        <w:spacing w:after="120" w:line="240" w:lineRule="auto"/>
        <w:ind w:right="49"/>
        <w:rPr>
          <w:rFonts w:cs="Arial"/>
        </w:rPr>
      </w:pPr>
      <w:r>
        <w:rPr>
          <w:rFonts w:cs="Arial"/>
        </w:rPr>
        <w:t>S</w:t>
      </w:r>
      <w:r w:rsidRPr="00E050BE">
        <w:rPr>
          <w:rFonts w:cs="Arial"/>
        </w:rPr>
        <w:t xml:space="preserve">e invirtieron </w:t>
      </w:r>
      <w:r>
        <w:rPr>
          <w:rFonts w:cs="Arial"/>
        </w:rPr>
        <w:t>más de 436.5 millones de</w:t>
      </w:r>
      <w:r w:rsidRPr="00E050BE">
        <w:rPr>
          <w:rFonts w:cs="Arial"/>
        </w:rPr>
        <w:t xml:space="preserve"> pesos en equipamiento, infraestructura, capacitación, contrataciones y estímulos, vehículos y sistemas de monitoreo</w:t>
      </w:r>
      <w:r>
        <w:rPr>
          <w:rFonts w:cs="Arial"/>
        </w:rPr>
        <w:t>. Además, s</w:t>
      </w:r>
      <w:r w:rsidRPr="007F3BFA">
        <w:rPr>
          <w:rFonts w:cs="Arial"/>
        </w:rPr>
        <w:t xml:space="preserve">e </w:t>
      </w:r>
      <w:r>
        <w:rPr>
          <w:rFonts w:cs="Arial"/>
        </w:rPr>
        <w:t>pusieron en servicio</w:t>
      </w:r>
      <w:r w:rsidRPr="007F3BFA">
        <w:rPr>
          <w:rFonts w:cs="Arial"/>
        </w:rPr>
        <w:t xml:space="preserve"> 220 unidades SUV eléctricas, lo que no solo incrementó la eficiencia operativa, sino que también promovió el uso de energía limpia. Este logro fue posible gracias a la construcción </w:t>
      </w:r>
      <w:r>
        <w:rPr>
          <w:rFonts w:cs="Arial"/>
        </w:rPr>
        <w:t xml:space="preserve">en Hermosillo </w:t>
      </w:r>
      <w:r w:rsidRPr="007F3BFA">
        <w:rPr>
          <w:rFonts w:cs="Arial"/>
        </w:rPr>
        <w:t xml:space="preserve">de la electrolinera más grande de Latinoamérica y al adecuado mantenimiento de la flotilla. </w:t>
      </w:r>
    </w:p>
    <w:p w14:paraId="6F620DFB" w14:textId="23BFB4D9" w:rsidR="0070429C" w:rsidRPr="007F3BFA" w:rsidRDefault="0070429C" w:rsidP="00B205BA">
      <w:pPr>
        <w:spacing w:after="120" w:line="240" w:lineRule="auto"/>
        <w:ind w:right="49"/>
        <w:rPr>
          <w:rFonts w:cs="Arial"/>
        </w:rPr>
      </w:pPr>
      <w:r>
        <w:rPr>
          <w:rFonts w:cs="Arial"/>
        </w:rPr>
        <w:t>Adicionalmente</w:t>
      </w:r>
      <w:r w:rsidRPr="007F3BFA">
        <w:rPr>
          <w:rFonts w:cs="Arial"/>
        </w:rPr>
        <w:t xml:space="preserve">, se mejoró la radiocomunicación </w:t>
      </w:r>
      <w:r>
        <w:rPr>
          <w:rFonts w:cs="Arial"/>
        </w:rPr>
        <w:t>mediante</w:t>
      </w:r>
      <w:r w:rsidRPr="007F3BFA">
        <w:rPr>
          <w:rFonts w:cs="Arial"/>
        </w:rPr>
        <w:t xml:space="preserve"> la adquisición de 2</w:t>
      </w:r>
      <w:r>
        <w:rPr>
          <w:rFonts w:cs="Arial"/>
        </w:rPr>
        <w:t>65</w:t>
      </w:r>
      <w:r w:rsidRPr="007F3BFA">
        <w:rPr>
          <w:rFonts w:cs="Arial"/>
        </w:rPr>
        <w:t xml:space="preserve"> dispositivos portátiles de radio y 13 </w:t>
      </w:r>
      <w:r>
        <w:rPr>
          <w:rFonts w:cs="Arial"/>
        </w:rPr>
        <w:t xml:space="preserve">equipos </w:t>
      </w:r>
      <w:r w:rsidRPr="007F3BFA">
        <w:rPr>
          <w:rFonts w:cs="Arial"/>
        </w:rPr>
        <w:t xml:space="preserve">TPH 900, </w:t>
      </w:r>
      <w:r>
        <w:rPr>
          <w:rFonts w:cs="Arial"/>
        </w:rPr>
        <w:t>con lo que se mejoró la</w:t>
      </w:r>
      <w:r w:rsidRPr="007F3BFA">
        <w:rPr>
          <w:rFonts w:cs="Arial"/>
        </w:rPr>
        <w:t xml:space="preserve"> coordinación en los operativos policiales.</w:t>
      </w:r>
      <w:r>
        <w:rPr>
          <w:rFonts w:cs="Arial"/>
        </w:rPr>
        <w:t xml:space="preserve"> También se entregaron 400 chalecos balísticos y 1200 uniformes de trabajo para el total del estado de fuerza, así como una vagoneta</w:t>
      </w:r>
      <w:r w:rsidRPr="007F3BFA">
        <w:rPr>
          <w:rFonts w:cs="Arial"/>
        </w:rPr>
        <w:t xml:space="preserve"> equipada y </w:t>
      </w:r>
      <w:r>
        <w:rPr>
          <w:rFonts w:cs="Arial"/>
        </w:rPr>
        <w:t>5</w:t>
      </w:r>
      <w:r w:rsidRPr="007F3BFA">
        <w:rPr>
          <w:rFonts w:cs="Arial"/>
        </w:rPr>
        <w:t xml:space="preserve"> dron</w:t>
      </w:r>
      <w:r>
        <w:rPr>
          <w:rFonts w:cs="Arial"/>
        </w:rPr>
        <w:t>es</w:t>
      </w:r>
      <w:r w:rsidRPr="007F3BFA">
        <w:rPr>
          <w:rFonts w:cs="Arial"/>
        </w:rPr>
        <w:t xml:space="preserve"> </w:t>
      </w:r>
      <w:r>
        <w:rPr>
          <w:rFonts w:cs="Arial"/>
        </w:rPr>
        <w:t xml:space="preserve">para </w:t>
      </w:r>
      <w:r w:rsidRPr="007F3BFA">
        <w:rPr>
          <w:rFonts w:cs="Arial"/>
        </w:rPr>
        <w:t>aumenta</w:t>
      </w:r>
      <w:r>
        <w:rPr>
          <w:rFonts w:cs="Arial"/>
        </w:rPr>
        <w:t>r</w:t>
      </w:r>
      <w:r w:rsidRPr="007F3BFA">
        <w:rPr>
          <w:rFonts w:cs="Arial"/>
        </w:rPr>
        <w:t xml:space="preserve"> la efectividad en tareas de patrullaje aéreo</w:t>
      </w:r>
      <w:r>
        <w:rPr>
          <w:rFonts w:cs="Arial"/>
        </w:rPr>
        <w:t>.</w:t>
      </w:r>
    </w:p>
    <w:p w14:paraId="079BE595" w14:textId="0C89AD3F" w:rsidR="0070429C" w:rsidRDefault="0070429C" w:rsidP="00B205BA">
      <w:pPr>
        <w:spacing w:after="120" w:line="240" w:lineRule="auto"/>
        <w:ind w:right="49"/>
        <w:rPr>
          <w:rFonts w:cs="Arial"/>
        </w:rPr>
      </w:pPr>
      <w:r>
        <w:rPr>
          <w:rFonts w:cs="Arial"/>
        </w:rPr>
        <w:t>En este mismo esfuerzo, se creó el Centro de Monitoreo y Seguridad Vial para el desarrollo de actividades de videovigilancia interior y exterior, apoyo a elementos en calle, atención a reportes recibidos a través de la aplicación HermosilloGob, monitoreo del programa “Camina segura” y atención a las alertas de botones de pánico.</w:t>
      </w:r>
    </w:p>
    <w:p w14:paraId="195EE174" w14:textId="18C7F725" w:rsidR="0070429C" w:rsidRDefault="0070429C" w:rsidP="00B205BA">
      <w:pPr>
        <w:spacing w:after="120" w:line="240" w:lineRule="auto"/>
        <w:ind w:right="49"/>
        <w:rPr>
          <w:rFonts w:cs="Arial"/>
        </w:rPr>
      </w:pPr>
      <w:r>
        <w:rPr>
          <w:rFonts w:cs="Arial"/>
        </w:rPr>
        <w:t>Así mismo, se</w:t>
      </w:r>
      <w:r w:rsidRPr="007F3BFA">
        <w:rPr>
          <w:rFonts w:cs="Arial"/>
        </w:rPr>
        <w:t xml:space="preserve"> pusieron en marcha 18 centros de respuesta inmediata en </w:t>
      </w:r>
      <w:r>
        <w:rPr>
          <w:rFonts w:cs="Arial"/>
        </w:rPr>
        <w:t>varias</w:t>
      </w:r>
      <w:r w:rsidRPr="007F3BFA">
        <w:rPr>
          <w:rFonts w:cs="Arial"/>
        </w:rPr>
        <w:t xml:space="preserve"> colonias, operativos las 24 horas y con oficiales capacitados para responder a emergencias y llamados </w:t>
      </w:r>
      <w:r>
        <w:rPr>
          <w:rFonts w:cs="Arial"/>
        </w:rPr>
        <w:t>al</w:t>
      </w:r>
      <w:r w:rsidRPr="007F3BFA">
        <w:rPr>
          <w:rFonts w:cs="Arial"/>
        </w:rPr>
        <w:t xml:space="preserve"> 911. </w:t>
      </w:r>
    </w:p>
    <w:p w14:paraId="448F2BC5" w14:textId="4A611531" w:rsidR="0070429C" w:rsidRDefault="0070429C" w:rsidP="00B205BA">
      <w:pPr>
        <w:spacing w:after="120" w:line="240" w:lineRule="auto"/>
        <w:ind w:right="49"/>
        <w:rPr>
          <w:rFonts w:cs="Arial"/>
        </w:rPr>
      </w:pPr>
      <w:r w:rsidRPr="007F3BFA">
        <w:rPr>
          <w:rFonts w:cs="Arial"/>
        </w:rPr>
        <w:t>En cuanto a</w:t>
      </w:r>
      <w:r>
        <w:rPr>
          <w:rFonts w:cs="Arial"/>
        </w:rPr>
        <w:t>l</w:t>
      </w:r>
      <w:r w:rsidRPr="007F3BFA">
        <w:rPr>
          <w:rFonts w:cs="Arial"/>
        </w:rPr>
        <w:t xml:space="preserve"> fortalecimiento del personal policial, se ele</w:t>
      </w:r>
      <w:r>
        <w:rPr>
          <w:rFonts w:cs="Arial"/>
        </w:rPr>
        <w:t>vó</w:t>
      </w:r>
      <w:r w:rsidRPr="007F3BFA">
        <w:rPr>
          <w:rFonts w:cs="Arial"/>
        </w:rPr>
        <w:t xml:space="preserve"> a 200 </w:t>
      </w:r>
      <w:r>
        <w:rPr>
          <w:rFonts w:cs="Arial"/>
        </w:rPr>
        <w:t xml:space="preserve">el número de </w:t>
      </w:r>
      <w:r w:rsidRPr="007F3BFA">
        <w:rPr>
          <w:rFonts w:cs="Arial"/>
        </w:rPr>
        <w:t>integrantes</w:t>
      </w:r>
      <w:r>
        <w:rPr>
          <w:rFonts w:cs="Arial"/>
        </w:rPr>
        <w:t xml:space="preserve"> de la fuerza</w:t>
      </w:r>
      <w:r w:rsidRPr="007F3BFA">
        <w:rPr>
          <w:rFonts w:cs="Arial"/>
        </w:rPr>
        <w:t xml:space="preserve">. A </w:t>
      </w:r>
      <w:r>
        <w:rPr>
          <w:rFonts w:cs="Arial"/>
        </w:rPr>
        <w:t>los</w:t>
      </w:r>
      <w:r w:rsidRPr="007F3BFA">
        <w:rPr>
          <w:rFonts w:cs="Arial"/>
        </w:rPr>
        <w:t xml:space="preserve"> </w:t>
      </w:r>
      <w:r>
        <w:rPr>
          <w:rFonts w:cs="Arial"/>
        </w:rPr>
        <w:t xml:space="preserve">nuevos </w:t>
      </w:r>
      <w:r w:rsidRPr="007F3BFA">
        <w:rPr>
          <w:rFonts w:cs="Arial"/>
        </w:rPr>
        <w:t xml:space="preserve">elementos se les proporcionó uniforme, equipo de protección y capacitación especializada en diversos temas, </w:t>
      </w:r>
      <w:r>
        <w:rPr>
          <w:rFonts w:cs="Arial"/>
        </w:rPr>
        <w:t>como la</w:t>
      </w:r>
      <w:r w:rsidRPr="007F3BFA">
        <w:rPr>
          <w:rFonts w:cs="Arial"/>
        </w:rPr>
        <w:t xml:space="preserve"> perspectiva de género, primeros auxilios y protección civil. </w:t>
      </w:r>
    </w:p>
    <w:p w14:paraId="5F1BF4F4" w14:textId="0976CEF9" w:rsidR="0070429C" w:rsidRDefault="0070429C" w:rsidP="00B205BA">
      <w:pPr>
        <w:spacing w:after="120" w:line="240" w:lineRule="auto"/>
        <w:ind w:right="49"/>
        <w:rPr>
          <w:rFonts w:cs="Arial"/>
        </w:rPr>
      </w:pPr>
      <w:r>
        <w:rPr>
          <w:rFonts w:cs="Arial"/>
        </w:rPr>
        <w:t xml:space="preserve">Todas estas mejoras inciden en un mejor desempeño del cuerpo de policía municipal. Reflejo de ello es la certificación que se recibió </w:t>
      </w:r>
      <w:r w:rsidRPr="007F3BFA">
        <w:rPr>
          <w:rFonts w:cs="Arial"/>
        </w:rPr>
        <w:t xml:space="preserve">del Instituto para la Seguridad y la Democracia (Insyde) por la mejora en el desempeño policial, </w:t>
      </w:r>
      <w:r>
        <w:rPr>
          <w:rFonts w:cs="Arial"/>
        </w:rPr>
        <w:t>acorde con</w:t>
      </w:r>
      <w:r w:rsidRPr="007F3BFA">
        <w:rPr>
          <w:rFonts w:cs="Arial"/>
        </w:rPr>
        <w:t xml:space="preserve"> las mejores prácticas nacionales e internacionales</w:t>
      </w:r>
      <w:r>
        <w:rPr>
          <w:rFonts w:cs="Arial"/>
        </w:rPr>
        <w:t xml:space="preserve">. </w:t>
      </w:r>
    </w:p>
    <w:p w14:paraId="1CF0BE5A" w14:textId="57993EB0" w:rsidR="00261A27" w:rsidRPr="00C32544" w:rsidRDefault="0070429C" w:rsidP="00B205BA">
      <w:pPr>
        <w:spacing w:after="120" w:line="240" w:lineRule="auto"/>
        <w:ind w:right="49"/>
        <w:rPr>
          <w:rFonts w:cs="Arial"/>
        </w:rPr>
      </w:pPr>
      <w:r>
        <w:rPr>
          <w:rFonts w:cs="Arial"/>
        </w:rPr>
        <w:t>F</w:t>
      </w:r>
      <w:r w:rsidRPr="007F3BFA">
        <w:rPr>
          <w:rFonts w:cs="Arial"/>
        </w:rPr>
        <w:t>inalmente, la participación activa en la convención "Policía Internacional Sonora-Arizona" (PISA)</w:t>
      </w:r>
      <w:r>
        <w:rPr>
          <w:rFonts w:cs="Arial"/>
        </w:rPr>
        <w:t>, en la que</w:t>
      </w:r>
      <w:r w:rsidRPr="007F3BFA">
        <w:rPr>
          <w:rFonts w:cs="Arial"/>
        </w:rPr>
        <w:t xml:space="preserve"> 25 elementos </w:t>
      </w:r>
      <w:r>
        <w:rPr>
          <w:rFonts w:cs="Arial"/>
        </w:rPr>
        <w:t>recibieron</w:t>
      </w:r>
      <w:r w:rsidRPr="007F3BFA">
        <w:rPr>
          <w:rFonts w:cs="Arial"/>
        </w:rPr>
        <w:t xml:space="preserve"> capacitación especializada en áreas como investigación criminal y robo de vehículos, </w:t>
      </w:r>
      <w:r>
        <w:rPr>
          <w:rFonts w:cs="Arial"/>
        </w:rPr>
        <w:t>con lo que se fortalece</w:t>
      </w:r>
      <w:r w:rsidRPr="007F3BFA">
        <w:rPr>
          <w:rFonts w:cs="Arial"/>
        </w:rPr>
        <w:t xml:space="preserve"> la profesionalización de la fuerza policial </w:t>
      </w:r>
      <w:r>
        <w:rPr>
          <w:rFonts w:cs="Arial"/>
        </w:rPr>
        <w:t>de</w:t>
      </w:r>
      <w:r w:rsidRPr="007F3BFA">
        <w:rPr>
          <w:rFonts w:cs="Arial"/>
        </w:rPr>
        <w:t xml:space="preserve"> Hermosillo.</w:t>
      </w:r>
    </w:p>
    <w:p w14:paraId="10FD0E35" w14:textId="452E5146" w:rsidR="0070429C" w:rsidRPr="002126BF" w:rsidRDefault="0070429C" w:rsidP="00B205BA">
      <w:pPr>
        <w:spacing w:after="120" w:line="240" w:lineRule="auto"/>
        <w:ind w:right="49"/>
        <w:rPr>
          <w:rFonts w:cs="Arial"/>
          <w:b/>
          <w:bCs/>
        </w:rPr>
      </w:pPr>
      <w:r>
        <w:rPr>
          <w:rFonts w:cs="Arial"/>
          <w:b/>
          <w:bCs/>
        </w:rPr>
        <w:t>Proximidad ciudadana y prevención del delito</w:t>
      </w:r>
      <w:r w:rsidR="00261A27">
        <w:rPr>
          <w:rFonts w:cs="Arial"/>
          <w:b/>
          <w:bCs/>
        </w:rPr>
        <w:t>.</w:t>
      </w:r>
    </w:p>
    <w:p w14:paraId="1CD2D772" w14:textId="3E84BEFF" w:rsidR="0070429C" w:rsidRDefault="0070429C" w:rsidP="00B205BA">
      <w:pPr>
        <w:spacing w:after="120" w:line="240" w:lineRule="auto"/>
        <w:ind w:right="49"/>
        <w:rPr>
          <w:rFonts w:cs="Arial"/>
          <w:lang w:val="es-MX"/>
        </w:rPr>
      </w:pPr>
      <w:r w:rsidRPr="00227DC8">
        <w:rPr>
          <w:rFonts w:cs="Arial"/>
          <w:lang w:val="es-MX"/>
        </w:rPr>
        <w:t xml:space="preserve">La creación del programa “Un café con el Comisario” ha sido una iniciativa efectiva para escuchar las necesidades de la comunidad. A </w:t>
      </w:r>
      <w:r>
        <w:rPr>
          <w:rFonts w:cs="Arial"/>
          <w:lang w:val="es-MX"/>
        </w:rPr>
        <w:t>lo largo</w:t>
      </w:r>
      <w:r w:rsidRPr="00227DC8">
        <w:rPr>
          <w:rFonts w:cs="Arial"/>
          <w:lang w:val="es-MX"/>
        </w:rPr>
        <w:t xml:space="preserve"> de 203 reuniones realizadas en 153 colonias, se ha logrado un 90.7</w:t>
      </w:r>
      <w:r>
        <w:rPr>
          <w:rFonts w:cs="Arial"/>
          <w:lang w:val="es-MX"/>
        </w:rPr>
        <w:t xml:space="preserve"> </w:t>
      </w:r>
      <w:r w:rsidRPr="00227DC8">
        <w:rPr>
          <w:rFonts w:cs="Arial"/>
          <w:lang w:val="es-MX"/>
        </w:rPr>
        <w:t xml:space="preserve">% de efectividad en la atención de las peticiones recibidas, lo que ha fortalecido </w:t>
      </w:r>
      <w:r>
        <w:rPr>
          <w:rFonts w:cs="Arial"/>
          <w:lang w:val="es-MX"/>
        </w:rPr>
        <w:t xml:space="preserve">sensiblemente </w:t>
      </w:r>
      <w:r w:rsidRPr="00227DC8">
        <w:rPr>
          <w:rFonts w:cs="Arial"/>
          <w:lang w:val="es-MX"/>
        </w:rPr>
        <w:t>el vínculo entre la policía y la ciudadanía.</w:t>
      </w:r>
    </w:p>
    <w:p w14:paraId="16BC738F" w14:textId="05A01EDF" w:rsidR="0070429C" w:rsidRPr="00227DC8" w:rsidRDefault="0070429C" w:rsidP="00B205BA">
      <w:pPr>
        <w:spacing w:after="120" w:line="240" w:lineRule="auto"/>
        <w:ind w:right="49"/>
        <w:rPr>
          <w:rFonts w:cs="Arial"/>
          <w:lang w:val="es-MX"/>
        </w:rPr>
      </w:pPr>
      <w:r>
        <w:rPr>
          <w:rFonts w:cs="Arial"/>
          <w:lang w:val="es-MX"/>
        </w:rPr>
        <w:t>A su vez, la</w:t>
      </w:r>
      <w:r w:rsidRPr="00227DC8">
        <w:rPr>
          <w:rFonts w:cs="Arial"/>
          <w:lang w:val="es-MX"/>
        </w:rPr>
        <w:t xml:space="preserve"> implementación del Escuadrón Paramédico ha </w:t>
      </w:r>
      <w:r>
        <w:rPr>
          <w:rFonts w:cs="Arial"/>
          <w:lang w:val="es-MX"/>
        </w:rPr>
        <w:t>venido a reforzar</w:t>
      </w:r>
      <w:r w:rsidRPr="00227DC8">
        <w:rPr>
          <w:rFonts w:cs="Arial"/>
          <w:lang w:val="es-MX"/>
        </w:rPr>
        <w:t xml:space="preserve"> al estado de fuerza </w:t>
      </w:r>
      <w:r>
        <w:rPr>
          <w:rFonts w:cs="Arial"/>
          <w:lang w:val="es-MX"/>
        </w:rPr>
        <w:t xml:space="preserve">con </w:t>
      </w:r>
      <w:r w:rsidRPr="00227DC8">
        <w:rPr>
          <w:rFonts w:cs="Arial"/>
          <w:lang w:val="es-MX"/>
        </w:rPr>
        <w:t>personal paramédico, así como a equipos especializados, para brindar apoyo en emergencias y mejorar la respuesta a las necesidades de la población en situaciones críticas.</w:t>
      </w:r>
      <w:r>
        <w:rPr>
          <w:rFonts w:cs="Arial"/>
          <w:lang w:val="es-MX"/>
        </w:rPr>
        <w:t xml:space="preserve"> </w:t>
      </w:r>
    </w:p>
    <w:p w14:paraId="51E43123" w14:textId="6ACD0981" w:rsidR="0070429C" w:rsidRPr="00227DC8" w:rsidRDefault="0070429C" w:rsidP="00B205BA">
      <w:pPr>
        <w:spacing w:after="120" w:line="240" w:lineRule="auto"/>
        <w:ind w:right="49"/>
        <w:rPr>
          <w:rFonts w:cs="Arial"/>
          <w:lang w:val="es-MX"/>
        </w:rPr>
      </w:pPr>
      <w:r>
        <w:rPr>
          <w:rFonts w:cs="Arial"/>
          <w:lang w:val="es-MX"/>
        </w:rPr>
        <w:t>Por su parte, la</w:t>
      </w:r>
      <w:r w:rsidRPr="00227DC8">
        <w:rPr>
          <w:rFonts w:cs="Arial"/>
          <w:lang w:val="es-MX"/>
        </w:rPr>
        <w:t xml:space="preserve"> Unidad Especial de Protección Animal (UEPA) también ha tenido un impacto significativo</w:t>
      </w:r>
      <w:r>
        <w:rPr>
          <w:rFonts w:cs="Arial"/>
          <w:lang w:val="es-MX"/>
        </w:rPr>
        <w:t xml:space="preserve"> mediante la atención de</w:t>
      </w:r>
      <w:r w:rsidRPr="00227DC8">
        <w:rPr>
          <w:rFonts w:cs="Arial"/>
          <w:lang w:val="es-MX"/>
        </w:rPr>
        <w:t xml:space="preserve"> reportes de maltrato animal, </w:t>
      </w:r>
      <w:r>
        <w:rPr>
          <w:rFonts w:cs="Arial"/>
          <w:lang w:val="es-MX"/>
        </w:rPr>
        <w:t>con lo que contribuimos a mejorar</w:t>
      </w:r>
      <w:r w:rsidRPr="00227DC8">
        <w:rPr>
          <w:rFonts w:cs="Arial"/>
          <w:lang w:val="es-MX"/>
        </w:rPr>
        <w:t xml:space="preserve"> la seguridad y el bienestar de los animales en la ciudad.</w:t>
      </w:r>
    </w:p>
    <w:p w14:paraId="735FECF9" w14:textId="56F2986B" w:rsidR="0070429C" w:rsidRDefault="0070429C" w:rsidP="00B205BA">
      <w:pPr>
        <w:spacing w:after="120" w:line="240" w:lineRule="auto"/>
        <w:ind w:right="49"/>
        <w:rPr>
          <w:rFonts w:cs="Arial"/>
          <w:lang w:val="es-MX"/>
        </w:rPr>
      </w:pPr>
      <w:r w:rsidRPr="00227DC8">
        <w:rPr>
          <w:rFonts w:cs="Arial"/>
          <w:lang w:val="es-MX"/>
        </w:rPr>
        <w:lastRenderedPageBreak/>
        <w:t xml:space="preserve">En el ámbito de </w:t>
      </w:r>
      <w:r>
        <w:rPr>
          <w:rFonts w:cs="Arial"/>
          <w:lang w:val="es-MX"/>
        </w:rPr>
        <w:t xml:space="preserve">la </w:t>
      </w:r>
      <w:r w:rsidRPr="00227DC8">
        <w:rPr>
          <w:rFonts w:cs="Arial"/>
          <w:lang w:val="es-MX"/>
        </w:rPr>
        <w:t xml:space="preserve">prevención, </w:t>
      </w:r>
      <w:r>
        <w:rPr>
          <w:rFonts w:cs="Arial"/>
          <w:lang w:val="es-MX"/>
        </w:rPr>
        <w:t>tanto</w:t>
      </w:r>
      <w:r w:rsidRPr="00227DC8">
        <w:rPr>
          <w:rFonts w:cs="Arial"/>
          <w:lang w:val="es-MX"/>
        </w:rPr>
        <w:t xml:space="preserve"> el Programa D.A.R.E. (Educación para la Resistencia al Abuso de Drogas y la Violencia) </w:t>
      </w:r>
      <w:r>
        <w:rPr>
          <w:rFonts w:cs="Arial"/>
          <w:lang w:val="es-MX"/>
        </w:rPr>
        <w:t>como</w:t>
      </w:r>
      <w:r w:rsidRPr="00227DC8">
        <w:rPr>
          <w:rFonts w:cs="Arial"/>
          <w:lang w:val="es-MX"/>
        </w:rPr>
        <w:t xml:space="preserve"> el Programa UMPAM, enfocado en la prevención y tratamiento de menores infractores, </w:t>
      </w:r>
      <w:r>
        <w:rPr>
          <w:rFonts w:cs="Arial"/>
          <w:lang w:val="es-MX"/>
        </w:rPr>
        <w:t>se han fortalecidos en su esfuerzo en pro de</w:t>
      </w:r>
      <w:r w:rsidRPr="00227DC8">
        <w:rPr>
          <w:rFonts w:cs="Arial"/>
          <w:lang w:val="es-MX"/>
        </w:rPr>
        <w:t xml:space="preserve"> la reintegración social de los jóvenes y la reducción de la violencia.</w:t>
      </w:r>
      <w:r>
        <w:rPr>
          <w:rFonts w:cs="Arial"/>
          <w:lang w:val="es-MX"/>
        </w:rPr>
        <w:t xml:space="preserve"> </w:t>
      </w:r>
    </w:p>
    <w:p w14:paraId="6B81131D" w14:textId="33CE12C5" w:rsidR="0070429C" w:rsidRPr="00227DC8" w:rsidRDefault="0070429C" w:rsidP="00B205BA">
      <w:pPr>
        <w:spacing w:after="120" w:line="240" w:lineRule="auto"/>
        <w:ind w:right="49"/>
        <w:rPr>
          <w:rFonts w:cs="Arial"/>
          <w:lang w:val="es-MX"/>
        </w:rPr>
      </w:pPr>
      <w:r w:rsidRPr="00227DC8">
        <w:rPr>
          <w:rFonts w:cs="Arial"/>
          <w:lang w:val="es-MX"/>
        </w:rPr>
        <w:t xml:space="preserve">Además, se han reactivado programas clave para mejorar las condiciones de seguridad en Hermosillo. Entre ellos destacan: </w:t>
      </w:r>
      <w:r>
        <w:rPr>
          <w:rFonts w:cs="Arial"/>
          <w:lang w:val="es-MX"/>
        </w:rPr>
        <w:t>“</w:t>
      </w:r>
      <w:r w:rsidRPr="00227DC8">
        <w:rPr>
          <w:rFonts w:cs="Arial"/>
          <w:lang w:val="es-MX"/>
        </w:rPr>
        <w:t>Comercio Seguro</w:t>
      </w:r>
      <w:r>
        <w:rPr>
          <w:rFonts w:cs="Arial"/>
          <w:lang w:val="es-MX"/>
        </w:rPr>
        <w:t>”</w:t>
      </w:r>
      <w:r w:rsidRPr="00227DC8">
        <w:rPr>
          <w:rFonts w:cs="Arial"/>
          <w:lang w:val="es-MX"/>
        </w:rPr>
        <w:t xml:space="preserve">, Policía Turística, Dispositivo de Tránsito para una Movilidad Incluyente </w:t>
      </w:r>
      <w:r>
        <w:rPr>
          <w:rFonts w:cs="Arial"/>
          <w:lang w:val="es-MX"/>
        </w:rPr>
        <w:t xml:space="preserve">(DTMI) </w:t>
      </w:r>
      <w:r w:rsidRPr="00227DC8">
        <w:rPr>
          <w:rFonts w:cs="Arial"/>
          <w:lang w:val="es-MX"/>
        </w:rPr>
        <w:t>y el Dispositivo de Evaluación y Control de Tránsito (DECT), que buscan garantizar tanto la seguridad de los ciudadanos como la mejora en la movilidad urbana.</w:t>
      </w:r>
      <w:r w:rsidRPr="00483A7C">
        <w:rPr>
          <w:rFonts w:cs="Arial"/>
          <w:lang w:val="es-MX"/>
        </w:rPr>
        <w:t xml:space="preserve"> </w:t>
      </w:r>
      <w:r>
        <w:rPr>
          <w:rFonts w:cs="Arial"/>
          <w:lang w:val="es-MX"/>
        </w:rPr>
        <w:t>Por su parte, el equipo “EscuaDrones” apoya los</w:t>
      </w:r>
      <w:r w:rsidRPr="00227DC8">
        <w:rPr>
          <w:rFonts w:cs="Arial"/>
          <w:lang w:val="es-MX"/>
        </w:rPr>
        <w:t xml:space="preserve"> operativos de código rojo </w:t>
      </w:r>
      <w:r>
        <w:rPr>
          <w:rFonts w:cs="Arial"/>
          <w:lang w:val="es-MX"/>
        </w:rPr>
        <w:t>por medio de la</w:t>
      </w:r>
      <w:r w:rsidRPr="00227DC8">
        <w:rPr>
          <w:rFonts w:cs="Arial"/>
          <w:lang w:val="es-MX"/>
        </w:rPr>
        <w:t xml:space="preserve"> vigilancia aérea</w:t>
      </w:r>
      <w:r>
        <w:rPr>
          <w:rFonts w:cs="Arial"/>
          <w:lang w:val="es-MX"/>
        </w:rPr>
        <w:t>.</w:t>
      </w:r>
    </w:p>
    <w:p w14:paraId="7879CF9B" w14:textId="03B2D780" w:rsidR="0070429C" w:rsidRPr="0076416A" w:rsidRDefault="0070429C" w:rsidP="00B205BA">
      <w:pPr>
        <w:spacing w:after="120" w:line="240" w:lineRule="auto"/>
        <w:ind w:right="49"/>
        <w:rPr>
          <w:rFonts w:cs="Arial"/>
          <w:lang w:val="es-MX"/>
        </w:rPr>
      </w:pPr>
      <w:r>
        <w:rPr>
          <w:rFonts w:cs="Arial"/>
          <w:lang w:val="es-MX"/>
        </w:rPr>
        <w:t>Todos estos</w:t>
      </w:r>
      <w:r w:rsidRPr="00227DC8">
        <w:rPr>
          <w:rFonts w:cs="Arial"/>
          <w:lang w:val="es-MX"/>
        </w:rPr>
        <w:t xml:space="preserve"> programas y acciones, implementados y reforzados en la administración, han </w:t>
      </w:r>
      <w:r>
        <w:rPr>
          <w:rFonts w:cs="Arial"/>
          <w:lang w:val="es-MX"/>
        </w:rPr>
        <w:t>demostrado</w:t>
      </w:r>
      <w:r w:rsidRPr="00227DC8">
        <w:rPr>
          <w:rFonts w:cs="Arial"/>
          <w:lang w:val="es-MX"/>
        </w:rPr>
        <w:t xml:space="preserve"> un compromiso claro con la seguridad, la prevención </w:t>
      </w:r>
      <w:r>
        <w:rPr>
          <w:rFonts w:cs="Arial"/>
          <w:lang w:val="es-MX"/>
        </w:rPr>
        <w:t>del delito</w:t>
      </w:r>
      <w:r w:rsidRPr="00227DC8">
        <w:rPr>
          <w:rFonts w:cs="Arial"/>
          <w:lang w:val="es-MX"/>
        </w:rPr>
        <w:t xml:space="preserve"> y la mejora en la calidad de vida de los habitantes</w:t>
      </w:r>
      <w:r>
        <w:rPr>
          <w:rFonts w:cs="Arial"/>
          <w:lang w:val="es-MX"/>
        </w:rPr>
        <w:t xml:space="preserve"> del municipio</w:t>
      </w:r>
      <w:r w:rsidRPr="00227DC8">
        <w:rPr>
          <w:rFonts w:cs="Arial"/>
          <w:lang w:val="es-MX"/>
        </w:rPr>
        <w:t xml:space="preserve">, contribuyendo </w:t>
      </w:r>
      <w:r>
        <w:rPr>
          <w:rFonts w:cs="Arial"/>
          <w:lang w:val="es-MX"/>
        </w:rPr>
        <w:t>así a la construcción de</w:t>
      </w:r>
      <w:r w:rsidRPr="00227DC8">
        <w:rPr>
          <w:rFonts w:cs="Arial"/>
          <w:lang w:val="es-MX"/>
        </w:rPr>
        <w:t xml:space="preserve"> una ciudad más segura y accesible para todos.</w:t>
      </w:r>
    </w:p>
    <w:p w14:paraId="741E7873" w14:textId="4225FE36" w:rsidR="0070429C" w:rsidRDefault="0070429C" w:rsidP="00B205BA">
      <w:pPr>
        <w:spacing w:after="120" w:line="240" w:lineRule="auto"/>
        <w:ind w:right="49"/>
        <w:rPr>
          <w:rFonts w:cs="Arial"/>
          <w:b/>
          <w:bCs/>
        </w:rPr>
      </w:pPr>
      <w:r w:rsidRPr="00C17CC8">
        <w:rPr>
          <w:rFonts w:cs="Arial"/>
          <w:b/>
          <w:bCs/>
        </w:rPr>
        <w:t>Análisis del estado de fuerza municipal</w:t>
      </w:r>
      <w:r w:rsidR="00261A27">
        <w:rPr>
          <w:rFonts w:cs="Arial"/>
          <w:b/>
          <w:bCs/>
        </w:rPr>
        <w:t>.</w:t>
      </w:r>
    </w:p>
    <w:p w14:paraId="207A83B7" w14:textId="7F020B5C" w:rsidR="0070429C" w:rsidRDefault="0070429C" w:rsidP="00B205BA">
      <w:pPr>
        <w:spacing w:after="120" w:line="240" w:lineRule="auto"/>
        <w:ind w:right="49"/>
        <w:rPr>
          <w:rFonts w:cs="Arial"/>
        </w:rPr>
      </w:pPr>
      <w:r w:rsidRPr="00ED4922">
        <w:rPr>
          <w:rFonts w:cs="Arial"/>
        </w:rPr>
        <w:t xml:space="preserve">La incorporación de nuevos </w:t>
      </w:r>
      <w:r>
        <w:rPr>
          <w:rFonts w:cs="Arial"/>
        </w:rPr>
        <w:t>elementos al cuerpo de policía municipal</w:t>
      </w:r>
      <w:r w:rsidRPr="00ED4922">
        <w:rPr>
          <w:rFonts w:cs="Arial"/>
        </w:rPr>
        <w:t xml:space="preserve"> es crucial para mantener una fuerza laboral efectiva y renovada</w:t>
      </w:r>
      <w:r>
        <w:rPr>
          <w:rFonts w:cs="Arial"/>
        </w:rPr>
        <w:t xml:space="preserve">, ya que se </w:t>
      </w:r>
      <w:r w:rsidRPr="00ED4922">
        <w:rPr>
          <w:rFonts w:cs="Arial"/>
        </w:rPr>
        <w:t>r</w:t>
      </w:r>
      <w:r>
        <w:rPr>
          <w:rFonts w:cs="Arial"/>
        </w:rPr>
        <w:t>obustece</w:t>
      </w:r>
      <w:r w:rsidRPr="00ED4922">
        <w:rPr>
          <w:rFonts w:cs="Arial"/>
        </w:rPr>
        <w:t xml:space="preserve"> la capacidad operativa </w:t>
      </w:r>
      <w:r>
        <w:rPr>
          <w:rFonts w:cs="Arial"/>
        </w:rPr>
        <w:t>para hacer frente a</w:t>
      </w:r>
      <w:r w:rsidRPr="00ED4922">
        <w:rPr>
          <w:rFonts w:cs="Arial"/>
        </w:rPr>
        <w:t xml:space="preserve"> las necesidades de seguridad en la ciudad. </w:t>
      </w:r>
    </w:p>
    <w:p w14:paraId="596281CA" w14:textId="6B20250A" w:rsidR="00261A27" w:rsidRDefault="0070429C" w:rsidP="00B205BA">
      <w:pPr>
        <w:spacing w:after="120" w:line="240" w:lineRule="auto"/>
        <w:ind w:right="49"/>
        <w:rPr>
          <w:rFonts w:cs="Arial"/>
        </w:rPr>
      </w:pPr>
      <w:r>
        <w:rPr>
          <w:rFonts w:cs="Arial"/>
        </w:rPr>
        <w:t>De acuerdo con datos del Departamento de Recursos Humanos de la Dirección General de Seguridad Pública Municipal (DGSPM), el número de elementos de la corporación se incrementó en 20 %, para alcanzar un total de 1240. los cuales en materia del Certificado Único Policial (CUP), presentan el siguiente avance con un 82.64% de cumplimiento:</w:t>
      </w:r>
    </w:p>
    <w:tbl>
      <w:tblPr>
        <w:tblStyle w:val="Tablaconcuadrculaclara"/>
        <w:tblW w:w="6521" w:type="dxa"/>
        <w:jc w:val="center"/>
        <w:tblLook w:val="04A0" w:firstRow="1" w:lastRow="0" w:firstColumn="1" w:lastColumn="0" w:noHBand="0" w:noVBand="1"/>
      </w:tblPr>
      <w:tblGrid>
        <w:gridCol w:w="2972"/>
        <w:gridCol w:w="1843"/>
        <w:gridCol w:w="1706"/>
      </w:tblGrid>
      <w:tr w:rsidR="0070429C" w:rsidRPr="00BD2068" w14:paraId="05B1DADE" w14:textId="77777777" w:rsidTr="000635AB">
        <w:trPr>
          <w:trHeight w:val="315"/>
          <w:jc w:val="center"/>
        </w:trPr>
        <w:tc>
          <w:tcPr>
            <w:tcW w:w="6521" w:type="dxa"/>
            <w:gridSpan w:val="3"/>
            <w:shd w:val="clear" w:color="auto" w:fill="ED7D31" w:themeFill="accent2"/>
          </w:tcPr>
          <w:p w14:paraId="3C3CDB32" w14:textId="12BD8CB6" w:rsidR="0070429C" w:rsidRPr="00F11BCF" w:rsidRDefault="0070429C" w:rsidP="00B205BA">
            <w:pPr>
              <w:spacing w:after="120" w:line="240" w:lineRule="auto"/>
              <w:ind w:right="49"/>
              <w:jc w:val="center"/>
              <w:rPr>
                <w:rFonts w:cs="Arial"/>
                <w:b/>
                <w:bCs/>
                <w:sz w:val="18"/>
                <w:szCs w:val="18"/>
                <w:lang w:val="es-MX"/>
              </w:rPr>
            </w:pPr>
            <w:r w:rsidRPr="00C4363F">
              <w:rPr>
                <w:rFonts w:cs="Arial"/>
                <w:b/>
                <w:bCs/>
                <w:color w:val="FFFFFF" w:themeColor="background1"/>
                <w:sz w:val="18"/>
                <w:szCs w:val="18"/>
              </w:rPr>
              <w:t>TABLA 1. CERTIFICADO ÚNICO POLICIAL</w:t>
            </w:r>
            <w:r>
              <w:rPr>
                <w:rFonts w:cs="Arial"/>
                <w:b/>
                <w:bCs/>
                <w:color w:val="FFFFFF" w:themeColor="background1"/>
                <w:sz w:val="18"/>
                <w:szCs w:val="18"/>
              </w:rPr>
              <w:t xml:space="preserve"> (CUP)</w:t>
            </w:r>
            <w:r w:rsidRPr="00C4363F">
              <w:rPr>
                <w:rFonts w:cs="Arial"/>
                <w:b/>
                <w:bCs/>
                <w:color w:val="FFFFFF" w:themeColor="background1"/>
                <w:sz w:val="18"/>
                <w:szCs w:val="18"/>
              </w:rPr>
              <w:t xml:space="preserve"> 2024</w:t>
            </w:r>
            <w:r w:rsidR="0086730D">
              <w:rPr>
                <w:rFonts w:cs="Arial"/>
                <w:b/>
                <w:bCs/>
                <w:color w:val="FFFFFF" w:themeColor="background1"/>
                <w:sz w:val="18"/>
                <w:szCs w:val="18"/>
              </w:rPr>
              <w:t>.</w:t>
            </w:r>
          </w:p>
        </w:tc>
      </w:tr>
      <w:tr w:rsidR="0070429C" w:rsidRPr="00BD2068" w14:paraId="215B03BD" w14:textId="77777777" w:rsidTr="000635AB">
        <w:trPr>
          <w:trHeight w:val="264"/>
          <w:jc w:val="center"/>
        </w:trPr>
        <w:tc>
          <w:tcPr>
            <w:tcW w:w="2972" w:type="dxa"/>
            <w:shd w:val="clear" w:color="auto" w:fill="F2F2F2" w:themeFill="background1" w:themeFillShade="F2"/>
            <w:hideMark/>
          </w:tcPr>
          <w:p w14:paraId="132637FD" w14:textId="77777777" w:rsidR="0070429C" w:rsidRPr="00BD2068" w:rsidRDefault="0070429C" w:rsidP="00B205BA">
            <w:pPr>
              <w:spacing w:after="120" w:line="240" w:lineRule="auto"/>
              <w:ind w:right="49"/>
              <w:rPr>
                <w:rFonts w:cs="Arial"/>
                <w:sz w:val="18"/>
                <w:szCs w:val="18"/>
                <w:lang w:val="es-MX"/>
              </w:rPr>
            </w:pPr>
            <w:r w:rsidRPr="00BD2068">
              <w:rPr>
                <w:rFonts w:cs="Arial"/>
                <w:sz w:val="18"/>
                <w:szCs w:val="18"/>
                <w:lang w:val="es-MX"/>
              </w:rPr>
              <w:t>CUP</w:t>
            </w:r>
          </w:p>
        </w:tc>
        <w:tc>
          <w:tcPr>
            <w:tcW w:w="1843" w:type="dxa"/>
            <w:hideMark/>
          </w:tcPr>
          <w:p w14:paraId="3C3EA75F" w14:textId="77777777" w:rsidR="0070429C" w:rsidRPr="00BD2068" w:rsidRDefault="0070429C" w:rsidP="00B205BA">
            <w:pPr>
              <w:spacing w:after="120" w:line="240" w:lineRule="auto"/>
              <w:ind w:right="49"/>
              <w:jc w:val="center"/>
              <w:rPr>
                <w:rFonts w:cs="Arial"/>
                <w:sz w:val="18"/>
                <w:szCs w:val="18"/>
                <w:lang w:val="es-MX"/>
              </w:rPr>
            </w:pPr>
            <w:r w:rsidRPr="00BD2068">
              <w:rPr>
                <w:rFonts w:cs="Arial"/>
                <w:sz w:val="18"/>
                <w:szCs w:val="18"/>
                <w:lang w:val="es-MX"/>
              </w:rPr>
              <w:t>1019</w:t>
            </w:r>
          </w:p>
        </w:tc>
        <w:tc>
          <w:tcPr>
            <w:tcW w:w="1706" w:type="dxa"/>
            <w:hideMark/>
          </w:tcPr>
          <w:p w14:paraId="4AA7C5C5" w14:textId="77777777" w:rsidR="0070429C" w:rsidRPr="00BD2068" w:rsidRDefault="0070429C" w:rsidP="00B205BA">
            <w:pPr>
              <w:spacing w:after="120" w:line="240" w:lineRule="auto"/>
              <w:ind w:right="49"/>
              <w:jc w:val="center"/>
              <w:rPr>
                <w:rFonts w:cs="Arial"/>
                <w:sz w:val="18"/>
                <w:szCs w:val="18"/>
                <w:lang w:val="es-MX"/>
              </w:rPr>
            </w:pPr>
            <w:r w:rsidRPr="00BD2068">
              <w:rPr>
                <w:rFonts w:cs="Arial"/>
                <w:sz w:val="18"/>
                <w:szCs w:val="18"/>
                <w:lang w:val="es-MX"/>
              </w:rPr>
              <w:t>82.</w:t>
            </w:r>
            <w:r>
              <w:rPr>
                <w:rFonts w:cs="Arial"/>
                <w:sz w:val="18"/>
                <w:szCs w:val="18"/>
                <w:lang w:val="es-MX"/>
              </w:rPr>
              <w:t xml:space="preserve">17 </w:t>
            </w:r>
            <w:r w:rsidRPr="00BD2068">
              <w:rPr>
                <w:rFonts w:cs="Arial"/>
                <w:sz w:val="18"/>
                <w:szCs w:val="18"/>
                <w:lang w:val="es-MX"/>
              </w:rPr>
              <w:t>%</w:t>
            </w:r>
          </w:p>
        </w:tc>
      </w:tr>
      <w:tr w:rsidR="0070429C" w:rsidRPr="00BD2068" w14:paraId="216578CF" w14:textId="77777777" w:rsidTr="000635AB">
        <w:trPr>
          <w:trHeight w:val="282"/>
          <w:jc w:val="center"/>
        </w:trPr>
        <w:tc>
          <w:tcPr>
            <w:tcW w:w="2972" w:type="dxa"/>
            <w:shd w:val="clear" w:color="auto" w:fill="F2F2F2" w:themeFill="background1" w:themeFillShade="F2"/>
            <w:hideMark/>
          </w:tcPr>
          <w:p w14:paraId="3BAB3616" w14:textId="77777777" w:rsidR="0070429C" w:rsidRPr="00BD2068" w:rsidRDefault="0070429C" w:rsidP="00B205BA">
            <w:pPr>
              <w:spacing w:after="120" w:line="240" w:lineRule="auto"/>
              <w:ind w:right="49"/>
              <w:rPr>
                <w:rFonts w:cs="Arial"/>
                <w:sz w:val="18"/>
                <w:szCs w:val="18"/>
                <w:lang w:val="es-MX"/>
              </w:rPr>
            </w:pPr>
            <w:r w:rsidRPr="00BD2068">
              <w:rPr>
                <w:rFonts w:cs="Arial"/>
                <w:sz w:val="18"/>
                <w:szCs w:val="18"/>
                <w:lang w:val="es-MX"/>
              </w:rPr>
              <w:t>En trámite</w:t>
            </w:r>
          </w:p>
        </w:tc>
        <w:tc>
          <w:tcPr>
            <w:tcW w:w="1843" w:type="dxa"/>
            <w:hideMark/>
          </w:tcPr>
          <w:p w14:paraId="3246CE53" w14:textId="77777777" w:rsidR="0070429C" w:rsidRPr="00BD2068" w:rsidRDefault="0070429C" w:rsidP="00B205BA">
            <w:pPr>
              <w:spacing w:after="120" w:line="240" w:lineRule="auto"/>
              <w:ind w:right="49"/>
              <w:jc w:val="center"/>
              <w:rPr>
                <w:rFonts w:cs="Arial"/>
                <w:sz w:val="18"/>
                <w:szCs w:val="18"/>
                <w:lang w:val="es-MX"/>
              </w:rPr>
            </w:pPr>
            <w:r w:rsidRPr="00BD2068">
              <w:rPr>
                <w:rFonts w:cs="Arial"/>
                <w:sz w:val="18"/>
                <w:szCs w:val="18"/>
                <w:lang w:val="es-MX"/>
              </w:rPr>
              <w:t>0</w:t>
            </w:r>
          </w:p>
        </w:tc>
        <w:tc>
          <w:tcPr>
            <w:tcW w:w="1706" w:type="dxa"/>
            <w:hideMark/>
          </w:tcPr>
          <w:p w14:paraId="616601F2" w14:textId="77777777" w:rsidR="0070429C" w:rsidRPr="00BD2068" w:rsidRDefault="0070429C" w:rsidP="00B205BA">
            <w:pPr>
              <w:spacing w:after="120" w:line="240" w:lineRule="auto"/>
              <w:ind w:right="49"/>
              <w:jc w:val="center"/>
              <w:rPr>
                <w:rFonts w:cs="Arial"/>
                <w:sz w:val="18"/>
                <w:szCs w:val="18"/>
                <w:lang w:val="es-MX"/>
              </w:rPr>
            </w:pPr>
            <w:r>
              <w:rPr>
                <w:rFonts w:cs="Arial"/>
                <w:sz w:val="18"/>
                <w:szCs w:val="18"/>
                <w:lang w:val="es-MX"/>
              </w:rPr>
              <w:t>-</w:t>
            </w:r>
          </w:p>
        </w:tc>
      </w:tr>
      <w:tr w:rsidR="0070429C" w:rsidRPr="00BD2068" w14:paraId="5CDB4DAB" w14:textId="77777777" w:rsidTr="000635AB">
        <w:trPr>
          <w:trHeight w:val="302"/>
          <w:jc w:val="center"/>
        </w:trPr>
        <w:tc>
          <w:tcPr>
            <w:tcW w:w="2972" w:type="dxa"/>
            <w:shd w:val="clear" w:color="auto" w:fill="F2F2F2" w:themeFill="background1" w:themeFillShade="F2"/>
            <w:hideMark/>
          </w:tcPr>
          <w:p w14:paraId="4CD85326" w14:textId="77777777" w:rsidR="0070429C" w:rsidRPr="00BD2068" w:rsidRDefault="0070429C" w:rsidP="00B205BA">
            <w:pPr>
              <w:spacing w:after="120" w:line="240" w:lineRule="auto"/>
              <w:ind w:right="49"/>
              <w:rPr>
                <w:rFonts w:cs="Arial"/>
                <w:sz w:val="18"/>
                <w:szCs w:val="18"/>
                <w:lang w:val="es-MX"/>
              </w:rPr>
            </w:pPr>
            <w:r w:rsidRPr="00BD2068">
              <w:rPr>
                <w:rFonts w:cs="Arial"/>
                <w:sz w:val="18"/>
                <w:szCs w:val="18"/>
                <w:lang w:val="es-MX"/>
              </w:rPr>
              <w:t>Por tramitar</w:t>
            </w:r>
          </w:p>
        </w:tc>
        <w:tc>
          <w:tcPr>
            <w:tcW w:w="1843" w:type="dxa"/>
            <w:hideMark/>
          </w:tcPr>
          <w:p w14:paraId="21FAAA41" w14:textId="77777777" w:rsidR="0070429C" w:rsidRPr="00BD2068" w:rsidRDefault="0070429C" w:rsidP="00B205BA">
            <w:pPr>
              <w:spacing w:after="120" w:line="240" w:lineRule="auto"/>
              <w:ind w:right="49"/>
              <w:jc w:val="center"/>
              <w:rPr>
                <w:rFonts w:cs="Arial"/>
                <w:sz w:val="18"/>
                <w:szCs w:val="18"/>
                <w:lang w:val="es-MX"/>
              </w:rPr>
            </w:pPr>
            <w:r w:rsidRPr="00BD2068">
              <w:rPr>
                <w:rFonts w:cs="Arial"/>
                <w:sz w:val="18"/>
                <w:szCs w:val="18"/>
                <w:lang w:val="es-MX"/>
              </w:rPr>
              <w:t>139</w:t>
            </w:r>
          </w:p>
        </w:tc>
        <w:tc>
          <w:tcPr>
            <w:tcW w:w="1706" w:type="dxa"/>
            <w:hideMark/>
          </w:tcPr>
          <w:p w14:paraId="28624419" w14:textId="77777777" w:rsidR="0070429C" w:rsidRPr="00BD2068" w:rsidRDefault="0070429C" w:rsidP="00B205BA">
            <w:pPr>
              <w:spacing w:after="120" w:line="240" w:lineRule="auto"/>
              <w:ind w:right="49"/>
              <w:jc w:val="center"/>
              <w:rPr>
                <w:rFonts w:cs="Arial"/>
                <w:sz w:val="18"/>
                <w:szCs w:val="18"/>
                <w:lang w:val="es-MX"/>
              </w:rPr>
            </w:pPr>
            <w:r w:rsidRPr="00BD2068">
              <w:rPr>
                <w:rFonts w:cs="Arial"/>
                <w:sz w:val="18"/>
                <w:szCs w:val="18"/>
                <w:lang w:val="es-MX"/>
              </w:rPr>
              <w:t>11.2</w:t>
            </w:r>
            <w:r>
              <w:rPr>
                <w:rFonts w:cs="Arial"/>
                <w:sz w:val="18"/>
                <w:szCs w:val="18"/>
                <w:lang w:val="es-MX"/>
              </w:rPr>
              <w:t xml:space="preserve">1 </w:t>
            </w:r>
            <w:r w:rsidRPr="00BD2068">
              <w:rPr>
                <w:rFonts w:cs="Arial"/>
                <w:sz w:val="18"/>
                <w:szCs w:val="18"/>
                <w:lang w:val="es-MX"/>
              </w:rPr>
              <w:t>%</w:t>
            </w:r>
          </w:p>
        </w:tc>
      </w:tr>
      <w:tr w:rsidR="0070429C" w:rsidRPr="00BD2068" w14:paraId="21197936" w14:textId="77777777" w:rsidTr="000635AB">
        <w:trPr>
          <w:trHeight w:val="243"/>
          <w:jc w:val="center"/>
        </w:trPr>
        <w:tc>
          <w:tcPr>
            <w:tcW w:w="2972" w:type="dxa"/>
            <w:shd w:val="clear" w:color="auto" w:fill="F2F2F2" w:themeFill="background1" w:themeFillShade="F2"/>
            <w:hideMark/>
          </w:tcPr>
          <w:p w14:paraId="643F8A1C" w14:textId="77777777" w:rsidR="0070429C" w:rsidRPr="00BD2068" w:rsidRDefault="0070429C" w:rsidP="00B205BA">
            <w:pPr>
              <w:spacing w:after="120" w:line="240" w:lineRule="auto"/>
              <w:ind w:right="49"/>
              <w:rPr>
                <w:rFonts w:cs="Arial"/>
                <w:sz w:val="18"/>
                <w:szCs w:val="18"/>
                <w:lang w:val="es-MX"/>
              </w:rPr>
            </w:pPr>
            <w:r w:rsidRPr="00BD2068">
              <w:rPr>
                <w:rFonts w:cs="Arial"/>
                <w:sz w:val="18"/>
                <w:szCs w:val="18"/>
                <w:lang w:val="es-MX"/>
              </w:rPr>
              <w:t xml:space="preserve">No </w:t>
            </w:r>
            <w:r>
              <w:rPr>
                <w:rFonts w:cs="Arial"/>
                <w:sz w:val="18"/>
                <w:szCs w:val="18"/>
                <w:lang w:val="es-MX"/>
              </w:rPr>
              <w:t>a</w:t>
            </w:r>
            <w:r w:rsidRPr="00BD2068">
              <w:rPr>
                <w:rFonts w:cs="Arial"/>
                <w:sz w:val="18"/>
                <w:szCs w:val="18"/>
                <w:lang w:val="es-MX"/>
              </w:rPr>
              <w:t>probados C3</w:t>
            </w:r>
          </w:p>
        </w:tc>
        <w:tc>
          <w:tcPr>
            <w:tcW w:w="1843" w:type="dxa"/>
            <w:hideMark/>
          </w:tcPr>
          <w:p w14:paraId="74A25113" w14:textId="77777777" w:rsidR="0070429C" w:rsidRPr="00BD2068" w:rsidRDefault="0070429C" w:rsidP="00B205BA">
            <w:pPr>
              <w:spacing w:after="120" w:line="240" w:lineRule="auto"/>
              <w:ind w:right="49"/>
              <w:jc w:val="center"/>
              <w:rPr>
                <w:rFonts w:cs="Arial"/>
                <w:sz w:val="18"/>
                <w:szCs w:val="18"/>
                <w:lang w:val="es-MX"/>
              </w:rPr>
            </w:pPr>
            <w:r w:rsidRPr="00BD2068">
              <w:rPr>
                <w:rFonts w:cs="Arial"/>
                <w:sz w:val="18"/>
                <w:szCs w:val="18"/>
                <w:lang w:val="es-MX"/>
              </w:rPr>
              <w:t>82</w:t>
            </w:r>
          </w:p>
        </w:tc>
        <w:tc>
          <w:tcPr>
            <w:tcW w:w="1706" w:type="dxa"/>
            <w:hideMark/>
          </w:tcPr>
          <w:p w14:paraId="120D3E3E" w14:textId="77777777" w:rsidR="0070429C" w:rsidRPr="00BD2068" w:rsidRDefault="0070429C" w:rsidP="00B205BA">
            <w:pPr>
              <w:spacing w:after="120" w:line="240" w:lineRule="auto"/>
              <w:ind w:right="49"/>
              <w:jc w:val="center"/>
              <w:rPr>
                <w:rFonts w:cs="Arial"/>
                <w:sz w:val="18"/>
                <w:szCs w:val="18"/>
                <w:lang w:val="es-MX"/>
              </w:rPr>
            </w:pPr>
            <w:r w:rsidRPr="00BD2068">
              <w:rPr>
                <w:rFonts w:cs="Arial"/>
                <w:sz w:val="18"/>
                <w:szCs w:val="18"/>
                <w:lang w:val="es-MX"/>
              </w:rPr>
              <w:t>6.6</w:t>
            </w:r>
            <w:r>
              <w:rPr>
                <w:rFonts w:cs="Arial"/>
                <w:sz w:val="18"/>
                <w:szCs w:val="18"/>
                <w:lang w:val="es-MX"/>
              </w:rPr>
              <w:t xml:space="preserve">2 </w:t>
            </w:r>
            <w:r w:rsidRPr="00BD2068">
              <w:rPr>
                <w:rFonts w:cs="Arial"/>
                <w:sz w:val="18"/>
                <w:szCs w:val="18"/>
                <w:lang w:val="es-MX"/>
              </w:rPr>
              <w:t>%</w:t>
            </w:r>
          </w:p>
        </w:tc>
      </w:tr>
      <w:tr w:rsidR="0070429C" w:rsidRPr="00BD2068" w14:paraId="2FCBED90" w14:textId="77777777" w:rsidTr="000635AB">
        <w:trPr>
          <w:trHeight w:val="280"/>
          <w:jc w:val="center"/>
        </w:trPr>
        <w:tc>
          <w:tcPr>
            <w:tcW w:w="2972" w:type="dxa"/>
            <w:shd w:val="clear" w:color="auto" w:fill="F2F2F2" w:themeFill="background1" w:themeFillShade="F2"/>
          </w:tcPr>
          <w:p w14:paraId="694BD84B" w14:textId="77777777" w:rsidR="0070429C" w:rsidRPr="00BD2068" w:rsidRDefault="0070429C" w:rsidP="00B205BA">
            <w:pPr>
              <w:spacing w:after="120" w:line="240" w:lineRule="auto"/>
              <w:ind w:right="49"/>
              <w:rPr>
                <w:rFonts w:cs="Arial"/>
                <w:sz w:val="18"/>
                <w:szCs w:val="18"/>
                <w:lang w:val="es-MX"/>
              </w:rPr>
            </w:pPr>
            <w:r>
              <w:rPr>
                <w:rFonts w:cs="Arial"/>
                <w:sz w:val="18"/>
                <w:szCs w:val="18"/>
                <w:lang w:val="es-MX"/>
              </w:rPr>
              <w:t>Total</w:t>
            </w:r>
          </w:p>
        </w:tc>
        <w:tc>
          <w:tcPr>
            <w:tcW w:w="1843" w:type="dxa"/>
          </w:tcPr>
          <w:p w14:paraId="1DB5A09F" w14:textId="77777777" w:rsidR="0070429C" w:rsidRPr="00BD2068" w:rsidRDefault="0070429C" w:rsidP="00B205BA">
            <w:pPr>
              <w:spacing w:after="120" w:line="240" w:lineRule="auto"/>
              <w:ind w:right="49"/>
              <w:jc w:val="center"/>
              <w:rPr>
                <w:rFonts w:cs="Arial"/>
                <w:b/>
                <w:bCs/>
                <w:sz w:val="18"/>
                <w:szCs w:val="18"/>
                <w:highlight w:val="yellow"/>
                <w:lang w:val="es-MX"/>
              </w:rPr>
            </w:pPr>
            <w:r w:rsidRPr="00D41D61">
              <w:rPr>
                <w:rFonts w:cs="Arial"/>
                <w:b/>
                <w:bCs/>
                <w:sz w:val="18"/>
                <w:szCs w:val="18"/>
                <w:lang w:val="es-MX"/>
              </w:rPr>
              <w:t>1240</w:t>
            </w:r>
          </w:p>
        </w:tc>
        <w:tc>
          <w:tcPr>
            <w:tcW w:w="1706" w:type="dxa"/>
          </w:tcPr>
          <w:p w14:paraId="5BDFB267" w14:textId="77777777" w:rsidR="0070429C" w:rsidRPr="00BD2068" w:rsidRDefault="0070429C" w:rsidP="00B205BA">
            <w:pPr>
              <w:spacing w:after="120" w:line="240" w:lineRule="auto"/>
              <w:ind w:right="49"/>
              <w:jc w:val="center"/>
              <w:rPr>
                <w:rFonts w:cs="Arial"/>
                <w:b/>
                <w:bCs/>
                <w:sz w:val="18"/>
                <w:szCs w:val="18"/>
                <w:highlight w:val="yellow"/>
                <w:lang w:val="es-MX"/>
              </w:rPr>
            </w:pPr>
            <w:r w:rsidRPr="00D41D61">
              <w:rPr>
                <w:rFonts w:cs="Arial"/>
                <w:b/>
                <w:bCs/>
                <w:sz w:val="18"/>
                <w:szCs w:val="18"/>
                <w:lang w:val="es-MX"/>
              </w:rPr>
              <w:t>100 %</w:t>
            </w:r>
          </w:p>
        </w:tc>
      </w:tr>
    </w:tbl>
    <w:p w14:paraId="7AE4D600" w14:textId="5B7E2A52" w:rsidR="0070429C" w:rsidRPr="0076416A" w:rsidRDefault="0070429C" w:rsidP="00B205BA">
      <w:pPr>
        <w:spacing w:after="120" w:line="240" w:lineRule="auto"/>
        <w:ind w:right="49" w:firstLine="708"/>
        <w:rPr>
          <w:rFonts w:cs="Arial"/>
          <w:sz w:val="16"/>
          <w:szCs w:val="16"/>
        </w:rPr>
      </w:pPr>
      <w:r w:rsidRPr="002126BF">
        <w:rPr>
          <w:rFonts w:cs="Arial"/>
          <w:sz w:val="14"/>
          <w:szCs w:val="14"/>
        </w:rPr>
        <w:t xml:space="preserve">          </w:t>
      </w:r>
      <w:r w:rsidRPr="002126BF">
        <w:rPr>
          <w:rFonts w:cs="Arial"/>
          <w:sz w:val="16"/>
          <w:szCs w:val="16"/>
        </w:rPr>
        <w:t>Fuente: Departamento de Recursos Humanos de la DGSPM</w:t>
      </w:r>
      <w:r>
        <w:rPr>
          <w:rFonts w:cs="Arial"/>
          <w:sz w:val="16"/>
          <w:szCs w:val="16"/>
        </w:rPr>
        <w:t>.</w:t>
      </w:r>
    </w:p>
    <w:p w14:paraId="76358589" w14:textId="122A6329" w:rsidR="0070429C" w:rsidRDefault="0070429C" w:rsidP="00B205BA">
      <w:pPr>
        <w:spacing w:after="120" w:line="240" w:lineRule="auto"/>
        <w:ind w:right="49"/>
        <w:rPr>
          <w:rFonts w:cs="Arial"/>
        </w:rPr>
      </w:pPr>
      <w:r>
        <w:rPr>
          <w:rFonts w:cs="Arial"/>
        </w:rPr>
        <w:t>En materia de control de confianza, el estado de fuerza presenta el siguiente estatus actual (véase tabla 2):</w:t>
      </w:r>
    </w:p>
    <w:tbl>
      <w:tblPr>
        <w:tblW w:w="7973" w:type="dxa"/>
        <w:jc w:val="center"/>
        <w:tblCellMar>
          <w:left w:w="0" w:type="dxa"/>
          <w:right w:w="0" w:type="dxa"/>
        </w:tblCellMar>
        <w:tblLook w:val="04A0" w:firstRow="1" w:lastRow="0" w:firstColumn="1" w:lastColumn="0" w:noHBand="0" w:noVBand="1"/>
      </w:tblPr>
      <w:tblGrid>
        <w:gridCol w:w="4019"/>
        <w:gridCol w:w="1523"/>
        <w:gridCol w:w="2431"/>
      </w:tblGrid>
      <w:tr w:rsidR="0070429C" w:rsidRPr="007443A9" w14:paraId="7B845E19" w14:textId="77777777" w:rsidTr="000635AB">
        <w:trPr>
          <w:trHeight w:val="279"/>
          <w:jc w:val="center"/>
        </w:trPr>
        <w:tc>
          <w:tcPr>
            <w:tcW w:w="7973" w:type="dxa"/>
            <w:gridSpan w:val="3"/>
            <w:tcBorders>
              <w:top w:val="single" w:sz="8" w:space="0" w:color="A5A5A5"/>
              <w:left w:val="nil"/>
              <w:bottom w:val="single" w:sz="8" w:space="0" w:color="A5A5A5"/>
              <w:right w:val="nil"/>
            </w:tcBorders>
            <w:shd w:val="clear" w:color="auto" w:fill="ED7D31" w:themeFill="accent2"/>
            <w:tcMar>
              <w:top w:w="15" w:type="dxa"/>
              <w:left w:w="144" w:type="dxa"/>
              <w:bottom w:w="0" w:type="dxa"/>
              <w:right w:w="144" w:type="dxa"/>
            </w:tcMar>
            <w:hideMark/>
          </w:tcPr>
          <w:p w14:paraId="7E50C437" w14:textId="307BA6DF" w:rsidR="0070429C" w:rsidRPr="007443A9" w:rsidRDefault="0070429C" w:rsidP="00B205BA">
            <w:pPr>
              <w:spacing w:after="120" w:line="240" w:lineRule="auto"/>
              <w:ind w:right="49"/>
              <w:jc w:val="center"/>
              <w:rPr>
                <w:rFonts w:cs="Arial"/>
                <w:color w:val="FFFFFF" w:themeColor="background1"/>
                <w:sz w:val="18"/>
                <w:szCs w:val="18"/>
                <w:lang w:val="es-MX"/>
              </w:rPr>
            </w:pPr>
            <w:r>
              <w:rPr>
                <w:rFonts w:cs="Arial"/>
                <w:b/>
                <w:bCs/>
                <w:color w:val="FFFFFF" w:themeColor="background1"/>
                <w:sz w:val="18"/>
                <w:szCs w:val="18"/>
                <w:lang w:val="es-MX"/>
              </w:rPr>
              <w:t>TABLA 2. CONTROL DE CONFIANZA DEL ESTADO</w:t>
            </w:r>
            <w:r w:rsidRPr="007443A9">
              <w:rPr>
                <w:rFonts w:cs="Arial"/>
                <w:b/>
                <w:bCs/>
                <w:color w:val="FFFFFF" w:themeColor="background1"/>
                <w:sz w:val="18"/>
                <w:szCs w:val="18"/>
                <w:lang w:val="es-MX"/>
              </w:rPr>
              <w:t xml:space="preserve"> DE </w:t>
            </w:r>
            <w:r>
              <w:rPr>
                <w:rFonts w:cs="Arial"/>
                <w:b/>
                <w:bCs/>
                <w:color w:val="FFFFFF" w:themeColor="background1"/>
                <w:sz w:val="18"/>
                <w:szCs w:val="18"/>
                <w:lang w:val="es-MX"/>
              </w:rPr>
              <w:t>F</w:t>
            </w:r>
            <w:r w:rsidRPr="007443A9">
              <w:rPr>
                <w:rFonts w:cs="Arial"/>
                <w:b/>
                <w:bCs/>
                <w:color w:val="FFFFFF" w:themeColor="background1"/>
                <w:sz w:val="18"/>
                <w:szCs w:val="18"/>
                <w:lang w:val="es-MX"/>
              </w:rPr>
              <w:t>UERZA</w:t>
            </w:r>
            <w:r>
              <w:rPr>
                <w:rFonts w:cs="Arial"/>
                <w:b/>
                <w:bCs/>
                <w:color w:val="FFFFFF" w:themeColor="background1"/>
                <w:sz w:val="18"/>
                <w:szCs w:val="18"/>
                <w:lang w:val="es-MX"/>
              </w:rPr>
              <w:t xml:space="preserve"> MUNICIPAL 2024</w:t>
            </w:r>
            <w:r w:rsidR="0086730D">
              <w:rPr>
                <w:rFonts w:cs="Arial"/>
                <w:b/>
                <w:bCs/>
                <w:color w:val="FFFFFF" w:themeColor="background1"/>
                <w:sz w:val="18"/>
                <w:szCs w:val="18"/>
                <w:lang w:val="es-MX"/>
              </w:rPr>
              <w:t>.</w:t>
            </w:r>
          </w:p>
        </w:tc>
      </w:tr>
      <w:tr w:rsidR="0070429C" w:rsidRPr="007443A9" w14:paraId="07F7B346" w14:textId="77777777" w:rsidTr="000635AB">
        <w:trPr>
          <w:trHeight w:val="237"/>
          <w:jc w:val="center"/>
        </w:trPr>
        <w:tc>
          <w:tcPr>
            <w:tcW w:w="4019" w:type="dxa"/>
            <w:tcBorders>
              <w:top w:val="single" w:sz="8" w:space="0" w:color="A5A5A5"/>
              <w:left w:val="nil"/>
              <w:bottom w:val="nil"/>
              <w:right w:val="nil"/>
            </w:tcBorders>
            <w:shd w:val="clear" w:color="auto" w:fill="F0F0F0"/>
            <w:tcMar>
              <w:top w:w="15" w:type="dxa"/>
              <w:left w:w="144" w:type="dxa"/>
              <w:bottom w:w="0" w:type="dxa"/>
              <w:right w:w="144" w:type="dxa"/>
            </w:tcMar>
            <w:hideMark/>
          </w:tcPr>
          <w:p w14:paraId="201AE97C" w14:textId="77777777" w:rsidR="0070429C" w:rsidRPr="007443A9" w:rsidRDefault="0070429C" w:rsidP="00B205BA">
            <w:pPr>
              <w:spacing w:after="120" w:line="240" w:lineRule="auto"/>
              <w:ind w:right="49"/>
              <w:rPr>
                <w:rFonts w:cs="Arial"/>
                <w:sz w:val="18"/>
                <w:szCs w:val="18"/>
                <w:lang w:val="es-MX"/>
              </w:rPr>
            </w:pPr>
            <w:r w:rsidRPr="007443A9">
              <w:rPr>
                <w:rFonts w:cs="Arial"/>
                <w:sz w:val="18"/>
                <w:szCs w:val="18"/>
                <w:lang w:val="es-MX"/>
              </w:rPr>
              <w:t>Aprobados en control de confianza</w:t>
            </w:r>
          </w:p>
        </w:tc>
        <w:tc>
          <w:tcPr>
            <w:tcW w:w="1523" w:type="dxa"/>
            <w:tcBorders>
              <w:top w:val="single" w:sz="8" w:space="0" w:color="A5A5A5"/>
              <w:left w:val="nil"/>
              <w:bottom w:val="nil"/>
              <w:right w:val="nil"/>
            </w:tcBorders>
            <w:shd w:val="clear" w:color="auto" w:fill="F0F0F0"/>
            <w:tcMar>
              <w:top w:w="15" w:type="dxa"/>
              <w:left w:w="144" w:type="dxa"/>
              <w:bottom w:w="0" w:type="dxa"/>
              <w:right w:w="144" w:type="dxa"/>
            </w:tcMar>
            <w:hideMark/>
          </w:tcPr>
          <w:p w14:paraId="437BEC06" w14:textId="77777777" w:rsidR="0070429C" w:rsidRPr="007443A9" w:rsidRDefault="0070429C" w:rsidP="00B205BA">
            <w:pPr>
              <w:spacing w:after="120" w:line="240" w:lineRule="auto"/>
              <w:ind w:right="49"/>
              <w:jc w:val="center"/>
              <w:rPr>
                <w:rFonts w:cs="Arial"/>
                <w:sz w:val="18"/>
                <w:szCs w:val="18"/>
                <w:lang w:val="es-MX"/>
              </w:rPr>
            </w:pPr>
            <w:r w:rsidRPr="007443A9">
              <w:rPr>
                <w:rFonts w:cs="Arial"/>
                <w:sz w:val="18"/>
                <w:szCs w:val="18"/>
                <w:lang w:val="es-MX"/>
              </w:rPr>
              <w:t>1147</w:t>
            </w:r>
          </w:p>
        </w:tc>
        <w:tc>
          <w:tcPr>
            <w:tcW w:w="2431" w:type="dxa"/>
            <w:tcBorders>
              <w:top w:val="single" w:sz="8" w:space="0" w:color="A5A5A5"/>
              <w:left w:val="nil"/>
              <w:bottom w:val="nil"/>
              <w:right w:val="nil"/>
            </w:tcBorders>
            <w:shd w:val="clear" w:color="auto" w:fill="F0F0F0"/>
            <w:tcMar>
              <w:top w:w="15" w:type="dxa"/>
              <w:left w:w="144" w:type="dxa"/>
              <w:bottom w:w="0" w:type="dxa"/>
              <w:right w:w="144" w:type="dxa"/>
            </w:tcMar>
            <w:hideMark/>
          </w:tcPr>
          <w:p w14:paraId="041A81F1" w14:textId="77777777" w:rsidR="0070429C" w:rsidRPr="007443A9" w:rsidRDefault="0070429C" w:rsidP="00B205BA">
            <w:pPr>
              <w:spacing w:after="120" w:line="240" w:lineRule="auto"/>
              <w:ind w:right="49"/>
              <w:jc w:val="center"/>
              <w:rPr>
                <w:rFonts w:cs="Arial"/>
                <w:sz w:val="18"/>
                <w:szCs w:val="18"/>
                <w:lang w:val="es-MX"/>
              </w:rPr>
            </w:pPr>
            <w:r w:rsidRPr="007443A9">
              <w:rPr>
                <w:rFonts w:cs="Arial"/>
                <w:sz w:val="18"/>
                <w:szCs w:val="18"/>
                <w:lang w:val="es-MX"/>
              </w:rPr>
              <w:t>93.02</w:t>
            </w:r>
            <w:r>
              <w:rPr>
                <w:rFonts w:cs="Arial"/>
                <w:sz w:val="18"/>
                <w:szCs w:val="18"/>
                <w:lang w:val="es-MX"/>
              </w:rPr>
              <w:t xml:space="preserve"> </w:t>
            </w:r>
            <w:r w:rsidRPr="007443A9">
              <w:rPr>
                <w:rFonts w:cs="Arial"/>
                <w:sz w:val="18"/>
                <w:szCs w:val="18"/>
                <w:lang w:val="es-MX"/>
              </w:rPr>
              <w:t>%</w:t>
            </w:r>
          </w:p>
        </w:tc>
      </w:tr>
      <w:tr w:rsidR="0070429C" w:rsidRPr="007443A9" w14:paraId="04E9173F" w14:textId="77777777" w:rsidTr="000635AB">
        <w:trPr>
          <w:trHeight w:val="279"/>
          <w:jc w:val="center"/>
        </w:trPr>
        <w:tc>
          <w:tcPr>
            <w:tcW w:w="4019" w:type="dxa"/>
            <w:tcBorders>
              <w:top w:val="nil"/>
              <w:left w:val="nil"/>
              <w:bottom w:val="nil"/>
              <w:right w:val="nil"/>
            </w:tcBorders>
            <w:shd w:val="clear" w:color="auto" w:fill="auto"/>
            <w:tcMar>
              <w:top w:w="15" w:type="dxa"/>
              <w:left w:w="144" w:type="dxa"/>
              <w:bottom w:w="0" w:type="dxa"/>
              <w:right w:w="144" w:type="dxa"/>
            </w:tcMar>
            <w:hideMark/>
          </w:tcPr>
          <w:p w14:paraId="44A54B29" w14:textId="77777777" w:rsidR="0070429C" w:rsidRPr="007443A9" w:rsidRDefault="0070429C" w:rsidP="00B205BA">
            <w:pPr>
              <w:spacing w:after="120" w:line="240" w:lineRule="auto"/>
              <w:ind w:right="49"/>
              <w:rPr>
                <w:rFonts w:cs="Arial"/>
                <w:sz w:val="18"/>
                <w:szCs w:val="18"/>
                <w:lang w:val="es-MX"/>
              </w:rPr>
            </w:pPr>
            <w:r w:rsidRPr="007443A9">
              <w:rPr>
                <w:rFonts w:cs="Arial"/>
                <w:sz w:val="18"/>
                <w:szCs w:val="18"/>
                <w:lang w:val="es-MX"/>
              </w:rPr>
              <w:t>No aprobados</w:t>
            </w:r>
          </w:p>
        </w:tc>
        <w:tc>
          <w:tcPr>
            <w:tcW w:w="1523" w:type="dxa"/>
            <w:tcBorders>
              <w:top w:val="nil"/>
              <w:left w:val="nil"/>
              <w:bottom w:val="nil"/>
              <w:right w:val="nil"/>
            </w:tcBorders>
            <w:shd w:val="clear" w:color="auto" w:fill="auto"/>
            <w:tcMar>
              <w:top w:w="15" w:type="dxa"/>
              <w:left w:w="144" w:type="dxa"/>
              <w:bottom w:w="0" w:type="dxa"/>
              <w:right w:w="144" w:type="dxa"/>
            </w:tcMar>
            <w:hideMark/>
          </w:tcPr>
          <w:p w14:paraId="14414FB8" w14:textId="77777777" w:rsidR="0070429C" w:rsidRPr="007443A9" w:rsidRDefault="0070429C" w:rsidP="00B205BA">
            <w:pPr>
              <w:spacing w:after="120" w:line="240" w:lineRule="auto"/>
              <w:ind w:right="49"/>
              <w:jc w:val="center"/>
              <w:rPr>
                <w:rFonts w:cs="Arial"/>
                <w:sz w:val="18"/>
                <w:szCs w:val="18"/>
                <w:lang w:val="es-MX"/>
              </w:rPr>
            </w:pPr>
            <w:r w:rsidRPr="007443A9">
              <w:rPr>
                <w:rFonts w:cs="Arial"/>
                <w:sz w:val="18"/>
                <w:szCs w:val="18"/>
                <w:lang w:val="es-MX"/>
              </w:rPr>
              <w:t>82</w:t>
            </w:r>
          </w:p>
        </w:tc>
        <w:tc>
          <w:tcPr>
            <w:tcW w:w="2431" w:type="dxa"/>
            <w:tcBorders>
              <w:top w:val="nil"/>
              <w:left w:val="nil"/>
              <w:bottom w:val="nil"/>
              <w:right w:val="nil"/>
            </w:tcBorders>
            <w:shd w:val="clear" w:color="auto" w:fill="auto"/>
            <w:tcMar>
              <w:top w:w="15" w:type="dxa"/>
              <w:left w:w="144" w:type="dxa"/>
              <w:bottom w:w="0" w:type="dxa"/>
              <w:right w:w="144" w:type="dxa"/>
            </w:tcMar>
            <w:hideMark/>
          </w:tcPr>
          <w:p w14:paraId="289C07EF" w14:textId="77777777" w:rsidR="0070429C" w:rsidRPr="007443A9" w:rsidRDefault="0070429C" w:rsidP="00B205BA">
            <w:pPr>
              <w:spacing w:after="120" w:line="240" w:lineRule="auto"/>
              <w:ind w:right="49"/>
              <w:jc w:val="center"/>
              <w:rPr>
                <w:rFonts w:cs="Arial"/>
                <w:sz w:val="18"/>
                <w:szCs w:val="18"/>
                <w:lang w:val="es-MX"/>
              </w:rPr>
            </w:pPr>
            <w:r w:rsidRPr="007443A9">
              <w:rPr>
                <w:rFonts w:cs="Arial"/>
                <w:sz w:val="18"/>
                <w:szCs w:val="18"/>
                <w:lang w:val="es-MX"/>
              </w:rPr>
              <w:t>6.65</w:t>
            </w:r>
            <w:r>
              <w:rPr>
                <w:rFonts w:cs="Arial"/>
                <w:sz w:val="18"/>
                <w:szCs w:val="18"/>
                <w:lang w:val="es-MX"/>
              </w:rPr>
              <w:t xml:space="preserve"> </w:t>
            </w:r>
            <w:r w:rsidRPr="007443A9">
              <w:rPr>
                <w:rFonts w:cs="Arial"/>
                <w:sz w:val="18"/>
                <w:szCs w:val="18"/>
                <w:lang w:val="es-MX"/>
              </w:rPr>
              <w:t>%</w:t>
            </w:r>
          </w:p>
        </w:tc>
      </w:tr>
      <w:tr w:rsidR="0070429C" w:rsidRPr="007443A9" w14:paraId="6E7DD48B" w14:textId="77777777" w:rsidTr="000635AB">
        <w:trPr>
          <w:trHeight w:val="279"/>
          <w:jc w:val="center"/>
        </w:trPr>
        <w:tc>
          <w:tcPr>
            <w:tcW w:w="4019" w:type="dxa"/>
            <w:tcBorders>
              <w:top w:val="nil"/>
              <w:left w:val="nil"/>
              <w:bottom w:val="nil"/>
              <w:right w:val="nil"/>
            </w:tcBorders>
            <w:shd w:val="clear" w:color="auto" w:fill="F0F0F0"/>
            <w:tcMar>
              <w:top w:w="15" w:type="dxa"/>
              <w:left w:w="144" w:type="dxa"/>
              <w:bottom w:w="0" w:type="dxa"/>
              <w:right w:w="144" w:type="dxa"/>
            </w:tcMar>
            <w:hideMark/>
          </w:tcPr>
          <w:p w14:paraId="7D2D80EF" w14:textId="77777777" w:rsidR="0070429C" w:rsidRPr="007443A9" w:rsidRDefault="0070429C" w:rsidP="00B205BA">
            <w:pPr>
              <w:spacing w:after="120" w:line="240" w:lineRule="auto"/>
              <w:ind w:right="49"/>
              <w:rPr>
                <w:rFonts w:cs="Arial"/>
                <w:sz w:val="18"/>
                <w:szCs w:val="18"/>
                <w:lang w:val="es-MX"/>
              </w:rPr>
            </w:pPr>
            <w:r w:rsidRPr="007443A9">
              <w:rPr>
                <w:rFonts w:cs="Arial"/>
                <w:sz w:val="18"/>
                <w:szCs w:val="18"/>
                <w:lang w:val="es-MX"/>
              </w:rPr>
              <w:t>Sin evaluación</w:t>
            </w:r>
          </w:p>
        </w:tc>
        <w:tc>
          <w:tcPr>
            <w:tcW w:w="1523" w:type="dxa"/>
            <w:tcBorders>
              <w:top w:val="nil"/>
              <w:left w:val="nil"/>
              <w:bottom w:val="nil"/>
              <w:right w:val="nil"/>
            </w:tcBorders>
            <w:shd w:val="clear" w:color="auto" w:fill="F0F0F0"/>
            <w:tcMar>
              <w:top w:w="15" w:type="dxa"/>
              <w:left w:w="144" w:type="dxa"/>
              <w:bottom w:w="0" w:type="dxa"/>
              <w:right w:w="144" w:type="dxa"/>
            </w:tcMar>
            <w:hideMark/>
          </w:tcPr>
          <w:p w14:paraId="55B841BD" w14:textId="77777777" w:rsidR="0070429C" w:rsidRPr="007443A9" w:rsidRDefault="0070429C" w:rsidP="00B205BA">
            <w:pPr>
              <w:spacing w:after="120" w:line="240" w:lineRule="auto"/>
              <w:ind w:right="49"/>
              <w:jc w:val="center"/>
              <w:rPr>
                <w:rFonts w:cs="Arial"/>
                <w:sz w:val="18"/>
                <w:szCs w:val="18"/>
                <w:lang w:val="es-MX"/>
              </w:rPr>
            </w:pPr>
            <w:r w:rsidRPr="007443A9">
              <w:rPr>
                <w:rFonts w:cs="Arial"/>
                <w:sz w:val="18"/>
                <w:szCs w:val="18"/>
                <w:lang w:val="es-MX"/>
              </w:rPr>
              <w:t>4</w:t>
            </w:r>
          </w:p>
        </w:tc>
        <w:tc>
          <w:tcPr>
            <w:tcW w:w="2431" w:type="dxa"/>
            <w:tcBorders>
              <w:top w:val="nil"/>
              <w:left w:val="nil"/>
              <w:bottom w:val="nil"/>
              <w:right w:val="nil"/>
            </w:tcBorders>
            <w:shd w:val="clear" w:color="auto" w:fill="F0F0F0"/>
            <w:tcMar>
              <w:top w:w="15" w:type="dxa"/>
              <w:left w:w="144" w:type="dxa"/>
              <w:bottom w:w="0" w:type="dxa"/>
              <w:right w:w="144" w:type="dxa"/>
            </w:tcMar>
            <w:hideMark/>
          </w:tcPr>
          <w:p w14:paraId="18BEE5AD" w14:textId="77777777" w:rsidR="0070429C" w:rsidRPr="007443A9" w:rsidRDefault="0070429C" w:rsidP="00B205BA">
            <w:pPr>
              <w:spacing w:after="120" w:line="240" w:lineRule="auto"/>
              <w:ind w:right="49"/>
              <w:jc w:val="center"/>
              <w:rPr>
                <w:rFonts w:cs="Arial"/>
                <w:sz w:val="18"/>
                <w:szCs w:val="18"/>
                <w:lang w:val="es-MX"/>
              </w:rPr>
            </w:pPr>
            <w:r w:rsidRPr="007443A9">
              <w:rPr>
                <w:rFonts w:cs="Arial"/>
                <w:sz w:val="18"/>
                <w:szCs w:val="18"/>
                <w:lang w:val="es-MX"/>
              </w:rPr>
              <w:t>0.32</w:t>
            </w:r>
            <w:r>
              <w:rPr>
                <w:rFonts w:cs="Arial"/>
                <w:sz w:val="18"/>
                <w:szCs w:val="18"/>
                <w:lang w:val="es-MX"/>
              </w:rPr>
              <w:t xml:space="preserve"> </w:t>
            </w:r>
            <w:r w:rsidRPr="007443A9">
              <w:rPr>
                <w:rFonts w:cs="Arial"/>
                <w:sz w:val="18"/>
                <w:szCs w:val="18"/>
                <w:lang w:val="es-MX"/>
              </w:rPr>
              <w:t>%</w:t>
            </w:r>
          </w:p>
        </w:tc>
      </w:tr>
      <w:tr w:rsidR="0070429C" w:rsidRPr="007443A9" w14:paraId="1B720F17" w14:textId="77777777" w:rsidTr="000635AB">
        <w:trPr>
          <w:trHeight w:val="270"/>
          <w:jc w:val="center"/>
        </w:trPr>
        <w:tc>
          <w:tcPr>
            <w:tcW w:w="4019" w:type="dxa"/>
            <w:tcBorders>
              <w:top w:val="nil"/>
              <w:left w:val="nil"/>
              <w:bottom w:val="single" w:sz="8" w:space="0" w:color="A5A5A5"/>
              <w:right w:val="nil"/>
            </w:tcBorders>
            <w:shd w:val="clear" w:color="auto" w:fill="auto"/>
            <w:tcMar>
              <w:top w:w="15" w:type="dxa"/>
              <w:left w:w="144" w:type="dxa"/>
              <w:bottom w:w="0" w:type="dxa"/>
              <w:right w:w="144" w:type="dxa"/>
            </w:tcMar>
            <w:hideMark/>
          </w:tcPr>
          <w:p w14:paraId="6C4FC943" w14:textId="77777777" w:rsidR="0070429C" w:rsidRPr="007443A9" w:rsidRDefault="0070429C" w:rsidP="00B205BA">
            <w:pPr>
              <w:spacing w:after="120" w:line="240" w:lineRule="auto"/>
              <w:ind w:right="49"/>
              <w:rPr>
                <w:rFonts w:cs="Arial"/>
                <w:sz w:val="18"/>
                <w:szCs w:val="18"/>
                <w:lang w:val="es-MX"/>
              </w:rPr>
            </w:pPr>
            <w:r w:rsidRPr="007443A9">
              <w:rPr>
                <w:rFonts w:cs="Arial"/>
                <w:sz w:val="18"/>
                <w:szCs w:val="18"/>
                <w:lang w:val="es-MX"/>
              </w:rPr>
              <w:t>Total</w:t>
            </w:r>
          </w:p>
        </w:tc>
        <w:tc>
          <w:tcPr>
            <w:tcW w:w="1523" w:type="dxa"/>
            <w:tcBorders>
              <w:top w:val="nil"/>
              <w:left w:val="nil"/>
              <w:bottom w:val="single" w:sz="8" w:space="0" w:color="A5A5A5"/>
              <w:right w:val="nil"/>
            </w:tcBorders>
            <w:shd w:val="clear" w:color="auto" w:fill="auto"/>
            <w:tcMar>
              <w:top w:w="15" w:type="dxa"/>
              <w:left w:w="144" w:type="dxa"/>
              <w:bottom w:w="0" w:type="dxa"/>
              <w:right w:w="144" w:type="dxa"/>
            </w:tcMar>
            <w:hideMark/>
          </w:tcPr>
          <w:p w14:paraId="4BE8F76A" w14:textId="77777777" w:rsidR="0070429C" w:rsidRPr="007443A9" w:rsidRDefault="0070429C" w:rsidP="00B205BA">
            <w:pPr>
              <w:spacing w:after="120" w:line="240" w:lineRule="auto"/>
              <w:ind w:right="49"/>
              <w:jc w:val="center"/>
              <w:rPr>
                <w:rFonts w:cs="Arial"/>
                <w:sz w:val="18"/>
                <w:szCs w:val="18"/>
                <w:lang w:val="es-MX"/>
              </w:rPr>
            </w:pPr>
            <w:r w:rsidRPr="007443A9">
              <w:rPr>
                <w:rFonts w:cs="Arial"/>
                <w:sz w:val="18"/>
                <w:szCs w:val="18"/>
                <w:lang w:val="es-MX"/>
              </w:rPr>
              <w:t>1233</w:t>
            </w:r>
          </w:p>
        </w:tc>
        <w:tc>
          <w:tcPr>
            <w:tcW w:w="2431" w:type="dxa"/>
            <w:tcBorders>
              <w:top w:val="nil"/>
              <w:left w:val="nil"/>
              <w:bottom w:val="single" w:sz="8" w:space="0" w:color="A5A5A5"/>
              <w:right w:val="nil"/>
            </w:tcBorders>
            <w:shd w:val="clear" w:color="auto" w:fill="auto"/>
            <w:tcMar>
              <w:top w:w="15" w:type="dxa"/>
              <w:left w:w="144" w:type="dxa"/>
              <w:bottom w:w="0" w:type="dxa"/>
              <w:right w:w="144" w:type="dxa"/>
            </w:tcMar>
            <w:hideMark/>
          </w:tcPr>
          <w:p w14:paraId="436882E3" w14:textId="77777777" w:rsidR="0070429C" w:rsidRPr="007443A9" w:rsidRDefault="0070429C" w:rsidP="00B205BA">
            <w:pPr>
              <w:spacing w:after="120" w:line="240" w:lineRule="auto"/>
              <w:ind w:right="49"/>
              <w:jc w:val="center"/>
              <w:rPr>
                <w:rFonts w:cs="Arial"/>
                <w:sz w:val="18"/>
                <w:szCs w:val="18"/>
                <w:lang w:val="es-MX"/>
              </w:rPr>
            </w:pPr>
            <w:r>
              <w:rPr>
                <w:rFonts w:cs="Arial"/>
                <w:sz w:val="18"/>
                <w:szCs w:val="18"/>
                <w:lang w:val="es-MX"/>
              </w:rPr>
              <w:t>100 %</w:t>
            </w:r>
          </w:p>
        </w:tc>
      </w:tr>
    </w:tbl>
    <w:p w14:paraId="4AB85790" w14:textId="7F2AC76D" w:rsidR="0070429C" w:rsidRPr="0076416A" w:rsidRDefault="0070429C" w:rsidP="00B205BA">
      <w:pPr>
        <w:spacing w:after="120" w:line="240" w:lineRule="auto"/>
        <w:ind w:right="49"/>
        <w:rPr>
          <w:rFonts w:cs="Arial"/>
          <w:sz w:val="16"/>
          <w:szCs w:val="16"/>
        </w:rPr>
      </w:pPr>
      <w:r w:rsidRPr="002126BF">
        <w:rPr>
          <w:rFonts w:cs="Arial"/>
          <w:sz w:val="16"/>
          <w:szCs w:val="16"/>
        </w:rPr>
        <w:t xml:space="preserve">         Fuente: </w:t>
      </w:r>
      <w:r>
        <w:rPr>
          <w:rFonts w:cs="Arial"/>
          <w:sz w:val="16"/>
          <w:szCs w:val="16"/>
        </w:rPr>
        <w:t>Sistema de Desarrollo Policial (</w:t>
      </w:r>
      <w:r w:rsidRPr="002126BF">
        <w:rPr>
          <w:rFonts w:cs="Arial"/>
          <w:sz w:val="16"/>
          <w:szCs w:val="16"/>
        </w:rPr>
        <w:t>SIDEPOL</w:t>
      </w:r>
      <w:r>
        <w:rPr>
          <w:rFonts w:cs="Arial"/>
          <w:sz w:val="16"/>
          <w:szCs w:val="16"/>
        </w:rPr>
        <w:t>).</w:t>
      </w:r>
    </w:p>
    <w:p w14:paraId="41BA24FF" w14:textId="2D06CB8B" w:rsidR="0070429C" w:rsidRDefault="0070429C" w:rsidP="00B205BA">
      <w:pPr>
        <w:spacing w:after="120" w:line="240" w:lineRule="auto"/>
        <w:ind w:right="49"/>
        <w:rPr>
          <w:rFonts w:cs="Arial"/>
        </w:rPr>
      </w:pPr>
      <w:r>
        <w:rPr>
          <w:rFonts w:cs="Arial"/>
        </w:rPr>
        <w:t>E</w:t>
      </w:r>
      <w:r w:rsidRPr="00C4363F">
        <w:rPr>
          <w:rFonts w:cs="Arial"/>
        </w:rPr>
        <w:t>l proceso de evaluación muestra un alto porcentaje de éxito</w:t>
      </w:r>
      <w:r>
        <w:rPr>
          <w:rFonts w:cs="Arial"/>
        </w:rPr>
        <w:t>,</w:t>
      </w:r>
      <w:r w:rsidRPr="00C4363F">
        <w:rPr>
          <w:rFonts w:cs="Arial"/>
        </w:rPr>
        <w:t xml:space="preserve"> con algunas fluctuaciones a lo largo de los años, </w:t>
      </w:r>
      <w:r>
        <w:rPr>
          <w:rFonts w:cs="Arial"/>
        </w:rPr>
        <w:t>donde</w:t>
      </w:r>
      <w:r w:rsidRPr="00C4363F">
        <w:rPr>
          <w:rFonts w:cs="Arial"/>
        </w:rPr>
        <w:t xml:space="preserve"> 2022 </w:t>
      </w:r>
      <w:r>
        <w:rPr>
          <w:rFonts w:cs="Arial"/>
        </w:rPr>
        <w:t xml:space="preserve">es </w:t>
      </w:r>
      <w:r w:rsidRPr="00C4363F">
        <w:rPr>
          <w:rFonts w:cs="Arial"/>
        </w:rPr>
        <w:t xml:space="preserve">el año con la mayor cantidad de </w:t>
      </w:r>
      <w:r>
        <w:rPr>
          <w:rFonts w:cs="Arial"/>
        </w:rPr>
        <w:t xml:space="preserve">elementos </w:t>
      </w:r>
      <w:r w:rsidRPr="00C4363F">
        <w:rPr>
          <w:rFonts w:cs="Arial"/>
        </w:rPr>
        <w:t>no aprobados. Sin embargo, la tendencia general es positiva</w:t>
      </w:r>
      <w:r>
        <w:rPr>
          <w:rFonts w:cs="Arial"/>
        </w:rPr>
        <w:t>;</w:t>
      </w:r>
      <w:r w:rsidRPr="00C4363F">
        <w:rPr>
          <w:rFonts w:cs="Arial"/>
        </w:rPr>
        <w:t xml:space="preserve"> se observa una recuperación en 2023</w:t>
      </w:r>
      <w:r>
        <w:rPr>
          <w:rFonts w:cs="Arial"/>
        </w:rPr>
        <w:t>,</w:t>
      </w:r>
      <w:r w:rsidRPr="00C4363F">
        <w:rPr>
          <w:rFonts w:cs="Arial"/>
        </w:rPr>
        <w:t xml:space="preserve"> tanto en la cantidad de evaluados como en los resultados</w:t>
      </w:r>
      <w:r>
        <w:rPr>
          <w:rFonts w:cs="Arial"/>
        </w:rPr>
        <w:t xml:space="preserve"> (véase tabla 3):</w:t>
      </w:r>
    </w:p>
    <w:p w14:paraId="022FE102" w14:textId="77777777" w:rsidR="0086730D" w:rsidRPr="00C32544" w:rsidRDefault="0086730D" w:rsidP="00B205BA">
      <w:pPr>
        <w:spacing w:after="120" w:line="240" w:lineRule="auto"/>
        <w:ind w:right="49"/>
        <w:rPr>
          <w:rFonts w:cs="Arial"/>
        </w:rPr>
      </w:pPr>
    </w:p>
    <w:tbl>
      <w:tblPr>
        <w:tblStyle w:val="Tablaconcuadrculaclara"/>
        <w:tblW w:w="0" w:type="auto"/>
        <w:jc w:val="center"/>
        <w:tblLook w:val="04A0" w:firstRow="1" w:lastRow="0" w:firstColumn="1" w:lastColumn="0" w:noHBand="0" w:noVBand="1"/>
      </w:tblPr>
      <w:tblGrid>
        <w:gridCol w:w="1413"/>
        <w:gridCol w:w="1843"/>
        <w:gridCol w:w="1417"/>
        <w:gridCol w:w="709"/>
        <w:gridCol w:w="1701"/>
        <w:gridCol w:w="850"/>
      </w:tblGrid>
      <w:tr w:rsidR="0070429C" w14:paraId="71B5714C" w14:textId="77777777" w:rsidTr="000635AB">
        <w:trPr>
          <w:trHeight w:val="50"/>
          <w:jc w:val="center"/>
        </w:trPr>
        <w:tc>
          <w:tcPr>
            <w:tcW w:w="7933" w:type="dxa"/>
            <w:gridSpan w:val="6"/>
            <w:shd w:val="clear" w:color="auto" w:fill="ED7D31" w:themeFill="accent2"/>
          </w:tcPr>
          <w:p w14:paraId="1D2A1006" w14:textId="2B7E89DD" w:rsidR="0070429C" w:rsidRPr="00575786" w:rsidRDefault="0070429C" w:rsidP="00B205BA">
            <w:pPr>
              <w:spacing w:after="120" w:line="240" w:lineRule="auto"/>
              <w:ind w:right="49"/>
              <w:jc w:val="center"/>
              <w:rPr>
                <w:rFonts w:cs="Arial"/>
                <w:b/>
                <w:bCs/>
                <w:color w:val="FFFFFF" w:themeColor="background1"/>
                <w:sz w:val="18"/>
                <w:szCs w:val="18"/>
              </w:rPr>
            </w:pPr>
            <w:r>
              <w:rPr>
                <w:rFonts w:cs="Arial"/>
                <w:b/>
                <w:bCs/>
                <w:color w:val="FFFFFF" w:themeColor="background1"/>
                <w:sz w:val="18"/>
                <w:szCs w:val="18"/>
              </w:rPr>
              <w:lastRenderedPageBreak/>
              <w:t>TABLA 3. COMPARATIVO ANUAL CONTROL DE CONFIANZA (C3) 2018-2023</w:t>
            </w:r>
            <w:r w:rsidR="0086730D">
              <w:rPr>
                <w:rFonts w:cs="Arial"/>
                <w:b/>
                <w:bCs/>
                <w:color w:val="FFFFFF" w:themeColor="background1"/>
                <w:sz w:val="18"/>
                <w:szCs w:val="18"/>
              </w:rPr>
              <w:t>.</w:t>
            </w:r>
          </w:p>
        </w:tc>
      </w:tr>
      <w:tr w:rsidR="0070429C" w14:paraId="4DAB9658" w14:textId="77777777" w:rsidTr="000635AB">
        <w:trPr>
          <w:trHeight w:val="50"/>
          <w:jc w:val="center"/>
        </w:trPr>
        <w:tc>
          <w:tcPr>
            <w:tcW w:w="1413" w:type="dxa"/>
            <w:shd w:val="clear" w:color="auto" w:fill="7F7F7F" w:themeFill="text1" w:themeFillTint="80"/>
          </w:tcPr>
          <w:p w14:paraId="58C85683" w14:textId="77777777" w:rsidR="0070429C" w:rsidRPr="00575786" w:rsidRDefault="0070429C" w:rsidP="00B205BA">
            <w:pPr>
              <w:spacing w:after="120" w:line="240" w:lineRule="auto"/>
              <w:ind w:right="49"/>
              <w:jc w:val="center"/>
              <w:rPr>
                <w:rFonts w:cs="Arial"/>
                <w:b/>
                <w:bCs/>
                <w:color w:val="FFFFFF" w:themeColor="background1"/>
                <w:sz w:val="18"/>
                <w:szCs w:val="18"/>
              </w:rPr>
            </w:pPr>
            <w:r w:rsidRPr="00575786">
              <w:rPr>
                <w:rFonts w:cs="Arial"/>
                <w:b/>
                <w:bCs/>
                <w:color w:val="FFFFFF" w:themeColor="background1"/>
                <w:sz w:val="18"/>
                <w:szCs w:val="18"/>
              </w:rPr>
              <w:t>Año</w:t>
            </w:r>
          </w:p>
        </w:tc>
        <w:tc>
          <w:tcPr>
            <w:tcW w:w="1843" w:type="dxa"/>
            <w:shd w:val="clear" w:color="auto" w:fill="7F7F7F" w:themeFill="text1" w:themeFillTint="80"/>
          </w:tcPr>
          <w:p w14:paraId="18ABBAA1" w14:textId="77777777" w:rsidR="0070429C" w:rsidRPr="00575786" w:rsidRDefault="0070429C" w:rsidP="00B205BA">
            <w:pPr>
              <w:spacing w:after="120" w:line="240" w:lineRule="auto"/>
              <w:ind w:right="49"/>
              <w:jc w:val="center"/>
              <w:rPr>
                <w:rFonts w:cs="Arial"/>
                <w:b/>
                <w:bCs/>
                <w:color w:val="FFFFFF" w:themeColor="background1"/>
                <w:sz w:val="18"/>
                <w:szCs w:val="18"/>
              </w:rPr>
            </w:pPr>
            <w:r w:rsidRPr="00575786">
              <w:rPr>
                <w:rFonts w:cs="Arial"/>
                <w:b/>
                <w:bCs/>
                <w:color w:val="FFFFFF" w:themeColor="background1"/>
                <w:sz w:val="18"/>
                <w:szCs w:val="18"/>
              </w:rPr>
              <w:t>Total evaluados</w:t>
            </w:r>
          </w:p>
        </w:tc>
        <w:tc>
          <w:tcPr>
            <w:tcW w:w="1417" w:type="dxa"/>
            <w:shd w:val="clear" w:color="auto" w:fill="7F7F7F" w:themeFill="text1" w:themeFillTint="80"/>
          </w:tcPr>
          <w:p w14:paraId="0F238091" w14:textId="77777777" w:rsidR="0070429C" w:rsidRPr="00575786" w:rsidRDefault="0070429C" w:rsidP="00B205BA">
            <w:pPr>
              <w:spacing w:after="120" w:line="240" w:lineRule="auto"/>
              <w:ind w:right="49"/>
              <w:jc w:val="center"/>
              <w:rPr>
                <w:rFonts w:cs="Arial"/>
                <w:b/>
                <w:bCs/>
                <w:color w:val="FFFFFF" w:themeColor="background1"/>
                <w:sz w:val="18"/>
                <w:szCs w:val="18"/>
              </w:rPr>
            </w:pPr>
            <w:r w:rsidRPr="00575786">
              <w:rPr>
                <w:rFonts w:cs="Arial"/>
                <w:b/>
                <w:bCs/>
                <w:color w:val="FFFFFF" w:themeColor="background1"/>
                <w:sz w:val="18"/>
                <w:szCs w:val="18"/>
              </w:rPr>
              <w:t>Aprobados</w:t>
            </w:r>
          </w:p>
        </w:tc>
        <w:tc>
          <w:tcPr>
            <w:tcW w:w="709" w:type="dxa"/>
            <w:shd w:val="clear" w:color="auto" w:fill="7F7F7F" w:themeFill="text1" w:themeFillTint="80"/>
          </w:tcPr>
          <w:p w14:paraId="6007F87D" w14:textId="77777777" w:rsidR="0070429C" w:rsidRPr="00575786" w:rsidRDefault="0070429C" w:rsidP="00B205BA">
            <w:pPr>
              <w:spacing w:after="120" w:line="240" w:lineRule="auto"/>
              <w:ind w:right="49"/>
              <w:jc w:val="center"/>
              <w:rPr>
                <w:rFonts w:cs="Arial"/>
                <w:b/>
                <w:bCs/>
                <w:color w:val="FFFFFF" w:themeColor="background1"/>
                <w:sz w:val="18"/>
                <w:szCs w:val="18"/>
              </w:rPr>
            </w:pPr>
            <w:r w:rsidRPr="00575786">
              <w:rPr>
                <w:rFonts w:cs="Arial"/>
                <w:b/>
                <w:bCs/>
                <w:color w:val="FFFFFF" w:themeColor="background1"/>
                <w:sz w:val="18"/>
                <w:szCs w:val="18"/>
              </w:rPr>
              <w:t>%</w:t>
            </w:r>
          </w:p>
        </w:tc>
        <w:tc>
          <w:tcPr>
            <w:tcW w:w="1701" w:type="dxa"/>
            <w:shd w:val="clear" w:color="auto" w:fill="7F7F7F" w:themeFill="text1" w:themeFillTint="80"/>
          </w:tcPr>
          <w:p w14:paraId="2CD4CDFF" w14:textId="77777777" w:rsidR="0070429C" w:rsidRPr="00575786" w:rsidRDefault="0070429C" w:rsidP="00B205BA">
            <w:pPr>
              <w:spacing w:after="120" w:line="240" w:lineRule="auto"/>
              <w:ind w:right="49"/>
              <w:jc w:val="center"/>
              <w:rPr>
                <w:rFonts w:cs="Arial"/>
                <w:b/>
                <w:bCs/>
                <w:color w:val="FFFFFF" w:themeColor="background1"/>
                <w:sz w:val="18"/>
                <w:szCs w:val="18"/>
              </w:rPr>
            </w:pPr>
            <w:r w:rsidRPr="00575786">
              <w:rPr>
                <w:rFonts w:cs="Arial"/>
                <w:b/>
                <w:bCs/>
                <w:color w:val="FFFFFF" w:themeColor="background1"/>
                <w:sz w:val="18"/>
                <w:szCs w:val="18"/>
              </w:rPr>
              <w:t>No aprobados</w:t>
            </w:r>
          </w:p>
        </w:tc>
        <w:tc>
          <w:tcPr>
            <w:tcW w:w="850" w:type="dxa"/>
            <w:shd w:val="clear" w:color="auto" w:fill="7F7F7F" w:themeFill="text1" w:themeFillTint="80"/>
          </w:tcPr>
          <w:p w14:paraId="7AEF6967" w14:textId="77777777" w:rsidR="0070429C" w:rsidRPr="00575786" w:rsidRDefault="0070429C" w:rsidP="00B205BA">
            <w:pPr>
              <w:spacing w:after="120" w:line="240" w:lineRule="auto"/>
              <w:ind w:right="49"/>
              <w:jc w:val="center"/>
              <w:rPr>
                <w:rFonts w:cs="Arial"/>
                <w:b/>
                <w:bCs/>
                <w:color w:val="FFFFFF" w:themeColor="background1"/>
                <w:sz w:val="18"/>
                <w:szCs w:val="18"/>
              </w:rPr>
            </w:pPr>
            <w:r w:rsidRPr="00575786">
              <w:rPr>
                <w:rFonts w:cs="Arial"/>
                <w:b/>
                <w:bCs/>
                <w:color w:val="FFFFFF" w:themeColor="background1"/>
                <w:sz w:val="18"/>
                <w:szCs w:val="18"/>
              </w:rPr>
              <w:t>%</w:t>
            </w:r>
          </w:p>
        </w:tc>
      </w:tr>
      <w:tr w:rsidR="0070429C" w14:paraId="2A64F14A" w14:textId="77777777" w:rsidTr="000635AB">
        <w:trPr>
          <w:jc w:val="center"/>
        </w:trPr>
        <w:tc>
          <w:tcPr>
            <w:tcW w:w="1413" w:type="dxa"/>
            <w:shd w:val="clear" w:color="auto" w:fill="F2F2F2" w:themeFill="background1" w:themeFillShade="F2"/>
          </w:tcPr>
          <w:p w14:paraId="4AB3869C" w14:textId="77777777" w:rsidR="0070429C" w:rsidRPr="00575786" w:rsidRDefault="0070429C" w:rsidP="00B205BA">
            <w:pPr>
              <w:spacing w:after="120" w:line="240" w:lineRule="auto"/>
              <w:ind w:right="49"/>
              <w:jc w:val="center"/>
              <w:rPr>
                <w:rFonts w:cs="Arial"/>
                <w:b/>
                <w:bCs/>
                <w:sz w:val="18"/>
                <w:szCs w:val="18"/>
              </w:rPr>
            </w:pPr>
            <w:r w:rsidRPr="00575786">
              <w:rPr>
                <w:rFonts w:cs="Arial"/>
                <w:b/>
                <w:bCs/>
                <w:sz w:val="18"/>
                <w:szCs w:val="18"/>
              </w:rPr>
              <w:t>2018</w:t>
            </w:r>
          </w:p>
        </w:tc>
        <w:tc>
          <w:tcPr>
            <w:tcW w:w="1843" w:type="dxa"/>
          </w:tcPr>
          <w:p w14:paraId="643FE3F0"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387</w:t>
            </w:r>
          </w:p>
        </w:tc>
        <w:tc>
          <w:tcPr>
            <w:tcW w:w="1417" w:type="dxa"/>
          </w:tcPr>
          <w:p w14:paraId="02186328"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357</w:t>
            </w:r>
          </w:p>
        </w:tc>
        <w:tc>
          <w:tcPr>
            <w:tcW w:w="709" w:type="dxa"/>
          </w:tcPr>
          <w:p w14:paraId="7CA09765" w14:textId="77777777" w:rsidR="0070429C" w:rsidRDefault="0070429C" w:rsidP="00B205BA">
            <w:pPr>
              <w:spacing w:after="120" w:line="240" w:lineRule="auto"/>
              <w:ind w:right="49"/>
              <w:jc w:val="center"/>
              <w:rPr>
                <w:rFonts w:cs="Arial"/>
                <w:b/>
                <w:bCs/>
              </w:rPr>
            </w:pPr>
            <w:r>
              <w:rPr>
                <w:rFonts w:cs="Arial"/>
                <w:sz w:val="18"/>
                <w:szCs w:val="18"/>
              </w:rPr>
              <w:t>92.2</w:t>
            </w:r>
          </w:p>
        </w:tc>
        <w:tc>
          <w:tcPr>
            <w:tcW w:w="1701" w:type="dxa"/>
          </w:tcPr>
          <w:p w14:paraId="37DD01CB" w14:textId="77777777" w:rsidR="0070429C" w:rsidRDefault="0070429C" w:rsidP="00B205BA">
            <w:pPr>
              <w:spacing w:after="120" w:line="240" w:lineRule="auto"/>
              <w:ind w:right="49"/>
              <w:jc w:val="center"/>
              <w:rPr>
                <w:rFonts w:cs="Arial"/>
                <w:b/>
                <w:bCs/>
              </w:rPr>
            </w:pPr>
            <w:r w:rsidRPr="00C0673A">
              <w:rPr>
                <w:rFonts w:cs="Arial"/>
                <w:sz w:val="18"/>
                <w:szCs w:val="18"/>
              </w:rPr>
              <w:t>30</w:t>
            </w:r>
          </w:p>
        </w:tc>
        <w:tc>
          <w:tcPr>
            <w:tcW w:w="850" w:type="dxa"/>
          </w:tcPr>
          <w:p w14:paraId="349A9C24" w14:textId="77777777" w:rsidR="0070429C" w:rsidRPr="00575786" w:rsidRDefault="0070429C" w:rsidP="00B205BA">
            <w:pPr>
              <w:spacing w:after="120" w:line="240" w:lineRule="auto"/>
              <w:ind w:right="49"/>
              <w:jc w:val="center"/>
              <w:rPr>
                <w:rFonts w:cs="Arial"/>
                <w:sz w:val="18"/>
                <w:szCs w:val="18"/>
              </w:rPr>
            </w:pPr>
            <w:r>
              <w:rPr>
                <w:rFonts w:cs="Arial"/>
                <w:sz w:val="18"/>
                <w:szCs w:val="18"/>
              </w:rPr>
              <w:t>7.8</w:t>
            </w:r>
          </w:p>
        </w:tc>
      </w:tr>
      <w:tr w:rsidR="0070429C" w14:paraId="0AAC10E3" w14:textId="77777777" w:rsidTr="000635AB">
        <w:trPr>
          <w:jc w:val="center"/>
        </w:trPr>
        <w:tc>
          <w:tcPr>
            <w:tcW w:w="1413" w:type="dxa"/>
            <w:shd w:val="clear" w:color="auto" w:fill="F2F2F2" w:themeFill="background1" w:themeFillShade="F2"/>
          </w:tcPr>
          <w:p w14:paraId="7D89600C" w14:textId="77777777" w:rsidR="0070429C" w:rsidRPr="00575786" w:rsidRDefault="0070429C" w:rsidP="00B205BA">
            <w:pPr>
              <w:spacing w:after="120" w:line="240" w:lineRule="auto"/>
              <w:ind w:right="49"/>
              <w:jc w:val="center"/>
              <w:rPr>
                <w:rFonts w:cs="Arial"/>
                <w:b/>
                <w:bCs/>
                <w:sz w:val="18"/>
                <w:szCs w:val="18"/>
              </w:rPr>
            </w:pPr>
            <w:r w:rsidRPr="00575786">
              <w:rPr>
                <w:rFonts w:cs="Arial"/>
                <w:b/>
                <w:bCs/>
                <w:sz w:val="18"/>
                <w:szCs w:val="18"/>
              </w:rPr>
              <w:t>2019</w:t>
            </w:r>
          </w:p>
        </w:tc>
        <w:tc>
          <w:tcPr>
            <w:tcW w:w="1843" w:type="dxa"/>
          </w:tcPr>
          <w:p w14:paraId="1A36A718"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265</w:t>
            </w:r>
          </w:p>
        </w:tc>
        <w:tc>
          <w:tcPr>
            <w:tcW w:w="1417" w:type="dxa"/>
          </w:tcPr>
          <w:p w14:paraId="3DB50B93"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259</w:t>
            </w:r>
          </w:p>
        </w:tc>
        <w:tc>
          <w:tcPr>
            <w:tcW w:w="709" w:type="dxa"/>
          </w:tcPr>
          <w:p w14:paraId="6589E7A8" w14:textId="77777777" w:rsidR="0070429C" w:rsidRPr="006D2774" w:rsidRDefault="0070429C" w:rsidP="00B205BA">
            <w:pPr>
              <w:spacing w:after="120" w:line="240" w:lineRule="auto"/>
              <w:ind w:right="49"/>
              <w:jc w:val="center"/>
              <w:rPr>
                <w:rFonts w:cs="Arial"/>
                <w:sz w:val="18"/>
                <w:szCs w:val="18"/>
              </w:rPr>
            </w:pPr>
            <w:r>
              <w:rPr>
                <w:rFonts w:cs="Arial"/>
                <w:sz w:val="18"/>
                <w:szCs w:val="18"/>
              </w:rPr>
              <w:t>97.7</w:t>
            </w:r>
          </w:p>
        </w:tc>
        <w:tc>
          <w:tcPr>
            <w:tcW w:w="1701" w:type="dxa"/>
          </w:tcPr>
          <w:p w14:paraId="76890F64" w14:textId="77777777" w:rsidR="0070429C" w:rsidRDefault="0070429C" w:rsidP="00B205BA">
            <w:pPr>
              <w:spacing w:after="120" w:line="240" w:lineRule="auto"/>
              <w:ind w:right="49"/>
              <w:jc w:val="center"/>
              <w:rPr>
                <w:rFonts w:cs="Arial"/>
                <w:b/>
                <w:bCs/>
              </w:rPr>
            </w:pPr>
            <w:r w:rsidRPr="00C0673A">
              <w:rPr>
                <w:rFonts w:cs="Arial"/>
                <w:sz w:val="18"/>
                <w:szCs w:val="18"/>
              </w:rPr>
              <w:t>6</w:t>
            </w:r>
          </w:p>
        </w:tc>
        <w:tc>
          <w:tcPr>
            <w:tcW w:w="850" w:type="dxa"/>
          </w:tcPr>
          <w:p w14:paraId="032056BC" w14:textId="77777777" w:rsidR="0070429C" w:rsidRPr="00575786" w:rsidRDefault="0070429C" w:rsidP="00B205BA">
            <w:pPr>
              <w:spacing w:after="120" w:line="240" w:lineRule="auto"/>
              <w:ind w:right="49"/>
              <w:jc w:val="center"/>
              <w:rPr>
                <w:rFonts w:cs="Arial"/>
                <w:sz w:val="18"/>
                <w:szCs w:val="18"/>
              </w:rPr>
            </w:pPr>
            <w:r>
              <w:rPr>
                <w:rFonts w:cs="Arial"/>
                <w:sz w:val="18"/>
                <w:szCs w:val="18"/>
              </w:rPr>
              <w:t>2.3</w:t>
            </w:r>
          </w:p>
        </w:tc>
      </w:tr>
      <w:tr w:rsidR="0070429C" w14:paraId="7BB587CF" w14:textId="77777777" w:rsidTr="000635AB">
        <w:trPr>
          <w:jc w:val="center"/>
        </w:trPr>
        <w:tc>
          <w:tcPr>
            <w:tcW w:w="1413" w:type="dxa"/>
            <w:shd w:val="clear" w:color="auto" w:fill="F2F2F2" w:themeFill="background1" w:themeFillShade="F2"/>
          </w:tcPr>
          <w:p w14:paraId="06109CDA" w14:textId="77777777" w:rsidR="0070429C" w:rsidRPr="00575786" w:rsidRDefault="0070429C" w:rsidP="00B205BA">
            <w:pPr>
              <w:spacing w:after="120" w:line="240" w:lineRule="auto"/>
              <w:ind w:right="49"/>
              <w:jc w:val="center"/>
              <w:rPr>
                <w:rFonts w:cs="Arial"/>
                <w:b/>
                <w:bCs/>
                <w:sz w:val="18"/>
                <w:szCs w:val="18"/>
              </w:rPr>
            </w:pPr>
            <w:r w:rsidRPr="00575786">
              <w:rPr>
                <w:rFonts w:cs="Arial"/>
                <w:b/>
                <w:bCs/>
                <w:sz w:val="18"/>
                <w:szCs w:val="18"/>
              </w:rPr>
              <w:t>2020</w:t>
            </w:r>
          </w:p>
        </w:tc>
        <w:tc>
          <w:tcPr>
            <w:tcW w:w="1843" w:type="dxa"/>
          </w:tcPr>
          <w:p w14:paraId="465E0D22"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359</w:t>
            </w:r>
          </w:p>
        </w:tc>
        <w:tc>
          <w:tcPr>
            <w:tcW w:w="1417" w:type="dxa"/>
          </w:tcPr>
          <w:p w14:paraId="212AB9E8"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352</w:t>
            </w:r>
          </w:p>
        </w:tc>
        <w:tc>
          <w:tcPr>
            <w:tcW w:w="709" w:type="dxa"/>
          </w:tcPr>
          <w:p w14:paraId="7F2AC315" w14:textId="77777777" w:rsidR="0070429C" w:rsidRDefault="0070429C" w:rsidP="00B205BA">
            <w:pPr>
              <w:spacing w:after="120" w:line="240" w:lineRule="auto"/>
              <w:ind w:right="49"/>
              <w:jc w:val="center"/>
              <w:rPr>
                <w:rFonts w:cs="Arial"/>
                <w:b/>
                <w:bCs/>
              </w:rPr>
            </w:pPr>
            <w:r>
              <w:rPr>
                <w:rFonts w:cs="Arial"/>
                <w:sz w:val="18"/>
                <w:szCs w:val="18"/>
              </w:rPr>
              <w:t>98.1</w:t>
            </w:r>
          </w:p>
        </w:tc>
        <w:tc>
          <w:tcPr>
            <w:tcW w:w="1701" w:type="dxa"/>
          </w:tcPr>
          <w:p w14:paraId="268AF99C" w14:textId="77777777" w:rsidR="0070429C" w:rsidRDefault="0070429C" w:rsidP="00B205BA">
            <w:pPr>
              <w:spacing w:after="120" w:line="240" w:lineRule="auto"/>
              <w:ind w:right="49"/>
              <w:jc w:val="center"/>
              <w:rPr>
                <w:rFonts w:cs="Arial"/>
                <w:b/>
                <w:bCs/>
              </w:rPr>
            </w:pPr>
            <w:r w:rsidRPr="00C0673A">
              <w:rPr>
                <w:rFonts w:cs="Arial"/>
                <w:sz w:val="18"/>
                <w:szCs w:val="18"/>
              </w:rPr>
              <w:t>7</w:t>
            </w:r>
          </w:p>
        </w:tc>
        <w:tc>
          <w:tcPr>
            <w:tcW w:w="850" w:type="dxa"/>
          </w:tcPr>
          <w:p w14:paraId="3C96AE9D" w14:textId="77777777" w:rsidR="0070429C" w:rsidRPr="00575786" w:rsidRDefault="0070429C" w:rsidP="00B205BA">
            <w:pPr>
              <w:spacing w:after="120" w:line="240" w:lineRule="auto"/>
              <w:ind w:right="49"/>
              <w:jc w:val="center"/>
              <w:rPr>
                <w:rFonts w:cs="Arial"/>
                <w:sz w:val="18"/>
                <w:szCs w:val="18"/>
              </w:rPr>
            </w:pPr>
            <w:r>
              <w:rPr>
                <w:rFonts w:cs="Arial"/>
                <w:sz w:val="18"/>
                <w:szCs w:val="18"/>
              </w:rPr>
              <w:t>1.9</w:t>
            </w:r>
          </w:p>
        </w:tc>
      </w:tr>
      <w:tr w:rsidR="0070429C" w14:paraId="391D0283" w14:textId="77777777" w:rsidTr="000635AB">
        <w:trPr>
          <w:jc w:val="center"/>
        </w:trPr>
        <w:tc>
          <w:tcPr>
            <w:tcW w:w="1413" w:type="dxa"/>
            <w:shd w:val="clear" w:color="auto" w:fill="F2F2F2" w:themeFill="background1" w:themeFillShade="F2"/>
          </w:tcPr>
          <w:p w14:paraId="7E281B0A" w14:textId="77777777" w:rsidR="0070429C" w:rsidRPr="00575786" w:rsidRDefault="0070429C" w:rsidP="00B205BA">
            <w:pPr>
              <w:spacing w:after="120" w:line="240" w:lineRule="auto"/>
              <w:ind w:right="49"/>
              <w:jc w:val="center"/>
              <w:rPr>
                <w:rFonts w:cs="Arial"/>
                <w:b/>
                <w:bCs/>
                <w:sz w:val="18"/>
                <w:szCs w:val="18"/>
              </w:rPr>
            </w:pPr>
            <w:r w:rsidRPr="00575786">
              <w:rPr>
                <w:rFonts w:cs="Arial"/>
                <w:b/>
                <w:bCs/>
                <w:sz w:val="18"/>
                <w:szCs w:val="18"/>
              </w:rPr>
              <w:t>2021</w:t>
            </w:r>
          </w:p>
        </w:tc>
        <w:tc>
          <w:tcPr>
            <w:tcW w:w="1843" w:type="dxa"/>
          </w:tcPr>
          <w:p w14:paraId="63A23ECC"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409</w:t>
            </w:r>
          </w:p>
        </w:tc>
        <w:tc>
          <w:tcPr>
            <w:tcW w:w="1417" w:type="dxa"/>
          </w:tcPr>
          <w:p w14:paraId="6250152A"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397</w:t>
            </w:r>
          </w:p>
        </w:tc>
        <w:tc>
          <w:tcPr>
            <w:tcW w:w="709" w:type="dxa"/>
          </w:tcPr>
          <w:p w14:paraId="3548CC2B" w14:textId="77777777" w:rsidR="0070429C" w:rsidRDefault="0070429C" w:rsidP="00B205BA">
            <w:pPr>
              <w:spacing w:after="120" w:line="240" w:lineRule="auto"/>
              <w:ind w:right="49"/>
              <w:jc w:val="center"/>
              <w:rPr>
                <w:rFonts w:cs="Arial"/>
                <w:b/>
                <w:bCs/>
              </w:rPr>
            </w:pPr>
            <w:r>
              <w:rPr>
                <w:rFonts w:cs="Arial"/>
                <w:sz w:val="18"/>
                <w:szCs w:val="18"/>
              </w:rPr>
              <w:t>9</w:t>
            </w:r>
            <w:r w:rsidRPr="00BE26C3">
              <w:rPr>
                <w:rFonts w:cs="Arial"/>
                <w:sz w:val="18"/>
                <w:szCs w:val="18"/>
              </w:rPr>
              <w:t>7</w:t>
            </w:r>
            <w:r>
              <w:rPr>
                <w:rFonts w:cs="Arial"/>
                <w:sz w:val="18"/>
                <w:szCs w:val="18"/>
              </w:rPr>
              <w:t>.1</w:t>
            </w:r>
          </w:p>
        </w:tc>
        <w:tc>
          <w:tcPr>
            <w:tcW w:w="1701" w:type="dxa"/>
          </w:tcPr>
          <w:p w14:paraId="44CD5447" w14:textId="77777777" w:rsidR="0070429C" w:rsidRDefault="0070429C" w:rsidP="00B205BA">
            <w:pPr>
              <w:spacing w:after="120" w:line="240" w:lineRule="auto"/>
              <w:ind w:right="49"/>
              <w:jc w:val="center"/>
              <w:rPr>
                <w:rFonts w:cs="Arial"/>
                <w:b/>
                <w:bCs/>
              </w:rPr>
            </w:pPr>
            <w:r w:rsidRPr="00C0673A">
              <w:rPr>
                <w:rFonts w:cs="Arial"/>
                <w:sz w:val="18"/>
                <w:szCs w:val="18"/>
              </w:rPr>
              <w:t>12</w:t>
            </w:r>
          </w:p>
        </w:tc>
        <w:tc>
          <w:tcPr>
            <w:tcW w:w="850" w:type="dxa"/>
          </w:tcPr>
          <w:p w14:paraId="14270CA6" w14:textId="77777777" w:rsidR="0070429C" w:rsidRPr="00575786" w:rsidRDefault="0070429C" w:rsidP="00B205BA">
            <w:pPr>
              <w:spacing w:after="120" w:line="240" w:lineRule="auto"/>
              <w:ind w:right="49"/>
              <w:jc w:val="center"/>
              <w:rPr>
                <w:rFonts w:cs="Arial"/>
                <w:sz w:val="18"/>
                <w:szCs w:val="18"/>
              </w:rPr>
            </w:pPr>
            <w:r>
              <w:rPr>
                <w:rFonts w:cs="Arial"/>
                <w:sz w:val="18"/>
                <w:szCs w:val="18"/>
              </w:rPr>
              <w:t>2.9</w:t>
            </w:r>
          </w:p>
        </w:tc>
      </w:tr>
      <w:tr w:rsidR="0070429C" w14:paraId="309D6FAA" w14:textId="77777777" w:rsidTr="000635AB">
        <w:trPr>
          <w:jc w:val="center"/>
        </w:trPr>
        <w:tc>
          <w:tcPr>
            <w:tcW w:w="1413" w:type="dxa"/>
            <w:shd w:val="clear" w:color="auto" w:fill="F2F2F2" w:themeFill="background1" w:themeFillShade="F2"/>
          </w:tcPr>
          <w:p w14:paraId="28F63D00" w14:textId="77777777" w:rsidR="0070429C" w:rsidRPr="00575786" w:rsidRDefault="0070429C" w:rsidP="00B205BA">
            <w:pPr>
              <w:spacing w:after="120" w:line="240" w:lineRule="auto"/>
              <w:ind w:right="49"/>
              <w:jc w:val="center"/>
              <w:rPr>
                <w:rFonts w:cs="Arial"/>
                <w:b/>
                <w:bCs/>
                <w:sz w:val="18"/>
                <w:szCs w:val="18"/>
              </w:rPr>
            </w:pPr>
            <w:r w:rsidRPr="00575786">
              <w:rPr>
                <w:rFonts w:cs="Arial"/>
                <w:b/>
                <w:bCs/>
                <w:sz w:val="18"/>
                <w:szCs w:val="18"/>
              </w:rPr>
              <w:t>2022</w:t>
            </w:r>
          </w:p>
        </w:tc>
        <w:tc>
          <w:tcPr>
            <w:tcW w:w="1843" w:type="dxa"/>
          </w:tcPr>
          <w:p w14:paraId="098EE193"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151</w:t>
            </w:r>
          </w:p>
        </w:tc>
        <w:tc>
          <w:tcPr>
            <w:tcW w:w="1417" w:type="dxa"/>
          </w:tcPr>
          <w:p w14:paraId="49707D33"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137</w:t>
            </w:r>
          </w:p>
        </w:tc>
        <w:tc>
          <w:tcPr>
            <w:tcW w:w="709" w:type="dxa"/>
          </w:tcPr>
          <w:p w14:paraId="7B7FDB3A" w14:textId="77777777" w:rsidR="0070429C" w:rsidRDefault="0070429C" w:rsidP="00B205BA">
            <w:pPr>
              <w:spacing w:after="120" w:line="240" w:lineRule="auto"/>
              <w:ind w:right="49"/>
              <w:jc w:val="center"/>
              <w:rPr>
                <w:rFonts w:cs="Arial"/>
                <w:b/>
                <w:bCs/>
              </w:rPr>
            </w:pPr>
            <w:r>
              <w:rPr>
                <w:rFonts w:cs="Arial"/>
                <w:sz w:val="18"/>
                <w:szCs w:val="18"/>
              </w:rPr>
              <w:t>90.</w:t>
            </w:r>
            <w:r w:rsidRPr="00BE26C3">
              <w:rPr>
                <w:rFonts w:cs="Arial"/>
                <w:sz w:val="18"/>
                <w:szCs w:val="18"/>
              </w:rPr>
              <w:t>7</w:t>
            </w:r>
          </w:p>
        </w:tc>
        <w:tc>
          <w:tcPr>
            <w:tcW w:w="1701" w:type="dxa"/>
          </w:tcPr>
          <w:p w14:paraId="730A27C5" w14:textId="77777777" w:rsidR="0070429C" w:rsidRDefault="0070429C" w:rsidP="00B205BA">
            <w:pPr>
              <w:spacing w:after="120" w:line="240" w:lineRule="auto"/>
              <w:ind w:right="49"/>
              <w:jc w:val="center"/>
              <w:rPr>
                <w:rFonts w:cs="Arial"/>
                <w:b/>
                <w:bCs/>
              </w:rPr>
            </w:pPr>
            <w:r w:rsidRPr="00C0673A">
              <w:rPr>
                <w:rFonts w:cs="Arial"/>
                <w:sz w:val="18"/>
                <w:szCs w:val="18"/>
              </w:rPr>
              <w:t>14</w:t>
            </w:r>
          </w:p>
        </w:tc>
        <w:tc>
          <w:tcPr>
            <w:tcW w:w="850" w:type="dxa"/>
          </w:tcPr>
          <w:p w14:paraId="67A49964" w14:textId="77777777" w:rsidR="0070429C" w:rsidRPr="00575786" w:rsidRDefault="0070429C" w:rsidP="00B205BA">
            <w:pPr>
              <w:spacing w:after="120" w:line="240" w:lineRule="auto"/>
              <w:ind w:right="49"/>
              <w:jc w:val="center"/>
              <w:rPr>
                <w:rFonts w:cs="Arial"/>
                <w:sz w:val="18"/>
                <w:szCs w:val="18"/>
              </w:rPr>
            </w:pPr>
            <w:r>
              <w:rPr>
                <w:rFonts w:cs="Arial"/>
                <w:sz w:val="18"/>
                <w:szCs w:val="18"/>
              </w:rPr>
              <w:t>9.3</w:t>
            </w:r>
          </w:p>
        </w:tc>
      </w:tr>
      <w:tr w:rsidR="0070429C" w14:paraId="7B18C451" w14:textId="77777777" w:rsidTr="000635AB">
        <w:trPr>
          <w:jc w:val="center"/>
        </w:trPr>
        <w:tc>
          <w:tcPr>
            <w:tcW w:w="1413" w:type="dxa"/>
            <w:shd w:val="clear" w:color="auto" w:fill="F2F2F2" w:themeFill="background1" w:themeFillShade="F2"/>
          </w:tcPr>
          <w:p w14:paraId="22D19A89" w14:textId="77777777" w:rsidR="0070429C" w:rsidRPr="00575786" w:rsidRDefault="0070429C" w:rsidP="00B205BA">
            <w:pPr>
              <w:spacing w:after="120" w:line="240" w:lineRule="auto"/>
              <w:ind w:right="49"/>
              <w:jc w:val="center"/>
              <w:rPr>
                <w:rFonts w:cs="Arial"/>
                <w:b/>
                <w:bCs/>
                <w:sz w:val="18"/>
                <w:szCs w:val="18"/>
              </w:rPr>
            </w:pPr>
            <w:r w:rsidRPr="00575786">
              <w:rPr>
                <w:rFonts w:cs="Arial"/>
                <w:b/>
                <w:bCs/>
                <w:sz w:val="18"/>
                <w:szCs w:val="18"/>
              </w:rPr>
              <w:t>2023</w:t>
            </w:r>
          </w:p>
        </w:tc>
        <w:tc>
          <w:tcPr>
            <w:tcW w:w="1843" w:type="dxa"/>
          </w:tcPr>
          <w:p w14:paraId="5E224213"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275</w:t>
            </w:r>
          </w:p>
        </w:tc>
        <w:tc>
          <w:tcPr>
            <w:tcW w:w="1417" w:type="dxa"/>
          </w:tcPr>
          <w:p w14:paraId="634DB79B" w14:textId="77777777" w:rsidR="0070429C" w:rsidRPr="00C0673A" w:rsidRDefault="0070429C" w:rsidP="00B205BA">
            <w:pPr>
              <w:spacing w:after="120" w:line="240" w:lineRule="auto"/>
              <w:ind w:right="49"/>
              <w:jc w:val="center"/>
              <w:rPr>
                <w:rFonts w:cs="Arial"/>
                <w:b/>
                <w:bCs/>
                <w:sz w:val="18"/>
                <w:szCs w:val="18"/>
              </w:rPr>
            </w:pPr>
            <w:r w:rsidRPr="00C0673A">
              <w:rPr>
                <w:rFonts w:cs="Arial"/>
                <w:sz w:val="18"/>
                <w:szCs w:val="18"/>
              </w:rPr>
              <w:t>266</w:t>
            </w:r>
          </w:p>
        </w:tc>
        <w:tc>
          <w:tcPr>
            <w:tcW w:w="709" w:type="dxa"/>
          </w:tcPr>
          <w:p w14:paraId="378993F2" w14:textId="77777777" w:rsidR="0070429C" w:rsidRDefault="0070429C" w:rsidP="00B205BA">
            <w:pPr>
              <w:spacing w:after="120" w:line="240" w:lineRule="auto"/>
              <w:ind w:right="49"/>
              <w:jc w:val="center"/>
              <w:rPr>
                <w:rFonts w:cs="Arial"/>
                <w:b/>
                <w:bCs/>
              </w:rPr>
            </w:pPr>
            <w:r>
              <w:rPr>
                <w:rFonts w:cs="Arial"/>
                <w:sz w:val="18"/>
                <w:szCs w:val="18"/>
              </w:rPr>
              <w:t>96.</w:t>
            </w:r>
            <w:r w:rsidRPr="00BE26C3">
              <w:rPr>
                <w:rFonts w:cs="Arial"/>
                <w:sz w:val="18"/>
                <w:szCs w:val="18"/>
              </w:rPr>
              <w:t>7</w:t>
            </w:r>
          </w:p>
        </w:tc>
        <w:tc>
          <w:tcPr>
            <w:tcW w:w="1701" w:type="dxa"/>
          </w:tcPr>
          <w:p w14:paraId="33FD6E33" w14:textId="77777777" w:rsidR="0070429C" w:rsidRDefault="0070429C" w:rsidP="00B205BA">
            <w:pPr>
              <w:spacing w:after="120" w:line="240" w:lineRule="auto"/>
              <w:ind w:right="49"/>
              <w:jc w:val="center"/>
              <w:rPr>
                <w:rFonts w:cs="Arial"/>
                <w:b/>
                <w:bCs/>
              </w:rPr>
            </w:pPr>
            <w:r w:rsidRPr="00C0673A">
              <w:rPr>
                <w:rFonts w:cs="Arial"/>
                <w:sz w:val="18"/>
                <w:szCs w:val="18"/>
              </w:rPr>
              <w:t>9</w:t>
            </w:r>
          </w:p>
        </w:tc>
        <w:tc>
          <w:tcPr>
            <w:tcW w:w="850" w:type="dxa"/>
          </w:tcPr>
          <w:p w14:paraId="1C7978B7" w14:textId="77777777" w:rsidR="0070429C" w:rsidRPr="00575786" w:rsidRDefault="0070429C" w:rsidP="00B205BA">
            <w:pPr>
              <w:spacing w:after="120" w:line="240" w:lineRule="auto"/>
              <w:ind w:right="49"/>
              <w:jc w:val="center"/>
              <w:rPr>
                <w:rFonts w:cs="Arial"/>
                <w:sz w:val="18"/>
                <w:szCs w:val="18"/>
              </w:rPr>
            </w:pPr>
            <w:r>
              <w:rPr>
                <w:rFonts w:cs="Arial"/>
                <w:sz w:val="18"/>
                <w:szCs w:val="18"/>
              </w:rPr>
              <w:t>3.3</w:t>
            </w:r>
          </w:p>
        </w:tc>
      </w:tr>
    </w:tbl>
    <w:p w14:paraId="4881CCB7" w14:textId="45B94AF6" w:rsidR="0070429C" w:rsidRPr="0076416A" w:rsidRDefault="0070429C" w:rsidP="00B205BA">
      <w:pPr>
        <w:spacing w:after="120" w:line="240" w:lineRule="auto"/>
        <w:ind w:right="49"/>
        <w:rPr>
          <w:rFonts w:cs="Arial"/>
          <w:sz w:val="16"/>
          <w:szCs w:val="16"/>
        </w:rPr>
      </w:pPr>
      <w:r w:rsidRPr="002126BF">
        <w:rPr>
          <w:rFonts w:cs="Arial"/>
          <w:sz w:val="16"/>
          <w:szCs w:val="16"/>
        </w:rPr>
        <w:t xml:space="preserve">         Fuente: </w:t>
      </w:r>
      <w:r>
        <w:rPr>
          <w:rFonts w:cs="Arial"/>
          <w:sz w:val="16"/>
          <w:szCs w:val="16"/>
        </w:rPr>
        <w:t>Sistema de Desarrollo Policial (</w:t>
      </w:r>
      <w:r w:rsidRPr="002126BF">
        <w:rPr>
          <w:rFonts w:cs="Arial"/>
          <w:sz w:val="16"/>
          <w:szCs w:val="16"/>
        </w:rPr>
        <w:t>SIDEPOL</w:t>
      </w:r>
      <w:r>
        <w:rPr>
          <w:rFonts w:cs="Arial"/>
          <w:sz w:val="16"/>
          <w:szCs w:val="16"/>
        </w:rPr>
        <w:t>).</w:t>
      </w:r>
    </w:p>
    <w:p w14:paraId="673985C1" w14:textId="707DA724" w:rsidR="0070429C" w:rsidRDefault="0070429C" w:rsidP="00B205BA">
      <w:pPr>
        <w:spacing w:after="120" w:line="240" w:lineRule="auto"/>
        <w:ind w:right="49"/>
        <w:rPr>
          <w:rFonts w:cs="Arial"/>
        </w:rPr>
      </w:pPr>
      <w:r w:rsidRPr="00CB7534">
        <w:rPr>
          <w:rFonts w:cs="Arial"/>
        </w:rPr>
        <w:t xml:space="preserve">La profesionalización policial en Hermosillo </w:t>
      </w:r>
      <w:r>
        <w:rPr>
          <w:rFonts w:cs="Arial"/>
        </w:rPr>
        <w:t>avanza</w:t>
      </w:r>
      <w:r w:rsidRPr="00CB7534">
        <w:rPr>
          <w:rFonts w:cs="Arial"/>
        </w:rPr>
        <w:t xml:space="preserve"> significativamente, con esfuerzos para mejorar tanto la formación como la capacitación especializada del personal. </w:t>
      </w:r>
      <w:r w:rsidRPr="00D35A4D">
        <w:rPr>
          <w:rFonts w:cs="Arial"/>
        </w:rPr>
        <w:t xml:space="preserve">La capacitación policial </w:t>
      </w:r>
      <w:r>
        <w:rPr>
          <w:rFonts w:cs="Arial"/>
        </w:rPr>
        <w:t>en</w:t>
      </w:r>
      <w:r w:rsidRPr="00D35A4D">
        <w:rPr>
          <w:rFonts w:cs="Arial"/>
        </w:rPr>
        <w:t xml:space="preserve"> los períodos 2018-2021 y 2021-2024 refleja un cambio significativo hacia una formación más integral</w:t>
      </w:r>
      <w:r>
        <w:rPr>
          <w:rFonts w:cs="Arial"/>
        </w:rPr>
        <w:t>,</w:t>
      </w:r>
      <w:r w:rsidRPr="00D35A4D">
        <w:rPr>
          <w:rFonts w:cs="Arial"/>
        </w:rPr>
        <w:t xml:space="preserve"> que aborda no solo las competencias operativas y técnicas, sino también las necesidades sociales y de salud del cuerpo policial. </w:t>
      </w:r>
    </w:p>
    <w:p w14:paraId="24CD2B09" w14:textId="77777777" w:rsidR="0070429C" w:rsidRDefault="0070429C" w:rsidP="00B205BA">
      <w:pPr>
        <w:spacing w:after="120" w:line="240" w:lineRule="auto"/>
        <w:ind w:right="49"/>
        <w:rPr>
          <w:rFonts w:cs="Arial"/>
        </w:rPr>
      </w:pPr>
      <w:r w:rsidRPr="00D35A4D">
        <w:rPr>
          <w:rFonts w:cs="Arial"/>
        </w:rPr>
        <w:t xml:space="preserve">El énfasis en temas como la perspectiva de género, </w:t>
      </w:r>
      <w:r>
        <w:rPr>
          <w:rFonts w:cs="Arial"/>
        </w:rPr>
        <w:t xml:space="preserve">los </w:t>
      </w:r>
      <w:r w:rsidRPr="00D35A4D">
        <w:rPr>
          <w:rFonts w:cs="Arial"/>
        </w:rPr>
        <w:t xml:space="preserve">derechos humanos, </w:t>
      </w:r>
      <w:r>
        <w:rPr>
          <w:rFonts w:cs="Arial"/>
        </w:rPr>
        <w:t xml:space="preserve">la </w:t>
      </w:r>
      <w:r w:rsidRPr="00D35A4D">
        <w:rPr>
          <w:rFonts w:cs="Arial"/>
        </w:rPr>
        <w:t xml:space="preserve">salud mental, </w:t>
      </w:r>
      <w:r>
        <w:rPr>
          <w:rFonts w:cs="Arial"/>
        </w:rPr>
        <w:t xml:space="preserve">la </w:t>
      </w:r>
      <w:r w:rsidRPr="00D35A4D">
        <w:rPr>
          <w:rFonts w:cs="Arial"/>
        </w:rPr>
        <w:t xml:space="preserve">ciberseguridad y </w:t>
      </w:r>
      <w:r>
        <w:rPr>
          <w:rFonts w:cs="Arial"/>
        </w:rPr>
        <w:t xml:space="preserve">la </w:t>
      </w:r>
      <w:r w:rsidRPr="00D35A4D">
        <w:rPr>
          <w:rFonts w:cs="Arial"/>
        </w:rPr>
        <w:t>prevención de delitos es indicativo de un esfuerzo por modernizar y humanizar la labor policial adaptándola a los retos sociales actuales. Este enfoque es crucial para mejorar la calidad de la seguridad pública y la confianza de la ciudadanía en las fuerzas de seguridad.</w:t>
      </w:r>
    </w:p>
    <w:p w14:paraId="171D44C9" w14:textId="6451C660" w:rsidR="0070429C" w:rsidRPr="00D35A4D" w:rsidRDefault="0070429C" w:rsidP="00B205BA">
      <w:pPr>
        <w:spacing w:after="120" w:line="240" w:lineRule="auto"/>
        <w:rPr>
          <w:rFonts w:cs="Arial"/>
        </w:rPr>
      </w:pPr>
      <w:r>
        <w:rPr>
          <w:rFonts w:cs="Arial"/>
        </w:rPr>
        <w:t xml:space="preserve">De acuerdo con datos de SIDEPOL, </w:t>
      </w:r>
      <w:bookmarkStart w:id="10" w:name="_Hlk183022287"/>
      <w:r>
        <w:rPr>
          <w:rFonts w:cs="Arial"/>
        </w:rPr>
        <w:t>un total de 5398 elementos fueron capacitados en el período 2021-2024, en contraste con los 3078 elementos capacitados en el período previo (2018-2021).</w:t>
      </w:r>
      <w:bookmarkEnd w:id="10"/>
      <w:r>
        <w:rPr>
          <w:rFonts w:cs="Arial"/>
        </w:rPr>
        <w:t xml:space="preserve"> El incremento de</w:t>
      </w:r>
      <w:r w:rsidRPr="00D35A4D">
        <w:rPr>
          <w:rFonts w:cs="Arial"/>
        </w:rPr>
        <w:t xml:space="preserve"> </w:t>
      </w:r>
      <w:r>
        <w:rPr>
          <w:rFonts w:cs="Arial"/>
        </w:rPr>
        <w:t xml:space="preserve">más de 75 </w:t>
      </w:r>
      <w:r w:rsidRPr="00D35A4D">
        <w:rPr>
          <w:rFonts w:cs="Arial"/>
        </w:rPr>
        <w:t>% entre los dos per</w:t>
      </w:r>
      <w:r>
        <w:rPr>
          <w:rFonts w:cs="Arial"/>
        </w:rPr>
        <w:t>í</w:t>
      </w:r>
      <w:r w:rsidRPr="00D35A4D">
        <w:rPr>
          <w:rFonts w:cs="Arial"/>
        </w:rPr>
        <w:t xml:space="preserve">odos referidos refleja </w:t>
      </w:r>
      <w:r>
        <w:rPr>
          <w:rFonts w:cs="Arial"/>
        </w:rPr>
        <w:t xml:space="preserve">el compromiso de la administración municipal </w:t>
      </w:r>
      <w:r w:rsidRPr="00D35A4D">
        <w:rPr>
          <w:rFonts w:cs="Arial"/>
        </w:rPr>
        <w:t>por mejorar la formación y profesionalización de la policía en diversas áreas.</w:t>
      </w:r>
    </w:p>
    <w:p w14:paraId="58E48EBC" w14:textId="4696464B" w:rsidR="0070429C" w:rsidRPr="00DA4EAB" w:rsidRDefault="0070429C" w:rsidP="00B205BA">
      <w:pPr>
        <w:spacing w:after="120" w:line="240" w:lineRule="auto"/>
        <w:ind w:right="49"/>
        <w:rPr>
          <w:rFonts w:cs="Arial"/>
          <w:b/>
          <w:bCs/>
        </w:rPr>
      </w:pPr>
      <w:r>
        <w:rPr>
          <w:rFonts w:cs="Arial"/>
          <w:b/>
          <w:bCs/>
        </w:rPr>
        <w:t>Violencia familiar y de género</w:t>
      </w:r>
      <w:r w:rsidR="00261A27">
        <w:rPr>
          <w:rFonts w:cs="Arial"/>
          <w:b/>
          <w:bCs/>
        </w:rPr>
        <w:t>.</w:t>
      </w:r>
    </w:p>
    <w:p w14:paraId="552E8A62" w14:textId="331A08D0" w:rsidR="0070429C" w:rsidRDefault="0070429C" w:rsidP="00B205BA">
      <w:pPr>
        <w:spacing w:after="120" w:line="240" w:lineRule="auto"/>
        <w:ind w:right="49"/>
        <w:rPr>
          <w:rFonts w:cs="Arial"/>
          <w:lang w:val="es-MX"/>
        </w:rPr>
      </w:pPr>
      <w:r w:rsidRPr="00A10E9F">
        <w:rPr>
          <w:rFonts w:cs="Arial"/>
          <w:lang w:val="es-MX"/>
        </w:rPr>
        <w:t xml:space="preserve">La violencia familiar y de género </w:t>
      </w:r>
      <w:r>
        <w:rPr>
          <w:rFonts w:cs="Arial"/>
          <w:lang w:val="es-MX"/>
        </w:rPr>
        <w:t>sigue siendo</w:t>
      </w:r>
      <w:r w:rsidRPr="00A10E9F">
        <w:rPr>
          <w:rFonts w:cs="Arial"/>
          <w:lang w:val="es-MX"/>
        </w:rPr>
        <w:t xml:space="preserve"> uno de los temas prioritarios </w:t>
      </w:r>
      <w:r>
        <w:rPr>
          <w:rFonts w:cs="Arial"/>
          <w:lang w:val="es-MX"/>
        </w:rPr>
        <w:t>de</w:t>
      </w:r>
      <w:r w:rsidRPr="00A10E9F">
        <w:rPr>
          <w:rFonts w:cs="Arial"/>
          <w:lang w:val="es-MX"/>
        </w:rPr>
        <w:t xml:space="preserve"> la ciudad, </w:t>
      </w:r>
      <w:r>
        <w:rPr>
          <w:rFonts w:cs="Arial"/>
          <w:lang w:val="es-MX"/>
        </w:rPr>
        <w:t>al grado de ser la segunda causa de</w:t>
      </w:r>
      <w:r w:rsidRPr="00A10E9F">
        <w:rPr>
          <w:rFonts w:cs="Arial"/>
          <w:lang w:val="es-MX"/>
        </w:rPr>
        <w:t xml:space="preserve"> llamadas a la línea de emergencias 911. </w:t>
      </w:r>
      <w:r>
        <w:rPr>
          <w:rFonts w:cs="Arial"/>
          <w:lang w:val="es-MX"/>
        </w:rPr>
        <w:t>Por un lado, e</w:t>
      </w:r>
      <w:r w:rsidRPr="00A10E9F">
        <w:rPr>
          <w:rFonts w:cs="Arial"/>
          <w:lang w:val="es-MX"/>
        </w:rPr>
        <w:t xml:space="preserve">ste </w:t>
      </w:r>
      <w:r>
        <w:rPr>
          <w:rFonts w:cs="Arial"/>
          <w:lang w:val="es-MX"/>
        </w:rPr>
        <w:t>dato</w:t>
      </w:r>
      <w:r w:rsidRPr="00A10E9F">
        <w:rPr>
          <w:rFonts w:cs="Arial"/>
          <w:lang w:val="es-MX"/>
        </w:rPr>
        <w:t xml:space="preserve"> refleja un cambio positivo, ya que las personas afectadas están perdiendo el miedo a denunciar, aunque</w:t>
      </w:r>
      <w:r>
        <w:rPr>
          <w:rFonts w:cs="Arial"/>
          <w:lang w:val="es-MX"/>
        </w:rPr>
        <w:t>, por el otro lado,</w:t>
      </w:r>
      <w:r w:rsidRPr="00A10E9F">
        <w:rPr>
          <w:rFonts w:cs="Arial"/>
          <w:lang w:val="es-MX"/>
        </w:rPr>
        <w:t xml:space="preserve"> aún se registra un número considerable de reportes. A pesar de esto, </w:t>
      </w:r>
      <w:r>
        <w:rPr>
          <w:rFonts w:cs="Arial"/>
          <w:lang w:val="es-MX"/>
        </w:rPr>
        <w:t>se</w:t>
      </w:r>
      <w:r w:rsidRPr="00A10E9F">
        <w:rPr>
          <w:rFonts w:cs="Arial"/>
          <w:lang w:val="es-MX"/>
        </w:rPr>
        <w:t xml:space="preserve"> ha</w:t>
      </w:r>
      <w:r>
        <w:rPr>
          <w:rFonts w:cs="Arial"/>
          <w:lang w:val="es-MX"/>
        </w:rPr>
        <w:t xml:space="preserve"> </w:t>
      </w:r>
      <w:r w:rsidRPr="00A10E9F">
        <w:rPr>
          <w:rFonts w:cs="Arial"/>
          <w:lang w:val="es-MX"/>
        </w:rPr>
        <w:t>logrado reducir</w:t>
      </w:r>
      <w:r w:rsidRPr="00864E1F">
        <w:rPr>
          <w:rFonts w:cs="Arial"/>
          <w:lang w:val="es-MX"/>
        </w:rPr>
        <w:t xml:space="preserve"> </w:t>
      </w:r>
      <w:r>
        <w:rPr>
          <w:rFonts w:cs="Arial"/>
          <w:lang w:val="es-MX"/>
        </w:rPr>
        <w:t xml:space="preserve">gradualmente </w:t>
      </w:r>
      <w:r w:rsidRPr="00A10E9F">
        <w:rPr>
          <w:rFonts w:cs="Arial"/>
          <w:lang w:val="es-MX"/>
        </w:rPr>
        <w:t>el número de incidentes reportados, lo que indica avances en la prevención y atención del problema</w:t>
      </w:r>
      <w:r>
        <w:rPr>
          <w:rFonts w:cs="Arial"/>
          <w:lang w:val="es-MX"/>
        </w:rPr>
        <w:t xml:space="preserve"> (véase gráfica 1)</w:t>
      </w:r>
      <w:r w:rsidRPr="00A10E9F">
        <w:rPr>
          <w:rFonts w:cs="Arial"/>
          <w:lang w:val="es-MX"/>
        </w:rPr>
        <w:t>.</w:t>
      </w:r>
    </w:p>
    <w:p w14:paraId="08A555D2" w14:textId="77777777" w:rsidR="00A033CE" w:rsidRDefault="00A033CE" w:rsidP="00B205BA">
      <w:pPr>
        <w:spacing w:after="120" w:line="240" w:lineRule="auto"/>
        <w:ind w:right="49"/>
        <w:rPr>
          <w:rFonts w:cs="Arial"/>
          <w:lang w:val="es-MX"/>
        </w:rPr>
      </w:pPr>
    </w:p>
    <w:p w14:paraId="4DC0E605" w14:textId="77777777" w:rsidR="00A033CE" w:rsidRDefault="00A033CE" w:rsidP="00B205BA">
      <w:pPr>
        <w:spacing w:after="120" w:line="240" w:lineRule="auto"/>
        <w:ind w:right="49"/>
        <w:rPr>
          <w:rFonts w:cs="Arial"/>
          <w:lang w:val="es-MX"/>
        </w:rPr>
      </w:pPr>
    </w:p>
    <w:p w14:paraId="05C1362E" w14:textId="77777777" w:rsidR="00A033CE" w:rsidRDefault="00A033CE" w:rsidP="00B205BA">
      <w:pPr>
        <w:spacing w:after="120" w:line="240" w:lineRule="auto"/>
        <w:ind w:right="49"/>
        <w:rPr>
          <w:rFonts w:cs="Arial"/>
          <w:lang w:val="es-MX"/>
        </w:rPr>
      </w:pPr>
    </w:p>
    <w:p w14:paraId="4C00705F" w14:textId="77777777" w:rsidR="00A033CE" w:rsidRDefault="00A033CE" w:rsidP="00B205BA">
      <w:pPr>
        <w:spacing w:after="120" w:line="240" w:lineRule="auto"/>
        <w:ind w:right="49"/>
        <w:rPr>
          <w:rFonts w:cs="Arial"/>
          <w:lang w:val="es-MX"/>
        </w:rPr>
      </w:pPr>
    </w:p>
    <w:p w14:paraId="064ED29D" w14:textId="77777777" w:rsidR="00A033CE" w:rsidRDefault="00A033CE" w:rsidP="00B205BA">
      <w:pPr>
        <w:spacing w:after="120" w:line="240" w:lineRule="auto"/>
        <w:ind w:right="49"/>
        <w:rPr>
          <w:rFonts w:cs="Arial"/>
          <w:lang w:val="es-MX"/>
        </w:rPr>
      </w:pPr>
    </w:p>
    <w:p w14:paraId="2D7E887C" w14:textId="77777777" w:rsidR="00A033CE" w:rsidRDefault="00A033CE" w:rsidP="00B205BA">
      <w:pPr>
        <w:spacing w:after="120" w:line="240" w:lineRule="auto"/>
        <w:ind w:right="49"/>
        <w:rPr>
          <w:rFonts w:cs="Arial"/>
          <w:lang w:val="es-MX"/>
        </w:rPr>
      </w:pPr>
    </w:p>
    <w:p w14:paraId="23A8B137" w14:textId="77777777" w:rsidR="0086730D" w:rsidRDefault="0086730D" w:rsidP="00B205BA">
      <w:pPr>
        <w:spacing w:after="120" w:line="240" w:lineRule="auto"/>
        <w:ind w:right="49"/>
        <w:rPr>
          <w:rFonts w:cs="Arial"/>
          <w:lang w:val="es-MX"/>
        </w:rPr>
      </w:pPr>
    </w:p>
    <w:p w14:paraId="2B76C870" w14:textId="77777777" w:rsidR="0086730D" w:rsidRDefault="0086730D" w:rsidP="00B205BA">
      <w:pPr>
        <w:spacing w:after="120" w:line="240" w:lineRule="auto"/>
        <w:ind w:right="49"/>
        <w:rPr>
          <w:rFonts w:cs="Arial"/>
          <w:lang w:val="es-MX"/>
        </w:rPr>
      </w:pPr>
    </w:p>
    <w:p w14:paraId="6312E347" w14:textId="77777777" w:rsidR="0086730D" w:rsidRDefault="0086730D" w:rsidP="00B205BA">
      <w:pPr>
        <w:spacing w:after="120" w:line="240" w:lineRule="auto"/>
        <w:ind w:right="49"/>
        <w:rPr>
          <w:rFonts w:cs="Arial"/>
          <w:lang w:val="es-MX"/>
        </w:rPr>
      </w:pPr>
    </w:p>
    <w:p w14:paraId="375BBA6B" w14:textId="77777777" w:rsidR="00A033CE" w:rsidRPr="00261A27" w:rsidRDefault="00A033CE" w:rsidP="00B205BA">
      <w:pPr>
        <w:spacing w:after="120" w:line="240" w:lineRule="auto"/>
        <w:ind w:right="49"/>
        <w:rPr>
          <w:rFonts w:cs="Arial"/>
          <w:lang w:val="es-MX"/>
        </w:rPr>
      </w:pPr>
    </w:p>
    <w:p w14:paraId="757FBFF8" w14:textId="77777777" w:rsidR="0070429C" w:rsidRDefault="0070429C" w:rsidP="00B205BA">
      <w:pPr>
        <w:spacing w:after="120" w:line="240" w:lineRule="auto"/>
        <w:ind w:right="49"/>
        <w:jc w:val="center"/>
        <w:rPr>
          <w:rFonts w:cs="Arial"/>
          <w:b/>
          <w:bCs/>
          <w:sz w:val="18"/>
          <w:szCs w:val="18"/>
          <w:lang w:val="es-MX"/>
        </w:rPr>
      </w:pPr>
      <w:r>
        <w:rPr>
          <w:rFonts w:cs="Arial"/>
          <w:b/>
          <w:bCs/>
          <w:sz w:val="18"/>
          <w:szCs w:val="18"/>
          <w:lang w:val="es-MX"/>
        </w:rPr>
        <w:t xml:space="preserve">GRÁFICA 1. </w:t>
      </w:r>
      <w:r w:rsidRPr="00CA42EF">
        <w:rPr>
          <w:rFonts w:cs="Arial"/>
          <w:b/>
          <w:bCs/>
          <w:sz w:val="18"/>
          <w:szCs w:val="18"/>
          <w:lang w:val="es-MX"/>
        </w:rPr>
        <w:t>COMPARATIV</w:t>
      </w:r>
      <w:r>
        <w:rPr>
          <w:rFonts w:cs="Arial"/>
          <w:b/>
          <w:bCs/>
          <w:sz w:val="18"/>
          <w:szCs w:val="18"/>
          <w:lang w:val="es-MX"/>
        </w:rPr>
        <w:t>O DE INFORME POLICIAL HOMOLOGADO (IPH)</w:t>
      </w:r>
    </w:p>
    <w:p w14:paraId="40F47C4A" w14:textId="363BB43E" w:rsidR="0070429C" w:rsidRPr="00CA42EF" w:rsidRDefault="0070429C" w:rsidP="00B205BA">
      <w:pPr>
        <w:spacing w:after="120" w:line="240" w:lineRule="auto"/>
        <w:ind w:right="49"/>
        <w:jc w:val="center"/>
        <w:rPr>
          <w:rFonts w:cs="Arial"/>
          <w:sz w:val="18"/>
          <w:szCs w:val="18"/>
          <w:lang w:val="es-MX"/>
        </w:rPr>
      </w:pPr>
      <w:r w:rsidRPr="00CA42EF">
        <w:rPr>
          <w:rFonts w:cs="Arial"/>
          <w:b/>
          <w:bCs/>
          <w:sz w:val="18"/>
          <w:szCs w:val="18"/>
          <w:lang w:val="es-MX"/>
        </w:rPr>
        <w:t xml:space="preserve"> VIOLENCIA FAMILIAR 2021 </w:t>
      </w:r>
      <w:r w:rsidR="0086730D">
        <w:rPr>
          <w:rFonts w:cs="Arial"/>
          <w:b/>
          <w:bCs/>
          <w:sz w:val="18"/>
          <w:szCs w:val="18"/>
          <w:lang w:val="es-MX"/>
        </w:rPr>
        <w:t>–</w:t>
      </w:r>
      <w:r w:rsidRPr="00CA42EF">
        <w:rPr>
          <w:rFonts w:cs="Arial"/>
          <w:b/>
          <w:bCs/>
          <w:sz w:val="18"/>
          <w:szCs w:val="18"/>
          <w:lang w:val="es-MX"/>
        </w:rPr>
        <w:t xml:space="preserve"> 2024</w:t>
      </w:r>
      <w:r w:rsidR="0086730D">
        <w:rPr>
          <w:rFonts w:cs="Arial"/>
          <w:b/>
          <w:bCs/>
          <w:sz w:val="18"/>
          <w:szCs w:val="18"/>
          <w:lang w:val="es-MX"/>
        </w:rPr>
        <w:t>.</w:t>
      </w:r>
    </w:p>
    <w:p w14:paraId="7E50EBA2" w14:textId="1BFD5A7E" w:rsidR="0070429C" w:rsidRDefault="00D676B0" w:rsidP="00B205BA">
      <w:pPr>
        <w:spacing w:after="120" w:line="240" w:lineRule="auto"/>
        <w:ind w:right="49"/>
        <w:jc w:val="center"/>
        <w:rPr>
          <w:rFonts w:cs="Arial"/>
          <w:lang w:val="es-MX"/>
        </w:rPr>
      </w:pPr>
      <w:r>
        <w:rPr>
          <w:noProof/>
        </w:rPr>
        <w:drawing>
          <wp:inline distT="0" distB="0" distL="0" distR="0" wp14:anchorId="6185424D" wp14:editId="2531735A">
            <wp:extent cx="5612130" cy="3465830"/>
            <wp:effectExtent l="0" t="0" r="7620" b="1270"/>
            <wp:docPr id="2043787784" name="Gráfico 1">
              <a:extLst xmlns:a="http://schemas.openxmlformats.org/drawingml/2006/main">
                <a:ext uri="{FF2B5EF4-FFF2-40B4-BE49-F238E27FC236}">
                  <a16:creationId xmlns:a16="http://schemas.microsoft.com/office/drawing/2014/main" id="{017DE105-AA1E-8D93-A682-8EFB34D19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6CB45F" w14:textId="014A4C5F" w:rsidR="0070429C" w:rsidRPr="002126BF" w:rsidRDefault="0070429C" w:rsidP="00B205BA">
      <w:pPr>
        <w:spacing w:after="120" w:line="240" w:lineRule="auto"/>
        <w:ind w:right="49"/>
        <w:rPr>
          <w:rFonts w:cs="Arial"/>
          <w:sz w:val="16"/>
          <w:szCs w:val="16"/>
          <w:lang w:val="es-MX"/>
        </w:rPr>
      </w:pPr>
      <w:r w:rsidRPr="002126BF">
        <w:rPr>
          <w:rFonts w:cs="Arial"/>
          <w:sz w:val="16"/>
          <w:szCs w:val="16"/>
          <w:lang w:val="es-MX"/>
        </w:rPr>
        <w:t xml:space="preserve">Fuente: </w:t>
      </w:r>
      <w:r w:rsidRPr="00D41D61">
        <w:rPr>
          <w:rFonts w:cs="Arial"/>
          <w:sz w:val="16"/>
          <w:szCs w:val="16"/>
          <w:lang w:val="es-MX"/>
        </w:rPr>
        <w:t>Dirección General de Seguridad Pública Municipal (DGSPM)</w:t>
      </w:r>
      <w:r>
        <w:rPr>
          <w:rFonts w:cs="Arial"/>
          <w:sz w:val="16"/>
          <w:szCs w:val="16"/>
          <w:lang w:val="es-MX"/>
        </w:rPr>
        <w:t>.</w:t>
      </w:r>
    </w:p>
    <w:p w14:paraId="42504035" w14:textId="77777777" w:rsidR="0070429C" w:rsidRDefault="0070429C" w:rsidP="00B205BA">
      <w:pPr>
        <w:spacing w:after="120" w:line="240" w:lineRule="auto"/>
        <w:ind w:right="49"/>
        <w:rPr>
          <w:rFonts w:cs="Arial"/>
          <w:lang w:val="es-MX"/>
        </w:rPr>
      </w:pPr>
    </w:p>
    <w:p w14:paraId="170E1FDA" w14:textId="22651358" w:rsidR="0070429C" w:rsidRDefault="0070429C" w:rsidP="00B205BA">
      <w:pPr>
        <w:spacing w:after="120" w:line="240" w:lineRule="auto"/>
        <w:ind w:right="49"/>
        <w:rPr>
          <w:rFonts w:cs="Arial"/>
          <w:lang w:val="es-MX"/>
        </w:rPr>
      </w:pPr>
      <w:r w:rsidRPr="00A10E9F">
        <w:rPr>
          <w:rFonts w:cs="Arial"/>
          <w:lang w:val="es-MX"/>
        </w:rPr>
        <w:t>En 2022, la Policía Preventiva y Tránsito Municipal de Hermosillo dio un paso importante en la lucha contra la violencia familiar y de género</w:t>
      </w:r>
      <w:r>
        <w:rPr>
          <w:rFonts w:cs="Arial"/>
          <w:lang w:val="es-MX"/>
        </w:rPr>
        <w:t>,</w:t>
      </w:r>
      <w:r w:rsidRPr="00A10E9F">
        <w:rPr>
          <w:rFonts w:cs="Arial"/>
          <w:lang w:val="es-MX"/>
        </w:rPr>
        <w:t xml:space="preserve"> con la creación de la Unidad de Género</w:t>
      </w:r>
      <w:r>
        <w:rPr>
          <w:rFonts w:cs="Arial"/>
          <w:lang w:val="es-MX"/>
        </w:rPr>
        <w:t>, cuyo</w:t>
      </w:r>
      <w:r w:rsidRPr="00A10E9F">
        <w:rPr>
          <w:rFonts w:cs="Arial"/>
          <w:lang w:val="es-MX"/>
        </w:rPr>
        <w:t xml:space="preserve"> objetivo </w:t>
      </w:r>
      <w:r>
        <w:rPr>
          <w:rFonts w:cs="Arial"/>
          <w:lang w:val="es-MX"/>
        </w:rPr>
        <w:t xml:space="preserve">es </w:t>
      </w:r>
      <w:r w:rsidRPr="00A10E9F">
        <w:rPr>
          <w:rFonts w:cs="Arial"/>
          <w:lang w:val="es-MX"/>
        </w:rPr>
        <w:t xml:space="preserve">fortalecer la atención a las víctimas de violencia y promover la prevención a través de programas específicos, como el programa "Rompe el </w:t>
      </w:r>
      <w:r>
        <w:rPr>
          <w:rFonts w:cs="Arial"/>
          <w:lang w:val="es-MX"/>
        </w:rPr>
        <w:t>s</w:t>
      </w:r>
      <w:r w:rsidRPr="00A10E9F">
        <w:rPr>
          <w:rFonts w:cs="Arial"/>
          <w:lang w:val="es-MX"/>
        </w:rPr>
        <w:t xml:space="preserve">ilencio". </w:t>
      </w:r>
    </w:p>
    <w:p w14:paraId="5E0ADB1B" w14:textId="1AA3DDD1" w:rsidR="0070429C" w:rsidRPr="00A10E9F" w:rsidRDefault="0070429C" w:rsidP="00B205BA">
      <w:pPr>
        <w:spacing w:after="120" w:line="240" w:lineRule="auto"/>
        <w:ind w:right="49"/>
        <w:rPr>
          <w:rFonts w:cs="Arial"/>
          <w:lang w:val="es-MX"/>
        </w:rPr>
      </w:pPr>
      <w:r w:rsidRPr="00A10E9F">
        <w:rPr>
          <w:rFonts w:cs="Arial"/>
          <w:lang w:val="es-MX"/>
        </w:rPr>
        <w:t>Este programa</w:t>
      </w:r>
      <w:r>
        <w:rPr>
          <w:rFonts w:cs="Arial"/>
          <w:lang w:val="es-MX"/>
        </w:rPr>
        <w:t xml:space="preserve"> </w:t>
      </w:r>
      <w:r w:rsidRPr="00A10E9F">
        <w:rPr>
          <w:rFonts w:cs="Arial"/>
          <w:lang w:val="es-MX"/>
        </w:rPr>
        <w:t>se implementa en colaboración con el DIF Hermosillo y la Dirección General de Atención a la Mujer</w:t>
      </w:r>
      <w:r>
        <w:rPr>
          <w:rFonts w:cs="Arial"/>
          <w:lang w:val="es-MX"/>
        </w:rPr>
        <w:t xml:space="preserve">, y </w:t>
      </w:r>
      <w:r w:rsidRPr="00A10E9F">
        <w:rPr>
          <w:rFonts w:cs="Arial"/>
          <w:lang w:val="es-MX"/>
        </w:rPr>
        <w:t xml:space="preserve">busca prevenir y atender la violencia familiar brindando apoyo a las personas, especialmente mujeres, que viven en situaciones de violencia, </w:t>
      </w:r>
      <w:r>
        <w:rPr>
          <w:rFonts w:cs="Arial"/>
          <w:lang w:val="es-MX"/>
        </w:rPr>
        <w:t>facilitándoles la</w:t>
      </w:r>
      <w:r w:rsidRPr="00A10E9F">
        <w:rPr>
          <w:rFonts w:cs="Arial"/>
          <w:lang w:val="es-MX"/>
        </w:rPr>
        <w:t xml:space="preserve"> </w:t>
      </w:r>
      <w:r>
        <w:rPr>
          <w:rFonts w:cs="Arial"/>
          <w:lang w:val="es-MX"/>
        </w:rPr>
        <w:t>denuncia</w:t>
      </w:r>
      <w:r w:rsidRPr="00A10E9F">
        <w:rPr>
          <w:rFonts w:cs="Arial"/>
          <w:lang w:val="es-MX"/>
        </w:rPr>
        <w:t xml:space="preserve"> sin temor a sus agresores.</w:t>
      </w:r>
    </w:p>
    <w:p w14:paraId="31145AA2" w14:textId="08D0D2A8" w:rsidR="0070429C" w:rsidRPr="00A10E9F" w:rsidRDefault="0070429C" w:rsidP="00B205BA">
      <w:pPr>
        <w:spacing w:after="120" w:line="240" w:lineRule="auto"/>
        <w:ind w:right="49"/>
        <w:rPr>
          <w:rFonts w:cs="Arial"/>
          <w:lang w:val="es-MX"/>
        </w:rPr>
      </w:pPr>
      <w:r w:rsidRPr="00A10E9F">
        <w:rPr>
          <w:rFonts w:cs="Arial"/>
          <w:lang w:val="es-MX"/>
        </w:rPr>
        <w:t xml:space="preserve">El Grupo Especializado en Atención de Violencia Familiar (GEAVI) ha sido otro pilar importante de esta estrategia. </w:t>
      </w:r>
      <w:r>
        <w:rPr>
          <w:rFonts w:cs="Arial"/>
          <w:lang w:val="es-MX"/>
        </w:rPr>
        <w:t>Inicialmente, e</w:t>
      </w:r>
      <w:r w:rsidRPr="00A10E9F">
        <w:rPr>
          <w:rFonts w:cs="Arial"/>
          <w:lang w:val="es-MX"/>
        </w:rPr>
        <w:t>ste grupo se encargaba de la atención de violencia familiar con</w:t>
      </w:r>
      <w:r>
        <w:rPr>
          <w:rFonts w:cs="Arial"/>
          <w:lang w:val="es-MX"/>
        </w:rPr>
        <w:t xml:space="preserve"> un equipo de</w:t>
      </w:r>
      <w:r w:rsidRPr="00A10E9F">
        <w:rPr>
          <w:rFonts w:cs="Arial"/>
          <w:lang w:val="es-MX"/>
        </w:rPr>
        <w:t xml:space="preserve"> 18 policías y 3 unidades eléctricas. Actualmente, </w:t>
      </w:r>
      <w:r>
        <w:rPr>
          <w:rFonts w:cs="Arial"/>
          <w:lang w:val="es-MX"/>
        </w:rPr>
        <w:t xml:space="preserve">el equipo se </w:t>
      </w:r>
      <w:r w:rsidRPr="00A10E9F">
        <w:rPr>
          <w:rFonts w:cs="Arial"/>
          <w:lang w:val="es-MX"/>
        </w:rPr>
        <w:t xml:space="preserve">ha </w:t>
      </w:r>
      <w:r>
        <w:rPr>
          <w:rFonts w:cs="Arial"/>
          <w:lang w:val="es-MX"/>
        </w:rPr>
        <w:t>incrementado</w:t>
      </w:r>
      <w:r w:rsidRPr="00A10E9F">
        <w:rPr>
          <w:rFonts w:cs="Arial"/>
          <w:lang w:val="es-MX"/>
        </w:rPr>
        <w:t xml:space="preserve"> a 30 policías</w:t>
      </w:r>
      <w:r>
        <w:rPr>
          <w:rFonts w:cs="Arial"/>
          <w:lang w:val="es-MX"/>
        </w:rPr>
        <w:t xml:space="preserve"> y</w:t>
      </w:r>
      <w:r w:rsidRPr="00A10E9F">
        <w:rPr>
          <w:rFonts w:cs="Arial"/>
          <w:lang w:val="es-MX"/>
        </w:rPr>
        <w:t xml:space="preserve"> un parque vehicular de 6 unidades eléctricas y 2 de gasolina</w:t>
      </w:r>
      <w:r>
        <w:rPr>
          <w:rFonts w:cs="Arial"/>
          <w:lang w:val="es-MX"/>
        </w:rPr>
        <w:t>. Esto</w:t>
      </w:r>
      <w:r w:rsidRPr="00A10E9F">
        <w:rPr>
          <w:rFonts w:cs="Arial"/>
          <w:lang w:val="es-MX"/>
        </w:rPr>
        <w:t xml:space="preserve"> les permite mejorar la cobertura y efectividad en sus intervenciones. Además, el grupo se involucra activamente en programas preventivos con perspectiva de género, </w:t>
      </w:r>
      <w:r>
        <w:rPr>
          <w:rFonts w:cs="Arial"/>
          <w:lang w:val="es-MX"/>
        </w:rPr>
        <w:t xml:space="preserve">en </w:t>
      </w:r>
      <w:r w:rsidRPr="00A10E9F">
        <w:rPr>
          <w:rFonts w:cs="Arial"/>
          <w:lang w:val="es-MX"/>
        </w:rPr>
        <w:t xml:space="preserve">el seguimiento de órdenes de protección a víctimas y </w:t>
      </w:r>
      <w:r>
        <w:rPr>
          <w:rFonts w:cs="Arial"/>
          <w:lang w:val="es-MX"/>
        </w:rPr>
        <w:t>participando</w:t>
      </w:r>
      <w:r w:rsidRPr="00A10E9F">
        <w:rPr>
          <w:rFonts w:cs="Arial"/>
          <w:lang w:val="es-MX"/>
        </w:rPr>
        <w:t xml:space="preserve"> en diversos operativos preventivos en la comunidad.</w:t>
      </w:r>
    </w:p>
    <w:p w14:paraId="2EFBEB8B" w14:textId="1B8157A8" w:rsidR="0070429C" w:rsidRDefault="0070429C" w:rsidP="00B205BA">
      <w:pPr>
        <w:spacing w:after="120" w:line="240" w:lineRule="auto"/>
        <w:ind w:right="49"/>
        <w:rPr>
          <w:rFonts w:cs="Arial"/>
          <w:lang w:val="es-MX"/>
        </w:rPr>
      </w:pPr>
      <w:r>
        <w:rPr>
          <w:rFonts w:cs="Arial"/>
          <w:lang w:val="es-MX"/>
        </w:rPr>
        <w:t>S</w:t>
      </w:r>
      <w:r w:rsidRPr="00A10E9F">
        <w:rPr>
          <w:rFonts w:cs="Arial"/>
          <w:lang w:val="es-MX"/>
        </w:rPr>
        <w:t xml:space="preserve">e destaca que el grupo </w:t>
      </w:r>
      <w:r>
        <w:rPr>
          <w:rFonts w:cs="Arial"/>
          <w:lang w:val="es-MX"/>
        </w:rPr>
        <w:t>realizó en el período 2021-2024</w:t>
      </w:r>
      <w:r w:rsidRPr="00A10E9F">
        <w:rPr>
          <w:rFonts w:cs="Arial"/>
          <w:lang w:val="es-MX"/>
        </w:rPr>
        <w:t xml:space="preserve"> </w:t>
      </w:r>
      <w:r>
        <w:rPr>
          <w:rFonts w:cs="Arial"/>
          <w:lang w:val="es-MX"/>
        </w:rPr>
        <w:t>más</w:t>
      </w:r>
      <w:r w:rsidRPr="00A10E9F">
        <w:rPr>
          <w:rFonts w:cs="Arial"/>
          <w:lang w:val="es-MX"/>
        </w:rPr>
        <w:t xml:space="preserve"> de </w:t>
      </w:r>
      <w:r>
        <w:rPr>
          <w:rFonts w:cs="Arial"/>
          <w:lang w:val="es-MX"/>
        </w:rPr>
        <w:t>44 500</w:t>
      </w:r>
      <w:r w:rsidRPr="00A10E9F">
        <w:rPr>
          <w:rFonts w:cs="Arial"/>
          <w:lang w:val="es-MX"/>
        </w:rPr>
        <w:t xml:space="preserve"> visitas domiciliarias</w:t>
      </w:r>
      <w:r>
        <w:rPr>
          <w:rFonts w:cs="Arial"/>
          <w:lang w:val="es-MX"/>
        </w:rPr>
        <w:t xml:space="preserve"> en</w:t>
      </w:r>
      <w:r w:rsidRPr="00A10E9F">
        <w:rPr>
          <w:rFonts w:cs="Arial"/>
          <w:lang w:val="es-MX"/>
        </w:rPr>
        <w:t xml:space="preserve"> apoyo directo en los hogares de las víctimas. También </w:t>
      </w:r>
      <w:r>
        <w:rPr>
          <w:rFonts w:cs="Arial"/>
          <w:lang w:val="es-MX"/>
        </w:rPr>
        <w:t>se encargó de mantener</w:t>
      </w:r>
      <w:r w:rsidRPr="00A10E9F">
        <w:rPr>
          <w:rFonts w:cs="Arial"/>
          <w:lang w:val="es-MX"/>
        </w:rPr>
        <w:t xml:space="preserve"> </w:t>
      </w:r>
      <w:r>
        <w:rPr>
          <w:rFonts w:cs="Arial"/>
          <w:lang w:val="es-MX"/>
        </w:rPr>
        <w:t>más de 30 500</w:t>
      </w:r>
      <w:r w:rsidRPr="00A10E9F">
        <w:rPr>
          <w:rFonts w:cs="Arial"/>
          <w:lang w:val="es-MX"/>
        </w:rPr>
        <w:t xml:space="preserve"> presencias en las colonias, acercando los servicios de atención a las zonas más necesitadas. </w:t>
      </w:r>
    </w:p>
    <w:p w14:paraId="1498A7CB" w14:textId="4C0C971E" w:rsidR="0070429C" w:rsidRDefault="0070429C" w:rsidP="00B205BA">
      <w:pPr>
        <w:spacing w:after="120" w:line="240" w:lineRule="auto"/>
        <w:ind w:right="49"/>
        <w:rPr>
          <w:rFonts w:cs="Arial"/>
          <w:lang w:val="es-MX"/>
        </w:rPr>
      </w:pPr>
      <w:r>
        <w:rPr>
          <w:rFonts w:cs="Arial"/>
          <w:lang w:val="es-MX"/>
        </w:rPr>
        <w:lastRenderedPageBreak/>
        <w:t>Adicionalmente, se</w:t>
      </w:r>
      <w:r w:rsidRPr="00A10E9F">
        <w:rPr>
          <w:rFonts w:cs="Arial"/>
          <w:lang w:val="es-MX"/>
        </w:rPr>
        <w:t xml:space="preserve"> han gestionado </w:t>
      </w:r>
      <w:r>
        <w:rPr>
          <w:rFonts w:cs="Arial"/>
          <w:lang w:val="es-MX"/>
        </w:rPr>
        <w:t>más de 8200</w:t>
      </w:r>
      <w:r w:rsidRPr="00A10E9F">
        <w:rPr>
          <w:rFonts w:cs="Arial"/>
          <w:lang w:val="es-MX"/>
        </w:rPr>
        <w:t xml:space="preserve"> órdenes de protección para salvaguardar la seguridad de personas en riesgo</w:t>
      </w:r>
      <w:r>
        <w:rPr>
          <w:rFonts w:cs="Arial"/>
          <w:lang w:val="es-MX"/>
        </w:rPr>
        <w:t>, y</w:t>
      </w:r>
      <w:r w:rsidRPr="00A10E9F">
        <w:rPr>
          <w:rFonts w:cs="Arial"/>
          <w:lang w:val="es-MX"/>
        </w:rPr>
        <w:t xml:space="preserve"> se ha brindado atención a </w:t>
      </w:r>
      <w:r>
        <w:rPr>
          <w:rFonts w:cs="Arial"/>
          <w:lang w:val="es-MX"/>
        </w:rPr>
        <w:t>alrededor de 74 000</w:t>
      </w:r>
      <w:r w:rsidRPr="00A10E9F">
        <w:rPr>
          <w:rFonts w:cs="Arial"/>
          <w:lang w:val="es-MX"/>
        </w:rPr>
        <w:t xml:space="preserve"> mujeres, </w:t>
      </w:r>
      <w:r>
        <w:rPr>
          <w:rFonts w:cs="Arial"/>
          <w:lang w:val="es-MX"/>
        </w:rPr>
        <w:t>1200</w:t>
      </w:r>
      <w:r w:rsidRPr="00A10E9F">
        <w:rPr>
          <w:rFonts w:cs="Arial"/>
          <w:lang w:val="es-MX"/>
        </w:rPr>
        <w:t xml:space="preserve"> niños y </w:t>
      </w:r>
      <w:r>
        <w:rPr>
          <w:rFonts w:cs="Arial"/>
          <w:lang w:val="es-MX"/>
        </w:rPr>
        <w:t>4800</w:t>
      </w:r>
      <w:r w:rsidRPr="00A10E9F">
        <w:rPr>
          <w:rFonts w:cs="Arial"/>
          <w:lang w:val="es-MX"/>
        </w:rPr>
        <w:t xml:space="preserve"> hombres involucrados en situaciones de violencia. </w:t>
      </w:r>
      <w:r>
        <w:rPr>
          <w:rFonts w:cs="Arial"/>
          <w:lang w:val="es-MX"/>
        </w:rPr>
        <w:t>Aunado a ello</w:t>
      </w:r>
      <w:r w:rsidRPr="00A10E9F">
        <w:rPr>
          <w:rFonts w:cs="Arial"/>
          <w:lang w:val="es-MX"/>
        </w:rPr>
        <w:t xml:space="preserve">, se han realizado </w:t>
      </w:r>
      <w:r>
        <w:rPr>
          <w:rFonts w:cs="Arial"/>
          <w:lang w:val="es-MX"/>
        </w:rPr>
        <w:t>más de 640</w:t>
      </w:r>
      <w:r w:rsidRPr="00A10E9F">
        <w:rPr>
          <w:rFonts w:cs="Arial"/>
          <w:lang w:val="es-MX"/>
        </w:rPr>
        <w:t xml:space="preserve"> traslados de víctimas a refugios y servicios de atención, </w:t>
      </w:r>
      <w:r>
        <w:rPr>
          <w:rFonts w:cs="Arial"/>
          <w:lang w:val="es-MX"/>
        </w:rPr>
        <w:t>así como más de 500</w:t>
      </w:r>
      <w:r w:rsidRPr="00A10E9F">
        <w:rPr>
          <w:rFonts w:cs="Arial"/>
          <w:lang w:val="es-MX"/>
        </w:rPr>
        <w:t xml:space="preserve"> intervenciones a través del programa "Código SALVA", diseñado para ofrecer protección inmediata a mujeres en situaciones de riesgo.</w:t>
      </w:r>
    </w:p>
    <w:p w14:paraId="324D0A04" w14:textId="77777777" w:rsidR="00A033CE" w:rsidRPr="0076416A" w:rsidRDefault="00A033CE" w:rsidP="00B205BA">
      <w:pPr>
        <w:spacing w:after="120" w:line="240" w:lineRule="auto"/>
        <w:ind w:right="49"/>
        <w:rPr>
          <w:rFonts w:cs="Arial"/>
          <w:lang w:val="es-MX"/>
        </w:rPr>
      </w:pPr>
    </w:p>
    <w:p w14:paraId="3F69E01A" w14:textId="01D7B93C" w:rsidR="0070429C" w:rsidRPr="00CA42EF" w:rsidRDefault="0070429C" w:rsidP="00B205BA">
      <w:pPr>
        <w:spacing w:after="120" w:line="240" w:lineRule="auto"/>
        <w:ind w:right="49"/>
        <w:jc w:val="center"/>
        <w:rPr>
          <w:rFonts w:cs="Arial"/>
          <w:sz w:val="18"/>
          <w:szCs w:val="18"/>
          <w:lang w:val="es-MX"/>
        </w:rPr>
      </w:pPr>
      <w:r>
        <w:rPr>
          <w:rFonts w:cs="Arial"/>
          <w:b/>
          <w:bCs/>
          <w:sz w:val="18"/>
          <w:szCs w:val="18"/>
          <w:lang w:val="es-MX"/>
        </w:rPr>
        <w:t xml:space="preserve">GRÁFICA 2. </w:t>
      </w:r>
      <w:r w:rsidRPr="00CA42EF">
        <w:rPr>
          <w:rFonts w:cs="Arial"/>
          <w:b/>
          <w:bCs/>
          <w:sz w:val="18"/>
          <w:szCs w:val="18"/>
          <w:lang w:val="es-MX"/>
        </w:rPr>
        <w:t>COMPARATIV</w:t>
      </w:r>
      <w:r>
        <w:rPr>
          <w:rFonts w:cs="Arial"/>
          <w:b/>
          <w:bCs/>
          <w:sz w:val="18"/>
          <w:szCs w:val="18"/>
          <w:lang w:val="es-MX"/>
        </w:rPr>
        <w:t xml:space="preserve">O DE DETENIDOS POR </w:t>
      </w:r>
      <w:r w:rsidRPr="00CA42EF">
        <w:rPr>
          <w:rFonts w:cs="Arial"/>
          <w:b/>
          <w:bCs/>
          <w:sz w:val="18"/>
          <w:szCs w:val="18"/>
          <w:lang w:val="es-MX"/>
        </w:rPr>
        <w:t xml:space="preserve">VIOLENCIA FAMILIAR </w:t>
      </w:r>
      <w:r>
        <w:rPr>
          <w:rFonts w:cs="Arial"/>
          <w:b/>
          <w:bCs/>
          <w:sz w:val="18"/>
          <w:szCs w:val="18"/>
          <w:lang w:val="es-MX"/>
        </w:rPr>
        <w:t>(</w:t>
      </w:r>
      <w:r w:rsidRPr="00CA42EF">
        <w:rPr>
          <w:rFonts w:cs="Arial"/>
          <w:b/>
          <w:bCs/>
          <w:sz w:val="18"/>
          <w:szCs w:val="18"/>
          <w:lang w:val="es-MX"/>
        </w:rPr>
        <w:t>2021-2024</w:t>
      </w:r>
      <w:r>
        <w:rPr>
          <w:rFonts w:cs="Arial"/>
          <w:b/>
          <w:bCs/>
          <w:sz w:val="18"/>
          <w:szCs w:val="18"/>
          <w:lang w:val="es-MX"/>
        </w:rPr>
        <w:t>)</w:t>
      </w:r>
      <w:r w:rsidR="0086730D">
        <w:rPr>
          <w:rFonts w:cs="Arial"/>
          <w:b/>
          <w:bCs/>
          <w:sz w:val="18"/>
          <w:szCs w:val="18"/>
          <w:lang w:val="es-MX"/>
        </w:rPr>
        <w:t>.</w:t>
      </w:r>
    </w:p>
    <w:p w14:paraId="5BC7189D" w14:textId="7237465B" w:rsidR="0070429C" w:rsidRDefault="00D676B0" w:rsidP="00B205BA">
      <w:pPr>
        <w:spacing w:after="120" w:line="240" w:lineRule="auto"/>
        <w:ind w:right="49"/>
        <w:jc w:val="center"/>
        <w:rPr>
          <w:rFonts w:cs="Arial"/>
          <w:lang w:val="es-MX"/>
        </w:rPr>
      </w:pPr>
      <w:r>
        <w:rPr>
          <w:noProof/>
        </w:rPr>
        <w:drawing>
          <wp:inline distT="0" distB="0" distL="0" distR="0" wp14:anchorId="4D930F3D" wp14:editId="315EC44D">
            <wp:extent cx="5562600" cy="2914650"/>
            <wp:effectExtent l="0" t="0" r="0" b="0"/>
            <wp:docPr id="527287104" name="Gráfico 1">
              <a:extLst xmlns:a="http://schemas.openxmlformats.org/drawingml/2006/main">
                <a:ext uri="{FF2B5EF4-FFF2-40B4-BE49-F238E27FC236}">
                  <a16:creationId xmlns:a16="http://schemas.microsoft.com/office/drawing/2014/main" id="{92684AA2-A43E-F8E7-B14B-A41F56B6C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24FDFB" w14:textId="77E29CD7" w:rsidR="0070429C" w:rsidRPr="00711FD9" w:rsidRDefault="0070429C" w:rsidP="00B205BA">
      <w:pPr>
        <w:spacing w:after="120" w:line="240" w:lineRule="auto"/>
        <w:ind w:right="49"/>
        <w:rPr>
          <w:rFonts w:cs="Arial"/>
          <w:sz w:val="18"/>
          <w:szCs w:val="18"/>
          <w:lang w:val="es-MX"/>
        </w:rPr>
      </w:pPr>
      <w:r>
        <w:rPr>
          <w:rFonts w:cs="Arial"/>
          <w:sz w:val="18"/>
          <w:szCs w:val="18"/>
          <w:lang w:val="es-MX"/>
        </w:rPr>
        <w:t xml:space="preserve">           </w:t>
      </w:r>
      <w:r w:rsidRPr="002126BF">
        <w:rPr>
          <w:rFonts w:cs="Arial"/>
          <w:sz w:val="16"/>
          <w:szCs w:val="16"/>
          <w:lang w:val="es-MX"/>
        </w:rPr>
        <w:t xml:space="preserve">            Fuente: </w:t>
      </w:r>
      <w:r w:rsidRPr="00DC6ADD">
        <w:rPr>
          <w:rFonts w:cs="Arial"/>
          <w:sz w:val="16"/>
          <w:szCs w:val="16"/>
          <w:lang w:val="es-MX"/>
        </w:rPr>
        <w:t>Dirección General de Seguridad Pública Municipal (DGSPM)</w:t>
      </w:r>
      <w:r>
        <w:rPr>
          <w:rFonts w:cs="Arial"/>
          <w:sz w:val="16"/>
          <w:szCs w:val="16"/>
          <w:lang w:val="es-MX"/>
        </w:rPr>
        <w:t>.</w:t>
      </w:r>
    </w:p>
    <w:p w14:paraId="32C96D61" w14:textId="4BA7DACB" w:rsidR="0070429C" w:rsidRPr="00A10E9F" w:rsidRDefault="0070429C" w:rsidP="00B205BA">
      <w:pPr>
        <w:spacing w:after="120" w:line="240" w:lineRule="auto"/>
        <w:ind w:right="49"/>
        <w:rPr>
          <w:rFonts w:cs="Arial"/>
          <w:lang w:val="es-MX"/>
        </w:rPr>
      </w:pPr>
      <w:r>
        <w:rPr>
          <w:rFonts w:cs="Arial"/>
          <w:lang w:val="es-MX"/>
        </w:rPr>
        <w:t>Todas estas</w:t>
      </w:r>
      <w:r w:rsidRPr="00A10E9F">
        <w:rPr>
          <w:rFonts w:cs="Arial"/>
          <w:lang w:val="es-MX"/>
        </w:rPr>
        <w:t xml:space="preserve"> acciones implementadas en Hermosillo han demostrado ser efectivas para fortalecer la atención a la violencia familiar y de género, compromiso </w:t>
      </w:r>
      <w:r>
        <w:rPr>
          <w:rFonts w:cs="Arial"/>
          <w:lang w:val="es-MX"/>
        </w:rPr>
        <w:t>permanente</w:t>
      </w:r>
      <w:r w:rsidRPr="00A10E9F">
        <w:rPr>
          <w:rFonts w:cs="Arial"/>
          <w:lang w:val="es-MX"/>
        </w:rPr>
        <w:t xml:space="preserve"> por parte de </w:t>
      </w:r>
      <w:r>
        <w:rPr>
          <w:rFonts w:cs="Arial"/>
          <w:lang w:val="es-MX"/>
        </w:rPr>
        <w:t>la autoridad municipal</w:t>
      </w:r>
      <w:r w:rsidRPr="00A10E9F">
        <w:rPr>
          <w:rFonts w:cs="Arial"/>
          <w:lang w:val="es-MX"/>
        </w:rPr>
        <w:t xml:space="preserve"> para proteger a las víctimas y prevenir casos</w:t>
      </w:r>
      <w:r w:rsidRPr="00744231">
        <w:rPr>
          <w:rFonts w:cs="Arial"/>
          <w:lang w:val="es-MX"/>
        </w:rPr>
        <w:t xml:space="preserve"> </w:t>
      </w:r>
      <w:r>
        <w:rPr>
          <w:rFonts w:cs="Arial"/>
          <w:lang w:val="es-MX"/>
        </w:rPr>
        <w:t>nuevos</w:t>
      </w:r>
      <w:r w:rsidRPr="00A10E9F">
        <w:rPr>
          <w:rFonts w:cs="Arial"/>
          <w:lang w:val="es-MX"/>
        </w:rPr>
        <w:t xml:space="preserve">. La Unidad de Género y el Grupo GEAVI </w:t>
      </w:r>
      <w:r>
        <w:rPr>
          <w:rFonts w:cs="Arial"/>
          <w:lang w:val="es-MX"/>
        </w:rPr>
        <w:t>desempeñan</w:t>
      </w:r>
      <w:r w:rsidRPr="00A10E9F">
        <w:rPr>
          <w:rFonts w:cs="Arial"/>
          <w:lang w:val="es-MX"/>
        </w:rPr>
        <w:t xml:space="preserve"> un papel fundamental en este esfuerzo, y el aumento en la capacitación, </w:t>
      </w:r>
      <w:r>
        <w:rPr>
          <w:rFonts w:cs="Arial"/>
          <w:lang w:val="es-MX"/>
        </w:rPr>
        <w:t xml:space="preserve">en los </w:t>
      </w:r>
      <w:r w:rsidRPr="00A10E9F">
        <w:rPr>
          <w:rFonts w:cs="Arial"/>
          <w:lang w:val="es-MX"/>
        </w:rPr>
        <w:t xml:space="preserve">recursos y </w:t>
      </w:r>
      <w:r>
        <w:rPr>
          <w:rFonts w:cs="Arial"/>
          <w:lang w:val="es-MX"/>
        </w:rPr>
        <w:t xml:space="preserve">el </w:t>
      </w:r>
      <w:r w:rsidRPr="00A10E9F">
        <w:rPr>
          <w:rFonts w:cs="Arial"/>
          <w:lang w:val="es-MX"/>
        </w:rPr>
        <w:t>alcance de los programas evidencia una mejora significativa en la atención y en la confianza que la ciudadanía tiene en las instituciones encargadas de su seguridad.</w:t>
      </w:r>
    </w:p>
    <w:p w14:paraId="7475E0BA" w14:textId="743CCAA6" w:rsidR="0070429C" w:rsidRDefault="0070429C" w:rsidP="00B205BA">
      <w:pPr>
        <w:spacing w:after="120" w:line="240" w:lineRule="auto"/>
        <w:ind w:right="49"/>
        <w:rPr>
          <w:rFonts w:cs="Arial"/>
          <w:b/>
          <w:bCs/>
        </w:rPr>
      </w:pPr>
      <w:r w:rsidRPr="00341594">
        <w:rPr>
          <w:rFonts w:cs="Arial"/>
          <w:b/>
          <w:bCs/>
        </w:rPr>
        <w:t xml:space="preserve">Percepción de </w:t>
      </w:r>
      <w:r>
        <w:rPr>
          <w:rFonts w:cs="Arial"/>
          <w:b/>
          <w:bCs/>
        </w:rPr>
        <w:t>i</w:t>
      </w:r>
      <w:r w:rsidRPr="00341594">
        <w:rPr>
          <w:rFonts w:cs="Arial"/>
          <w:b/>
          <w:bCs/>
        </w:rPr>
        <w:t>nseguridad</w:t>
      </w:r>
      <w:r w:rsidR="00261A27">
        <w:rPr>
          <w:rFonts w:cs="Arial"/>
          <w:b/>
          <w:bCs/>
        </w:rPr>
        <w:t>.</w:t>
      </w:r>
    </w:p>
    <w:p w14:paraId="1E194290" w14:textId="01816CCD" w:rsidR="0070429C" w:rsidRPr="00341594" w:rsidRDefault="0070429C" w:rsidP="00B205BA">
      <w:pPr>
        <w:spacing w:after="120" w:line="240" w:lineRule="auto"/>
        <w:ind w:right="49"/>
        <w:rPr>
          <w:rFonts w:cs="Arial"/>
          <w:b/>
          <w:bCs/>
        </w:rPr>
      </w:pPr>
      <w:r>
        <w:rPr>
          <w:rFonts w:cs="Arial"/>
        </w:rPr>
        <w:t>Un</w:t>
      </w:r>
      <w:r w:rsidRPr="00F764F2">
        <w:rPr>
          <w:rFonts w:cs="Arial"/>
        </w:rPr>
        <w:t xml:space="preserve"> entorno seguro es fundamental para el desarrollo de comunidades saludables y prósperas</w:t>
      </w:r>
      <w:r>
        <w:rPr>
          <w:rFonts w:cs="Arial"/>
        </w:rPr>
        <w:t>,</w:t>
      </w:r>
      <w:r w:rsidRPr="00F764F2">
        <w:rPr>
          <w:rFonts w:cs="Arial"/>
        </w:rPr>
        <w:t xml:space="preserve"> donde las personas pueden vivir, trabajar y desarrollarse plenamente</w:t>
      </w:r>
      <w:r>
        <w:rPr>
          <w:rFonts w:cs="Arial"/>
        </w:rPr>
        <w:t>. Conscientes de ello,</w:t>
      </w:r>
      <w:r w:rsidRPr="00F764F2">
        <w:rPr>
          <w:rFonts w:cs="Arial"/>
        </w:rPr>
        <w:t xml:space="preserve"> con la ejecución de los programas de prevención social, seguridad pública y profesionalización policial</w:t>
      </w:r>
      <w:r>
        <w:rPr>
          <w:rFonts w:cs="Arial"/>
        </w:rPr>
        <w:t>, la administración municipal</w:t>
      </w:r>
      <w:r w:rsidRPr="00F764F2">
        <w:rPr>
          <w:rFonts w:cs="Arial"/>
        </w:rPr>
        <w:t xml:space="preserve"> log</w:t>
      </w:r>
      <w:r>
        <w:rPr>
          <w:rFonts w:cs="Arial"/>
        </w:rPr>
        <w:t>ró</w:t>
      </w:r>
      <w:r w:rsidRPr="00F764F2">
        <w:rPr>
          <w:rFonts w:cs="Arial"/>
        </w:rPr>
        <w:t xml:space="preserve"> </w:t>
      </w:r>
      <w:r>
        <w:rPr>
          <w:rFonts w:cs="Arial"/>
        </w:rPr>
        <w:t>incrementar la</w:t>
      </w:r>
      <w:r w:rsidRPr="00F764F2">
        <w:rPr>
          <w:rFonts w:cs="Arial"/>
        </w:rPr>
        <w:t xml:space="preserve"> confianza</w:t>
      </w:r>
      <w:r>
        <w:rPr>
          <w:rFonts w:cs="Arial"/>
        </w:rPr>
        <w:t xml:space="preserve"> </w:t>
      </w:r>
      <w:r w:rsidRPr="00F764F2">
        <w:rPr>
          <w:rFonts w:cs="Arial"/>
        </w:rPr>
        <w:t>de los ciudadanos</w:t>
      </w:r>
      <w:r>
        <w:rPr>
          <w:rFonts w:cs="Arial"/>
        </w:rPr>
        <w:t>.</w:t>
      </w:r>
    </w:p>
    <w:p w14:paraId="1BEF6DD8" w14:textId="5D3799C9" w:rsidR="0070429C" w:rsidRDefault="0070429C" w:rsidP="00B205BA">
      <w:pPr>
        <w:spacing w:after="120" w:line="240" w:lineRule="auto"/>
        <w:ind w:right="49"/>
        <w:rPr>
          <w:rFonts w:cs="Arial"/>
        </w:rPr>
      </w:pPr>
      <w:r>
        <w:rPr>
          <w:rFonts w:cs="Arial"/>
        </w:rPr>
        <w:t>De acuerdo con</w:t>
      </w:r>
      <w:r w:rsidRPr="00F764F2">
        <w:rPr>
          <w:rFonts w:cs="Arial"/>
        </w:rPr>
        <w:t xml:space="preserve"> los resultados </w:t>
      </w:r>
      <w:r>
        <w:rPr>
          <w:rFonts w:cs="Arial"/>
        </w:rPr>
        <w:t>de</w:t>
      </w:r>
      <w:r w:rsidRPr="00F764F2">
        <w:rPr>
          <w:rFonts w:cs="Arial"/>
        </w:rPr>
        <w:t xml:space="preserve"> la Encuesta Nacional de Seguridad Pública Urbana (ENSU) realizada por el INEGI, </w:t>
      </w:r>
      <w:r>
        <w:rPr>
          <w:rFonts w:cs="Arial"/>
        </w:rPr>
        <w:t>el nivel de</w:t>
      </w:r>
      <w:r w:rsidRPr="00F764F2">
        <w:rPr>
          <w:rFonts w:cs="Arial"/>
        </w:rPr>
        <w:t xml:space="preserve"> percepción de inseguridad en los habitantes </w:t>
      </w:r>
      <w:r w:rsidRPr="00C120DA">
        <w:rPr>
          <w:rFonts w:cs="Arial"/>
        </w:rPr>
        <w:t>de 18 años y más</w:t>
      </w:r>
      <w:r>
        <w:rPr>
          <w:rFonts w:cs="Arial"/>
        </w:rPr>
        <w:t xml:space="preserve"> </w:t>
      </w:r>
      <w:r w:rsidRPr="00F764F2">
        <w:rPr>
          <w:rFonts w:cs="Arial"/>
        </w:rPr>
        <w:t>de Hermosillo</w:t>
      </w:r>
      <w:r>
        <w:rPr>
          <w:rFonts w:cs="Arial"/>
        </w:rPr>
        <w:t xml:space="preserve"> a</w:t>
      </w:r>
      <w:r w:rsidRPr="00C120DA">
        <w:rPr>
          <w:rFonts w:cs="Arial"/>
        </w:rPr>
        <w:t xml:space="preserve"> lo largo d</w:t>
      </w:r>
      <w:r>
        <w:rPr>
          <w:rFonts w:cs="Arial"/>
        </w:rPr>
        <w:t>el período 2021-2024 presenta</w:t>
      </w:r>
      <w:r w:rsidRPr="00C120DA">
        <w:rPr>
          <w:rFonts w:cs="Arial"/>
        </w:rPr>
        <w:t xml:space="preserve"> una disminución general </w:t>
      </w:r>
      <w:r>
        <w:rPr>
          <w:rFonts w:cs="Arial"/>
        </w:rPr>
        <w:t>de 18.6 % (véase gráfica 3).</w:t>
      </w:r>
    </w:p>
    <w:p w14:paraId="41CC3CDA" w14:textId="77777777" w:rsidR="00A033CE" w:rsidRDefault="00A033CE" w:rsidP="00B205BA">
      <w:pPr>
        <w:spacing w:after="120" w:line="240" w:lineRule="auto"/>
        <w:ind w:right="49"/>
        <w:rPr>
          <w:rFonts w:cs="Arial"/>
        </w:rPr>
      </w:pPr>
    </w:p>
    <w:p w14:paraId="4B55A998" w14:textId="4BE9EC6B" w:rsidR="0070429C" w:rsidRPr="008B46DF" w:rsidRDefault="0070429C" w:rsidP="00B205BA">
      <w:pPr>
        <w:spacing w:after="120" w:line="240" w:lineRule="auto"/>
        <w:ind w:right="49"/>
        <w:jc w:val="center"/>
        <w:rPr>
          <w:rFonts w:cs="Arial"/>
          <w:b/>
          <w:bCs/>
          <w:sz w:val="18"/>
          <w:szCs w:val="18"/>
        </w:rPr>
      </w:pPr>
      <w:r>
        <w:rPr>
          <w:rFonts w:cs="Arial"/>
          <w:b/>
          <w:bCs/>
          <w:sz w:val="18"/>
          <w:szCs w:val="18"/>
        </w:rPr>
        <w:lastRenderedPageBreak/>
        <w:t>GRÁFICA 3. P</w:t>
      </w:r>
      <w:r w:rsidRPr="008B46DF">
        <w:rPr>
          <w:rFonts w:cs="Arial"/>
          <w:b/>
          <w:bCs/>
          <w:sz w:val="18"/>
          <w:szCs w:val="18"/>
        </w:rPr>
        <w:t xml:space="preserve">ORCENTAJE DE PERCEPCIÓN DE INSEGURIDAD EN LA POBLACIÓN DE 18 AÑOS Y MÁS </w:t>
      </w:r>
      <w:r>
        <w:rPr>
          <w:rFonts w:cs="Arial"/>
          <w:b/>
          <w:bCs/>
          <w:sz w:val="18"/>
          <w:szCs w:val="18"/>
        </w:rPr>
        <w:t xml:space="preserve">POR TRIMESTRE </w:t>
      </w:r>
      <w:r w:rsidRPr="008B46DF">
        <w:rPr>
          <w:rFonts w:cs="Arial"/>
          <w:b/>
          <w:bCs/>
          <w:sz w:val="18"/>
          <w:szCs w:val="18"/>
        </w:rPr>
        <w:t>EN HERMOSILLO 20</w:t>
      </w:r>
      <w:r>
        <w:rPr>
          <w:rFonts w:cs="Arial"/>
          <w:b/>
          <w:bCs/>
          <w:sz w:val="18"/>
          <w:szCs w:val="18"/>
        </w:rPr>
        <w:t>21</w:t>
      </w:r>
      <w:r w:rsidRPr="008B46DF">
        <w:rPr>
          <w:rFonts w:cs="Arial"/>
          <w:b/>
          <w:bCs/>
          <w:sz w:val="18"/>
          <w:szCs w:val="18"/>
        </w:rPr>
        <w:t>-2024</w:t>
      </w:r>
      <w:r w:rsidR="0086730D">
        <w:rPr>
          <w:rFonts w:cs="Arial"/>
          <w:b/>
          <w:bCs/>
          <w:sz w:val="18"/>
          <w:szCs w:val="18"/>
        </w:rPr>
        <w:t>.</w:t>
      </w:r>
    </w:p>
    <w:p w14:paraId="305819EA" w14:textId="77777777" w:rsidR="0070429C" w:rsidRDefault="0070429C" w:rsidP="00B205BA">
      <w:pPr>
        <w:spacing w:after="120" w:line="240" w:lineRule="auto"/>
        <w:ind w:right="49"/>
        <w:rPr>
          <w:rFonts w:cs="Arial"/>
        </w:rPr>
      </w:pPr>
      <w:r w:rsidRPr="00F764F2">
        <w:rPr>
          <w:rFonts w:cs="Arial"/>
          <w:noProof/>
        </w:rPr>
        <w:drawing>
          <wp:inline distT="0" distB="0" distL="0" distR="0" wp14:anchorId="18FE9F41" wp14:editId="7B304F6F">
            <wp:extent cx="5612130" cy="2153285"/>
            <wp:effectExtent l="0" t="0" r="0" b="0"/>
            <wp:docPr id="204505089" name="Gráfico 1">
              <a:extLst xmlns:a="http://schemas.openxmlformats.org/drawingml/2006/main">
                <a:ext uri="{FF2B5EF4-FFF2-40B4-BE49-F238E27FC236}">
                  <a16:creationId xmlns:a16="http://schemas.microsoft.com/office/drawing/2014/main" id="{E1B34165-14C5-7BD7-0A67-C92F79399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FD17A1" w14:textId="39139F65" w:rsidR="0070429C" w:rsidRPr="00711FD9" w:rsidRDefault="0070429C" w:rsidP="00B205BA">
      <w:pPr>
        <w:spacing w:before="1" w:after="120" w:line="240" w:lineRule="auto"/>
        <w:rPr>
          <w:rFonts w:cs="Arial"/>
          <w:bCs/>
          <w:sz w:val="16"/>
          <w:szCs w:val="28"/>
        </w:rPr>
      </w:pPr>
      <w:r w:rsidRPr="002126BF">
        <w:rPr>
          <w:rFonts w:cs="Arial"/>
          <w:bCs/>
          <w:spacing w:val="-2"/>
          <w:sz w:val="16"/>
          <w:szCs w:val="28"/>
        </w:rPr>
        <w:t>Fuente:</w:t>
      </w:r>
      <w:r w:rsidRPr="002126BF">
        <w:rPr>
          <w:rFonts w:cs="Arial"/>
          <w:bCs/>
          <w:spacing w:val="-3"/>
          <w:sz w:val="16"/>
          <w:szCs w:val="28"/>
        </w:rPr>
        <w:t xml:space="preserve"> </w:t>
      </w:r>
      <w:r w:rsidRPr="002126BF">
        <w:rPr>
          <w:rFonts w:cs="Arial"/>
          <w:bCs/>
          <w:spacing w:val="-2"/>
          <w:sz w:val="16"/>
          <w:szCs w:val="28"/>
        </w:rPr>
        <w:t>INEGI.</w:t>
      </w:r>
      <w:r w:rsidRPr="002126BF">
        <w:rPr>
          <w:rFonts w:cs="Arial"/>
          <w:bCs/>
          <w:spacing w:val="-3"/>
          <w:sz w:val="16"/>
          <w:szCs w:val="28"/>
        </w:rPr>
        <w:t xml:space="preserve"> </w:t>
      </w:r>
      <w:r w:rsidRPr="002126BF">
        <w:rPr>
          <w:rFonts w:cs="Arial"/>
          <w:bCs/>
          <w:spacing w:val="-2"/>
          <w:sz w:val="16"/>
          <w:szCs w:val="28"/>
        </w:rPr>
        <w:t>Encuesta Nacional</w:t>
      </w:r>
      <w:r w:rsidRPr="002126BF">
        <w:rPr>
          <w:rFonts w:cs="Arial"/>
          <w:bCs/>
          <w:spacing w:val="-3"/>
          <w:sz w:val="16"/>
          <w:szCs w:val="28"/>
        </w:rPr>
        <w:t xml:space="preserve"> </w:t>
      </w:r>
      <w:r w:rsidRPr="002126BF">
        <w:rPr>
          <w:rFonts w:cs="Arial"/>
          <w:bCs/>
          <w:spacing w:val="-2"/>
          <w:sz w:val="16"/>
          <w:szCs w:val="28"/>
        </w:rPr>
        <w:t>de Seguridad</w:t>
      </w:r>
      <w:r w:rsidRPr="002126BF">
        <w:rPr>
          <w:rFonts w:cs="Arial"/>
          <w:bCs/>
          <w:spacing w:val="-3"/>
          <w:sz w:val="16"/>
          <w:szCs w:val="28"/>
        </w:rPr>
        <w:t xml:space="preserve"> </w:t>
      </w:r>
      <w:r w:rsidRPr="002126BF">
        <w:rPr>
          <w:rFonts w:cs="Arial"/>
          <w:bCs/>
          <w:spacing w:val="-2"/>
          <w:sz w:val="16"/>
          <w:szCs w:val="28"/>
        </w:rPr>
        <w:t>Pública</w:t>
      </w:r>
      <w:r w:rsidRPr="002126BF">
        <w:rPr>
          <w:rFonts w:cs="Arial"/>
          <w:bCs/>
          <w:spacing w:val="-3"/>
          <w:sz w:val="16"/>
          <w:szCs w:val="28"/>
        </w:rPr>
        <w:t xml:space="preserve"> </w:t>
      </w:r>
      <w:r w:rsidRPr="002126BF">
        <w:rPr>
          <w:rFonts w:cs="Arial"/>
          <w:bCs/>
          <w:spacing w:val="-2"/>
          <w:sz w:val="16"/>
          <w:szCs w:val="28"/>
        </w:rPr>
        <w:t>Urbana (ENSU)</w:t>
      </w:r>
      <w:r w:rsidRPr="002126BF">
        <w:rPr>
          <w:rFonts w:cs="Arial"/>
          <w:bCs/>
          <w:spacing w:val="-3"/>
          <w:sz w:val="16"/>
          <w:szCs w:val="28"/>
        </w:rPr>
        <w:t xml:space="preserve"> </w:t>
      </w:r>
      <w:r w:rsidRPr="002126BF">
        <w:rPr>
          <w:rFonts w:cs="Arial"/>
          <w:bCs/>
          <w:spacing w:val="-2"/>
          <w:sz w:val="16"/>
          <w:szCs w:val="28"/>
        </w:rPr>
        <w:t>de septiembre</w:t>
      </w:r>
      <w:r w:rsidRPr="002126BF">
        <w:rPr>
          <w:rFonts w:cs="Arial"/>
          <w:bCs/>
          <w:spacing w:val="-3"/>
          <w:sz w:val="16"/>
          <w:szCs w:val="28"/>
        </w:rPr>
        <w:t xml:space="preserve"> </w:t>
      </w:r>
      <w:r w:rsidRPr="002126BF">
        <w:rPr>
          <w:rFonts w:cs="Arial"/>
          <w:bCs/>
          <w:spacing w:val="-2"/>
          <w:sz w:val="16"/>
          <w:szCs w:val="28"/>
        </w:rPr>
        <w:t>de 2021</w:t>
      </w:r>
      <w:r w:rsidRPr="002126BF">
        <w:rPr>
          <w:rFonts w:cs="Arial"/>
          <w:bCs/>
          <w:spacing w:val="-3"/>
          <w:sz w:val="16"/>
          <w:szCs w:val="28"/>
        </w:rPr>
        <w:t xml:space="preserve"> </w:t>
      </w:r>
      <w:r w:rsidRPr="002126BF">
        <w:rPr>
          <w:rFonts w:cs="Arial"/>
          <w:bCs/>
          <w:spacing w:val="-2"/>
          <w:sz w:val="16"/>
          <w:szCs w:val="28"/>
        </w:rPr>
        <w:t>a</w:t>
      </w:r>
      <w:r w:rsidRPr="002126BF">
        <w:rPr>
          <w:rFonts w:cs="Arial"/>
          <w:bCs/>
          <w:spacing w:val="-3"/>
          <w:sz w:val="16"/>
          <w:szCs w:val="28"/>
        </w:rPr>
        <w:t xml:space="preserve"> </w:t>
      </w:r>
      <w:r w:rsidRPr="002126BF">
        <w:rPr>
          <w:rFonts w:cs="Arial"/>
          <w:bCs/>
          <w:spacing w:val="-2"/>
          <w:sz w:val="16"/>
          <w:szCs w:val="28"/>
        </w:rPr>
        <w:t>septiembre de 2024.</w:t>
      </w:r>
    </w:p>
    <w:p w14:paraId="2259D71A" w14:textId="40D6AFCC" w:rsidR="0070429C" w:rsidRDefault="0070429C" w:rsidP="00B205BA">
      <w:pPr>
        <w:spacing w:after="120" w:line="240" w:lineRule="auto"/>
        <w:ind w:right="49"/>
        <w:rPr>
          <w:rFonts w:cs="Arial"/>
        </w:rPr>
      </w:pPr>
      <w:r>
        <w:rPr>
          <w:rFonts w:cs="Arial"/>
        </w:rPr>
        <w:t>Esta</w:t>
      </w:r>
      <w:r w:rsidRPr="00C610C6">
        <w:rPr>
          <w:rFonts w:cs="Arial"/>
        </w:rPr>
        <w:t xml:space="preserve"> tendencia </w:t>
      </w:r>
      <w:r>
        <w:rPr>
          <w:rFonts w:cs="Arial"/>
        </w:rPr>
        <w:t>a</w:t>
      </w:r>
      <w:r w:rsidRPr="00C610C6">
        <w:rPr>
          <w:rFonts w:cs="Arial"/>
        </w:rPr>
        <w:t xml:space="preserve"> la baja sugiere que, a pesar de las fluctuaciones puntuales, las políticas de seguridad han contribuido a reducir la preocupación general de manera sostenida</w:t>
      </w:r>
      <w:r>
        <w:rPr>
          <w:rFonts w:cs="Arial"/>
        </w:rPr>
        <w:t>. Aunque la mejora ha sido significativa</w:t>
      </w:r>
      <w:r w:rsidRPr="00C610C6">
        <w:rPr>
          <w:rFonts w:cs="Arial"/>
        </w:rPr>
        <w:t xml:space="preserve">, </w:t>
      </w:r>
      <w:r>
        <w:rPr>
          <w:rFonts w:cs="Arial"/>
        </w:rPr>
        <w:t>es</w:t>
      </w:r>
      <w:r w:rsidRPr="00C610C6">
        <w:rPr>
          <w:rFonts w:cs="Arial"/>
        </w:rPr>
        <w:t xml:space="preserve"> </w:t>
      </w:r>
      <w:r>
        <w:rPr>
          <w:rFonts w:cs="Arial"/>
        </w:rPr>
        <w:t xml:space="preserve">necesario </w:t>
      </w:r>
      <w:r w:rsidRPr="00C610C6">
        <w:rPr>
          <w:rFonts w:cs="Arial"/>
        </w:rPr>
        <w:t xml:space="preserve">mantener los esfuerzos para </w:t>
      </w:r>
      <w:r>
        <w:rPr>
          <w:rFonts w:cs="Arial"/>
        </w:rPr>
        <w:t>conservar e incrementar</w:t>
      </w:r>
      <w:r w:rsidRPr="00C610C6">
        <w:rPr>
          <w:rFonts w:cs="Arial"/>
        </w:rPr>
        <w:t xml:space="preserve"> la confianza de la población</w:t>
      </w:r>
      <w:r>
        <w:rPr>
          <w:rFonts w:cs="Arial"/>
        </w:rPr>
        <w:t>. Aún</w:t>
      </w:r>
      <w:r w:rsidRPr="00C610C6">
        <w:rPr>
          <w:rFonts w:cs="Arial"/>
        </w:rPr>
        <w:t xml:space="preserve"> existe trabajo por hacer para </w:t>
      </w:r>
      <w:r>
        <w:rPr>
          <w:rFonts w:cs="Arial"/>
        </w:rPr>
        <w:t>mejorar</w:t>
      </w:r>
      <w:r w:rsidRPr="00C610C6">
        <w:rPr>
          <w:rFonts w:cs="Arial"/>
        </w:rPr>
        <w:t xml:space="preserve"> </w:t>
      </w:r>
      <w:r>
        <w:rPr>
          <w:rFonts w:cs="Arial"/>
        </w:rPr>
        <w:t>las condiciones</w:t>
      </w:r>
      <w:r w:rsidRPr="00C610C6">
        <w:rPr>
          <w:rFonts w:cs="Arial"/>
        </w:rPr>
        <w:t xml:space="preserve"> </w:t>
      </w:r>
      <w:r>
        <w:rPr>
          <w:rFonts w:cs="Arial"/>
        </w:rPr>
        <w:t xml:space="preserve">de seguridad para </w:t>
      </w:r>
      <w:r w:rsidRPr="00C610C6">
        <w:rPr>
          <w:rFonts w:cs="Arial"/>
        </w:rPr>
        <w:t>los habitantes de Hermosillo.</w:t>
      </w:r>
    </w:p>
    <w:p w14:paraId="18359C9F" w14:textId="1F8B5730" w:rsidR="00711FD9" w:rsidRDefault="0070429C" w:rsidP="00B205BA">
      <w:pPr>
        <w:spacing w:after="120" w:line="240" w:lineRule="auto"/>
        <w:ind w:right="49"/>
        <w:rPr>
          <w:rFonts w:cs="Arial"/>
        </w:rPr>
      </w:pPr>
      <w:r>
        <w:rPr>
          <w:rFonts w:cs="Arial"/>
        </w:rPr>
        <w:t>De acuerdo con información del Secretariado Ejecutivo del Sistema Nacional de Seguridad Pública, las principales reducciones de incidencia delictiva muestran consistencia con el primer lugar de Hermosillo a nivel nacional como la capital estatal con mayor disminución de la percepción de inseguridad pública, al registrar una disminución de 23 puntos porcentuales entre el 3</w:t>
      </w:r>
      <w:r w:rsidRPr="00D41D61">
        <w:rPr>
          <w:rFonts w:cs="Arial"/>
          <w:vertAlign w:val="superscript"/>
        </w:rPr>
        <w:t>er</w:t>
      </w:r>
      <w:r>
        <w:rPr>
          <w:rFonts w:cs="Arial"/>
        </w:rPr>
        <w:t xml:space="preserve"> trimestre de 2021 y el 3</w:t>
      </w:r>
      <w:r w:rsidRPr="00D41D61">
        <w:rPr>
          <w:rFonts w:cs="Arial"/>
          <w:vertAlign w:val="superscript"/>
        </w:rPr>
        <w:t>er</w:t>
      </w:r>
      <w:r>
        <w:rPr>
          <w:rFonts w:cs="Arial"/>
        </w:rPr>
        <w:t xml:space="preserve"> trimestre de 2024 (véase tabla 4)</w:t>
      </w:r>
    </w:p>
    <w:tbl>
      <w:tblPr>
        <w:tblStyle w:val="Tablaconcuadrculaclara"/>
        <w:tblW w:w="8359" w:type="dxa"/>
        <w:jc w:val="center"/>
        <w:tblLayout w:type="fixed"/>
        <w:tblLook w:val="01E0" w:firstRow="1" w:lastRow="1" w:firstColumn="1" w:lastColumn="1" w:noHBand="0" w:noVBand="0"/>
      </w:tblPr>
      <w:tblGrid>
        <w:gridCol w:w="562"/>
        <w:gridCol w:w="4395"/>
        <w:gridCol w:w="850"/>
        <w:gridCol w:w="851"/>
        <w:gridCol w:w="992"/>
        <w:gridCol w:w="709"/>
      </w:tblGrid>
      <w:tr w:rsidR="0070429C" w14:paraId="595B9DCC" w14:textId="77777777" w:rsidTr="000635AB">
        <w:trPr>
          <w:trHeight w:val="215"/>
          <w:jc w:val="center"/>
        </w:trPr>
        <w:tc>
          <w:tcPr>
            <w:tcW w:w="8359" w:type="dxa"/>
            <w:gridSpan w:val="6"/>
            <w:shd w:val="clear" w:color="auto" w:fill="ED7D31" w:themeFill="accent2"/>
            <w:vAlign w:val="center"/>
          </w:tcPr>
          <w:p w14:paraId="5020BBDB" w14:textId="77777777" w:rsidR="0070429C" w:rsidRPr="00854AC4" w:rsidRDefault="0070429C" w:rsidP="00B205BA">
            <w:pPr>
              <w:pStyle w:val="TableParagraph"/>
              <w:spacing w:before="17" w:after="120"/>
              <w:ind w:right="32"/>
              <w:jc w:val="center"/>
              <w:rPr>
                <w:b/>
                <w:color w:val="FFFFFF" w:themeColor="background1"/>
                <w:spacing w:val="-4"/>
                <w:sz w:val="18"/>
                <w:szCs w:val="18"/>
              </w:rPr>
            </w:pPr>
            <w:r w:rsidRPr="00854AC4">
              <w:rPr>
                <w:b/>
                <w:color w:val="FFFFFF" w:themeColor="background1"/>
                <w:spacing w:val="-4"/>
                <w:sz w:val="18"/>
                <w:szCs w:val="18"/>
              </w:rPr>
              <w:t xml:space="preserve">TABLA </w:t>
            </w:r>
            <w:r>
              <w:rPr>
                <w:b/>
                <w:color w:val="FFFFFF" w:themeColor="background1"/>
                <w:spacing w:val="-4"/>
                <w:sz w:val="18"/>
                <w:szCs w:val="18"/>
              </w:rPr>
              <w:t>4</w:t>
            </w:r>
            <w:r w:rsidRPr="00854AC4">
              <w:rPr>
                <w:b/>
                <w:color w:val="FFFFFF" w:themeColor="background1"/>
                <w:spacing w:val="-4"/>
                <w:sz w:val="18"/>
                <w:szCs w:val="18"/>
              </w:rPr>
              <w:t>. PRINCIPALES REDUCCIONES DE INCIDENCIA DELICTIVA EN HERMOSILLO</w:t>
            </w:r>
          </w:p>
          <w:p w14:paraId="12D39083" w14:textId="681FA97E" w:rsidR="0070429C" w:rsidRPr="008730A1" w:rsidRDefault="0070429C" w:rsidP="00B205BA">
            <w:pPr>
              <w:pStyle w:val="TableParagraph"/>
              <w:spacing w:before="17" w:after="120"/>
              <w:ind w:right="32"/>
              <w:jc w:val="center"/>
              <w:rPr>
                <w:b/>
                <w:spacing w:val="-4"/>
                <w:sz w:val="16"/>
                <w:szCs w:val="16"/>
              </w:rPr>
            </w:pPr>
            <w:r w:rsidRPr="00854AC4">
              <w:rPr>
                <w:b/>
                <w:color w:val="FFFFFF" w:themeColor="background1"/>
                <w:spacing w:val="-4"/>
                <w:sz w:val="18"/>
                <w:szCs w:val="18"/>
              </w:rPr>
              <w:t>PRIMER SEMESTRE DE 2021</w:t>
            </w:r>
            <w:r>
              <w:rPr>
                <w:b/>
                <w:color w:val="FFFFFF" w:themeColor="background1"/>
                <w:spacing w:val="-4"/>
                <w:sz w:val="18"/>
                <w:szCs w:val="18"/>
              </w:rPr>
              <w:t xml:space="preserve"> Y </w:t>
            </w:r>
            <w:r w:rsidRPr="00854AC4">
              <w:rPr>
                <w:b/>
                <w:color w:val="FFFFFF" w:themeColor="background1"/>
                <w:spacing w:val="-4"/>
                <w:sz w:val="18"/>
                <w:szCs w:val="18"/>
              </w:rPr>
              <w:t>2024</w:t>
            </w:r>
            <w:r w:rsidR="0086730D">
              <w:rPr>
                <w:b/>
                <w:color w:val="FFFFFF" w:themeColor="background1"/>
                <w:spacing w:val="-4"/>
                <w:sz w:val="18"/>
                <w:szCs w:val="18"/>
              </w:rPr>
              <w:t>.</w:t>
            </w:r>
          </w:p>
        </w:tc>
      </w:tr>
      <w:tr w:rsidR="0070429C" w14:paraId="46F47142" w14:textId="77777777" w:rsidTr="000635AB">
        <w:trPr>
          <w:trHeight w:val="215"/>
          <w:jc w:val="center"/>
        </w:trPr>
        <w:tc>
          <w:tcPr>
            <w:tcW w:w="562" w:type="dxa"/>
            <w:vAlign w:val="center"/>
          </w:tcPr>
          <w:p w14:paraId="2AC17B65" w14:textId="77777777" w:rsidR="0070429C" w:rsidRPr="008730A1" w:rsidRDefault="0070429C" w:rsidP="00B205BA">
            <w:pPr>
              <w:pStyle w:val="TableParagraph"/>
              <w:spacing w:before="17" w:after="120"/>
              <w:ind w:left="9"/>
              <w:jc w:val="center"/>
              <w:rPr>
                <w:bCs/>
                <w:spacing w:val="-10"/>
                <w:w w:val="80"/>
                <w:sz w:val="16"/>
                <w:szCs w:val="16"/>
              </w:rPr>
            </w:pPr>
          </w:p>
        </w:tc>
        <w:tc>
          <w:tcPr>
            <w:tcW w:w="4395" w:type="dxa"/>
            <w:shd w:val="clear" w:color="auto" w:fill="D0CECE" w:themeFill="background2" w:themeFillShade="E6"/>
            <w:vAlign w:val="center"/>
          </w:tcPr>
          <w:p w14:paraId="5BA794D3" w14:textId="77777777" w:rsidR="0070429C" w:rsidRPr="00811545" w:rsidRDefault="0070429C" w:rsidP="00B205BA">
            <w:pPr>
              <w:pStyle w:val="TableParagraph"/>
              <w:spacing w:before="17" w:after="120"/>
              <w:jc w:val="center"/>
              <w:rPr>
                <w:b/>
                <w:spacing w:val="-2"/>
                <w:sz w:val="16"/>
                <w:szCs w:val="16"/>
              </w:rPr>
            </w:pPr>
            <w:r w:rsidRPr="00811545">
              <w:rPr>
                <w:b/>
                <w:spacing w:val="-2"/>
                <w:sz w:val="16"/>
                <w:szCs w:val="16"/>
              </w:rPr>
              <w:t>Delito</w:t>
            </w:r>
          </w:p>
        </w:tc>
        <w:tc>
          <w:tcPr>
            <w:tcW w:w="850" w:type="dxa"/>
            <w:shd w:val="clear" w:color="auto" w:fill="D0CECE" w:themeFill="background2" w:themeFillShade="E6"/>
            <w:vAlign w:val="center"/>
          </w:tcPr>
          <w:p w14:paraId="47055944" w14:textId="77777777" w:rsidR="0070429C" w:rsidRPr="00811545" w:rsidRDefault="0070429C" w:rsidP="00B205BA">
            <w:pPr>
              <w:pStyle w:val="TableParagraph"/>
              <w:spacing w:before="17" w:after="120"/>
              <w:ind w:right="38"/>
              <w:jc w:val="center"/>
              <w:rPr>
                <w:b/>
                <w:spacing w:val="-5"/>
                <w:sz w:val="16"/>
                <w:szCs w:val="16"/>
              </w:rPr>
            </w:pPr>
            <w:r w:rsidRPr="00811545">
              <w:rPr>
                <w:b/>
                <w:spacing w:val="-5"/>
                <w:sz w:val="16"/>
                <w:szCs w:val="16"/>
              </w:rPr>
              <w:t>2021</w:t>
            </w:r>
          </w:p>
        </w:tc>
        <w:tc>
          <w:tcPr>
            <w:tcW w:w="851" w:type="dxa"/>
            <w:shd w:val="clear" w:color="auto" w:fill="D0CECE" w:themeFill="background2" w:themeFillShade="E6"/>
            <w:vAlign w:val="center"/>
          </w:tcPr>
          <w:p w14:paraId="333E4DC9" w14:textId="77777777" w:rsidR="0070429C" w:rsidRPr="00811545" w:rsidRDefault="0070429C" w:rsidP="00B205BA">
            <w:pPr>
              <w:pStyle w:val="TableParagraph"/>
              <w:spacing w:before="17" w:after="120"/>
              <w:ind w:left="33" w:right="30"/>
              <w:jc w:val="center"/>
              <w:rPr>
                <w:b/>
                <w:spacing w:val="-5"/>
                <w:sz w:val="16"/>
                <w:szCs w:val="16"/>
              </w:rPr>
            </w:pPr>
            <w:r w:rsidRPr="00811545">
              <w:rPr>
                <w:b/>
                <w:spacing w:val="-5"/>
                <w:sz w:val="16"/>
                <w:szCs w:val="16"/>
              </w:rPr>
              <w:t>2024</w:t>
            </w:r>
          </w:p>
        </w:tc>
        <w:tc>
          <w:tcPr>
            <w:tcW w:w="992" w:type="dxa"/>
            <w:shd w:val="clear" w:color="auto" w:fill="D0CECE" w:themeFill="background2" w:themeFillShade="E6"/>
            <w:vAlign w:val="center"/>
          </w:tcPr>
          <w:p w14:paraId="783AE7D1" w14:textId="77777777" w:rsidR="0070429C" w:rsidRPr="00811545" w:rsidRDefault="0070429C" w:rsidP="00B205BA">
            <w:pPr>
              <w:pStyle w:val="TableParagraph"/>
              <w:spacing w:before="17" w:after="120"/>
              <w:ind w:right="17"/>
              <w:jc w:val="center"/>
              <w:rPr>
                <w:b/>
                <w:w w:val="90"/>
                <w:sz w:val="16"/>
                <w:szCs w:val="16"/>
              </w:rPr>
            </w:pPr>
            <w:r w:rsidRPr="00811545">
              <w:rPr>
                <w:b/>
                <w:w w:val="90"/>
                <w:sz w:val="16"/>
                <w:szCs w:val="16"/>
              </w:rPr>
              <w:t>V</w:t>
            </w:r>
            <w:r>
              <w:rPr>
                <w:b/>
                <w:w w:val="90"/>
                <w:sz w:val="16"/>
                <w:szCs w:val="16"/>
              </w:rPr>
              <w:t>ariación*</w:t>
            </w:r>
          </w:p>
        </w:tc>
        <w:tc>
          <w:tcPr>
            <w:tcW w:w="709" w:type="dxa"/>
            <w:shd w:val="clear" w:color="auto" w:fill="D0CECE" w:themeFill="background2" w:themeFillShade="E6"/>
            <w:vAlign w:val="center"/>
          </w:tcPr>
          <w:p w14:paraId="06DC27ED" w14:textId="77777777" w:rsidR="0070429C" w:rsidRPr="00811545" w:rsidRDefault="0070429C" w:rsidP="00B205BA">
            <w:pPr>
              <w:pStyle w:val="TableParagraph"/>
              <w:spacing w:before="17" w:after="120"/>
              <w:ind w:right="32"/>
              <w:jc w:val="center"/>
              <w:rPr>
                <w:b/>
                <w:spacing w:val="-4"/>
                <w:sz w:val="16"/>
                <w:szCs w:val="16"/>
              </w:rPr>
            </w:pPr>
            <w:r w:rsidRPr="00811545">
              <w:rPr>
                <w:b/>
                <w:spacing w:val="-4"/>
                <w:sz w:val="16"/>
                <w:szCs w:val="16"/>
              </w:rPr>
              <w:t>%</w:t>
            </w:r>
          </w:p>
        </w:tc>
      </w:tr>
      <w:tr w:rsidR="0070429C" w14:paraId="62E80564" w14:textId="77777777" w:rsidTr="000635AB">
        <w:trPr>
          <w:trHeight w:val="215"/>
          <w:jc w:val="center"/>
        </w:trPr>
        <w:tc>
          <w:tcPr>
            <w:tcW w:w="562" w:type="dxa"/>
            <w:vAlign w:val="center"/>
          </w:tcPr>
          <w:p w14:paraId="2AA9D9BA" w14:textId="77777777" w:rsidR="0070429C" w:rsidRPr="008730A1" w:rsidRDefault="0070429C" w:rsidP="00B205BA">
            <w:pPr>
              <w:pStyle w:val="TableParagraph"/>
              <w:numPr>
                <w:ilvl w:val="0"/>
                <w:numId w:val="25"/>
              </w:numPr>
              <w:spacing w:before="17" w:after="120"/>
              <w:jc w:val="center"/>
              <w:rPr>
                <w:bCs/>
                <w:sz w:val="16"/>
                <w:szCs w:val="16"/>
              </w:rPr>
            </w:pPr>
          </w:p>
        </w:tc>
        <w:tc>
          <w:tcPr>
            <w:tcW w:w="4395" w:type="dxa"/>
            <w:vAlign w:val="center"/>
          </w:tcPr>
          <w:p w14:paraId="51128BDC" w14:textId="77777777" w:rsidR="0070429C" w:rsidRPr="008730A1" w:rsidRDefault="0070429C" w:rsidP="00B205BA">
            <w:pPr>
              <w:pStyle w:val="TableParagraph"/>
              <w:spacing w:before="17" w:after="120"/>
              <w:rPr>
                <w:bCs/>
                <w:sz w:val="16"/>
                <w:szCs w:val="16"/>
              </w:rPr>
            </w:pPr>
            <w:r w:rsidRPr="008730A1">
              <w:rPr>
                <w:bCs/>
                <w:spacing w:val="-2"/>
                <w:sz w:val="16"/>
                <w:szCs w:val="16"/>
              </w:rPr>
              <w:t>Violación</w:t>
            </w:r>
            <w:r w:rsidRPr="008730A1">
              <w:rPr>
                <w:bCs/>
                <w:spacing w:val="4"/>
                <w:sz w:val="16"/>
                <w:szCs w:val="16"/>
              </w:rPr>
              <w:t xml:space="preserve"> </w:t>
            </w:r>
            <w:r w:rsidRPr="008730A1">
              <w:rPr>
                <w:bCs/>
                <w:spacing w:val="-2"/>
                <w:sz w:val="16"/>
                <w:szCs w:val="16"/>
              </w:rPr>
              <w:t>simple</w:t>
            </w:r>
          </w:p>
        </w:tc>
        <w:tc>
          <w:tcPr>
            <w:tcW w:w="850" w:type="dxa"/>
            <w:vAlign w:val="center"/>
          </w:tcPr>
          <w:p w14:paraId="4F8C6836" w14:textId="77777777" w:rsidR="0070429C" w:rsidRPr="008730A1" w:rsidRDefault="0070429C" w:rsidP="00B205BA">
            <w:pPr>
              <w:pStyle w:val="TableParagraph"/>
              <w:spacing w:before="17" w:after="120"/>
              <w:ind w:right="38"/>
              <w:jc w:val="center"/>
              <w:rPr>
                <w:bCs/>
                <w:sz w:val="16"/>
                <w:szCs w:val="16"/>
              </w:rPr>
            </w:pPr>
            <w:r w:rsidRPr="008730A1">
              <w:rPr>
                <w:bCs/>
                <w:spacing w:val="-5"/>
                <w:sz w:val="16"/>
                <w:szCs w:val="16"/>
              </w:rPr>
              <w:t>87</w:t>
            </w:r>
          </w:p>
        </w:tc>
        <w:tc>
          <w:tcPr>
            <w:tcW w:w="851" w:type="dxa"/>
            <w:vAlign w:val="center"/>
          </w:tcPr>
          <w:p w14:paraId="5886D208" w14:textId="77777777" w:rsidR="0070429C" w:rsidRPr="008730A1" w:rsidRDefault="0070429C" w:rsidP="00B205BA">
            <w:pPr>
              <w:pStyle w:val="TableParagraph"/>
              <w:spacing w:before="17" w:after="120"/>
              <w:ind w:left="33" w:right="30"/>
              <w:jc w:val="center"/>
              <w:rPr>
                <w:bCs/>
                <w:sz w:val="16"/>
                <w:szCs w:val="16"/>
              </w:rPr>
            </w:pPr>
            <w:r w:rsidRPr="008730A1">
              <w:rPr>
                <w:bCs/>
                <w:spacing w:val="-5"/>
                <w:sz w:val="16"/>
                <w:szCs w:val="16"/>
              </w:rPr>
              <w:t>14</w:t>
            </w:r>
          </w:p>
        </w:tc>
        <w:tc>
          <w:tcPr>
            <w:tcW w:w="992" w:type="dxa"/>
            <w:vAlign w:val="center"/>
          </w:tcPr>
          <w:p w14:paraId="473464C2" w14:textId="77777777" w:rsidR="0070429C" w:rsidRPr="008730A1" w:rsidRDefault="0070429C" w:rsidP="00B205BA">
            <w:pPr>
              <w:pStyle w:val="TableParagraph"/>
              <w:spacing w:before="17" w:after="120"/>
              <w:ind w:right="17"/>
              <w:jc w:val="center"/>
              <w:rPr>
                <w:bCs/>
                <w:sz w:val="16"/>
                <w:szCs w:val="16"/>
              </w:rPr>
            </w:pPr>
            <w:r w:rsidRPr="008730A1">
              <w:rPr>
                <w:bCs/>
                <w:w w:val="90"/>
                <w:sz w:val="16"/>
                <w:szCs w:val="16"/>
              </w:rPr>
              <w:t>-</w:t>
            </w:r>
            <w:r w:rsidRPr="008730A1">
              <w:rPr>
                <w:bCs/>
                <w:spacing w:val="-5"/>
                <w:sz w:val="16"/>
                <w:szCs w:val="16"/>
              </w:rPr>
              <w:t>73</w:t>
            </w:r>
          </w:p>
        </w:tc>
        <w:tc>
          <w:tcPr>
            <w:tcW w:w="709" w:type="dxa"/>
            <w:vAlign w:val="center"/>
          </w:tcPr>
          <w:p w14:paraId="400A36E0" w14:textId="77777777" w:rsidR="0070429C" w:rsidRPr="008730A1" w:rsidRDefault="0070429C" w:rsidP="00B205BA">
            <w:pPr>
              <w:pStyle w:val="TableParagraph"/>
              <w:spacing w:before="17" w:after="120"/>
              <w:ind w:right="32"/>
              <w:jc w:val="center"/>
              <w:rPr>
                <w:bCs/>
                <w:sz w:val="16"/>
                <w:szCs w:val="16"/>
              </w:rPr>
            </w:pPr>
            <w:r w:rsidRPr="008730A1">
              <w:rPr>
                <w:bCs/>
                <w:spacing w:val="-4"/>
                <w:sz w:val="16"/>
                <w:szCs w:val="16"/>
              </w:rPr>
              <w:t>-83.9</w:t>
            </w:r>
          </w:p>
        </w:tc>
      </w:tr>
      <w:tr w:rsidR="0070429C" w14:paraId="15732395" w14:textId="77777777" w:rsidTr="000635AB">
        <w:trPr>
          <w:trHeight w:val="236"/>
          <w:jc w:val="center"/>
        </w:trPr>
        <w:tc>
          <w:tcPr>
            <w:tcW w:w="562" w:type="dxa"/>
            <w:vAlign w:val="center"/>
          </w:tcPr>
          <w:p w14:paraId="7A23BB3F" w14:textId="77777777" w:rsidR="0070429C" w:rsidRPr="008730A1" w:rsidRDefault="0070429C" w:rsidP="00B205BA">
            <w:pPr>
              <w:pStyle w:val="TableParagraph"/>
              <w:numPr>
                <w:ilvl w:val="0"/>
                <w:numId w:val="25"/>
              </w:numPr>
              <w:spacing w:after="120"/>
              <w:jc w:val="center"/>
              <w:rPr>
                <w:bCs/>
                <w:sz w:val="16"/>
                <w:szCs w:val="16"/>
              </w:rPr>
            </w:pPr>
          </w:p>
        </w:tc>
        <w:tc>
          <w:tcPr>
            <w:tcW w:w="4395" w:type="dxa"/>
            <w:vAlign w:val="center"/>
          </w:tcPr>
          <w:p w14:paraId="47D34BA2" w14:textId="77777777" w:rsidR="0070429C" w:rsidRPr="008730A1" w:rsidRDefault="0070429C" w:rsidP="00B205BA">
            <w:pPr>
              <w:pStyle w:val="TableParagraph"/>
              <w:spacing w:after="120"/>
              <w:ind w:right="427"/>
              <w:rPr>
                <w:bCs/>
                <w:spacing w:val="-2"/>
                <w:sz w:val="16"/>
                <w:szCs w:val="16"/>
              </w:rPr>
            </w:pPr>
            <w:r w:rsidRPr="008730A1">
              <w:rPr>
                <w:bCs/>
                <w:spacing w:val="-2"/>
                <w:sz w:val="16"/>
                <w:szCs w:val="16"/>
              </w:rPr>
              <w:t>Incumplimiento</w:t>
            </w:r>
            <w:r w:rsidRPr="008730A1">
              <w:rPr>
                <w:bCs/>
                <w:spacing w:val="-10"/>
                <w:sz w:val="16"/>
                <w:szCs w:val="16"/>
              </w:rPr>
              <w:t xml:space="preserve"> </w:t>
            </w:r>
            <w:r w:rsidRPr="008730A1">
              <w:rPr>
                <w:bCs/>
                <w:spacing w:val="-2"/>
                <w:sz w:val="16"/>
                <w:szCs w:val="16"/>
              </w:rPr>
              <w:t>de</w:t>
            </w:r>
            <w:r w:rsidRPr="008730A1">
              <w:rPr>
                <w:bCs/>
                <w:spacing w:val="-10"/>
                <w:sz w:val="16"/>
                <w:szCs w:val="16"/>
              </w:rPr>
              <w:t xml:space="preserve"> </w:t>
            </w:r>
            <w:r w:rsidRPr="008730A1">
              <w:rPr>
                <w:bCs/>
                <w:spacing w:val="-2"/>
                <w:sz w:val="16"/>
                <w:szCs w:val="16"/>
              </w:rPr>
              <w:t xml:space="preserve">obligaciones </w:t>
            </w:r>
            <w:r w:rsidRPr="008730A1">
              <w:rPr>
                <w:bCs/>
                <w:sz w:val="16"/>
                <w:szCs w:val="16"/>
              </w:rPr>
              <w:t>de asistencia familiar</w:t>
            </w:r>
          </w:p>
        </w:tc>
        <w:tc>
          <w:tcPr>
            <w:tcW w:w="850" w:type="dxa"/>
          </w:tcPr>
          <w:p w14:paraId="1009677D" w14:textId="77777777" w:rsidR="0070429C" w:rsidRPr="008730A1" w:rsidRDefault="0070429C" w:rsidP="00B205BA">
            <w:pPr>
              <w:pStyle w:val="TableParagraph"/>
              <w:spacing w:after="120"/>
              <w:ind w:right="38"/>
              <w:jc w:val="center"/>
              <w:rPr>
                <w:bCs/>
                <w:spacing w:val="-5"/>
                <w:sz w:val="16"/>
                <w:szCs w:val="16"/>
              </w:rPr>
            </w:pPr>
            <w:r w:rsidRPr="008730A1">
              <w:rPr>
                <w:bCs/>
                <w:spacing w:val="-5"/>
                <w:sz w:val="16"/>
                <w:szCs w:val="16"/>
              </w:rPr>
              <w:t>479</w:t>
            </w:r>
          </w:p>
        </w:tc>
        <w:tc>
          <w:tcPr>
            <w:tcW w:w="851" w:type="dxa"/>
          </w:tcPr>
          <w:p w14:paraId="53D3CD86" w14:textId="77777777" w:rsidR="0070429C" w:rsidRPr="008730A1" w:rsidRDefault="0070429C" w:rsidP="00B205BA">
            <w:pPr>
              <w:pStyle w:val="TableParagraph"/>
              <w:spacing w:after="120"/>
              <w:ind w:left="33" w:right="30"/>
              <w:jc w:val="center"/>
              <w:rPr>
                <w:bCs/>
                <w:spacing w:val="-5"/>
                <w:sz w:val="16"/>
                <w:szCs w:val="16"/>
              </w:rPr>
            </w:pPr>
            <w:r w:rsidRPr="008730A1">
              <w:rPr>
                <w:bCs/>
                <w:spacing w:val="-5"/>
                <w:sz w:val="16"/>
                <w:szCs w:val="16"/>
              </w:rPr>
              <w:t>150</w:t>
            </w:r>
          </w:p>
        </w:tc>
        <w:tc>
          <w:tcPr>
            <w:tcW w:w="992" w:type="dxa"/>
          </w:tcPr>
          <w:p w14:paraId="7F806079" w14:textId="77777777" w:rsidR="0070429C" w:rsidRPr="008730A1" w:rsidRDefault="0070429C" w:rsidP="00B205BA">
            <w:pPr>
              <w:pStyle w:val="TableParagraph"/>
              <w:spacing w:after="120"/>
              <w:ind w:left="1" w:right="17"/>
              <w:jc w:val="center"/>
              <w:rPr>
                <w:bCs/>
                <w:spacing w:val="-4"/>
                <w:sz w:val="16"/>
                <w:szCs w:val="16"/>
              </w:rPr>
            </w:pPr>
            <w:r w:rsidRPr="008730A1">
              <w:rPr>
                <w:bCs/>
                <w:spacing w:val="-4"/>
                <w:sz w:val="16"/>
                <w:szCs w:val="16"/>
              </w:rPr>
              <w:t>-</w:t>
            </w:r>
            <w:r w:rsidRPr="008730A1">
              <w:rPr>
                <w:bCs/>
                <w:spacing w:val="-5"/>
                <w:sz w:val="16"/>
                <w:szCs w:val="16"/>
              </w:rPr>
              <w:t>329</w:t>
            </w:r>
          </w:p>
        </w:tc>
        <w:tc>
          <w:tcPr>
            <w:tcW w:w="709" w:type="dxa"/>
          </w:tcPr>
          <w:p w14:paraId="7B01F724" w14:textId="77777777" w:rsidR="0070429C" w:rsidRPr="008730A1" w:rsidRDefault="0070429C" w:rsidP="00B205BA">
            <w:pPr>
              <w:pStyle w:val="TableParagraph"/>
              <w:spacing w:after="120"/>
              <w:ind w:right="32"/>
              <w:jc w:val="center"/>
              <w:rPr>
                <w:bCs/>
                <w:spacing w:val="-4"/>
                <w:sz w:val="16"/>
                <w:szCs w:val="16"/>
              </w:rPr>
            </w:pPr>
            <w:r w:rsidRPr="008730A1">
              <w:rPr>
                <w:bCs/>
                <w:spacing w:val="-4"/>
                <w:sz w:val="16"/>
                <w:szCs w:val="16"/>
              </w:rPr>
              <w:t>-68.7</w:t>
            </w:r>
          </w:p>
        </w:tc>
      </w:tr>
      <w:tr w:rsidR="0070429C" w14:paraId="3E6032D2" w14:textId="77777777" w:rsidTr="000635AB">
        <w:trPr>
          <w:trHeight w:val="223"/>
          <w:jc w:val="center"/>
        </w:trPr>
        <w:tc>
          <w:tcPr>
            <w:tcW w:w="562" w:type="dxa"/>
            <w:vAlign w:val="center"/>
          </w:tcPr>
          <w:p w14:paraId="7D28B636" w14:textId="77777777" w:rsidR="0070429C" w:rsidRPr="008730A1" w:rsidRDefault="0070429C" w:rsidP="00B205BA">
            <w:pPr>
              <w:pStyle w:val="TableParagraph"/>
              <w:numPr>
                <w:ilvl w:val="0"/>
                <w:numId w:val="25"/>
              </w:numPr>
              <w:spacing w:before="14" w:after="120"/>
              <w:jc w:val="center"/>
              <w:rPr>
                <w:bCs/>
                <w:sz w:val="16"/>
                <w:szCs w:val="16"/>
              </w:rPr>
            </w:pPr>
          </w:p>
        </w:tc>
        <w:tc>
          <w:tcPr>
            <w:tcW w:w="4395" w:type="dxa"/>
            <w:vAlign w:val="center"/>
          </w:tcPr>
          <w:p w14:paraId="1DE32078" w14:textId="77777777" w:rsidR="0070429C" w:rsidRPr="008730A1" w:rsidRDefault="0070429C" w:rsidP="00B205BA">
            <w:pPr>
              <w:pStyle w:val="TableParagraph"/>
              <w:spacing w:before="14" w:after="120"/>
              <w:rPr>
                <w:bCs/>
                <w:sz w:val="16"/>
                <w:szCs w:val="16"/>
              </w:rPr>
            </w:pPr>
            <w:r w:rsidRPr="008730A1">
              <w:rPr>
                <w:bCs/>
                <w:spacing w:val="-2"/>
                <w:w w:val="105"/>
                <w:sz w:val="16"/>
                <w:szCs w:val="16"/>
              </w:rPr>
              <w:t>Fraude</w:t>
            </w:r>
          </w:p>
        </w:tc>
        <w:tc>
          <w:tcPr>
            <w:tcW w:w="850" w:type="dxa"/>
            <w:vAlign w:val="center"/>
          </w:tcPr>
          <w:p w14:paraId="2D614FF8" w14:textId="77777777" w:rsidR="0070429C" w:rsidRPr="008730A1" w:rsidRDefault="0070429C" w:rsidP="00B205BA">
            <w:pPr>
              <w:pStyle w:val="TableParagraph"/>
              <w:spacing w:before="14" w:after="120"/>
              <w:ind w:right="38"/>
              <w:jc w:val="center"/>
              <w:rPr>
                <w:bCs/>
                <w:sz w:val="16"/>
                <w:szCs w:val="16"/>
              </w:rPr>
            </w:pPr>
            <w:r w:rsidRPr="008730A1">
              <w:rPr>
                <w:bCs/>
                <w:spacing w:val="-5"/>
                <w:w w:val="105"/>
                <w:sz w:val="16"/>
                <w:szCs w:val="16"/>
              </w:rPr>
              <w:t>200</w:t>
            </w:r>
          </w:p>
        </w:tc>
        <w:tc>
          <w:tcPr>
            <w:tcW w:w="851" w:type="dxa"/>
            <w:vAlign w:val="center"/>
          </w:tcPr>
          <w:p w14:paraId="0945B5AA" w14:textId="77777777" w:rsidR="0070429C" w:rsidRPr="008730A1" w:rsidRDefault="0070429C" w:rsidP="00B205BA">
            <w:pPr>
              <w:pStyle w:val="TableParagraph"/>
              <w:spacing w:before="14" w:after="120"/>
              <w:ind w:left="33" w:right="30"/>
              <w:jc w:val="center"/>
              <w:rPr>
                <w:bCs/>
                <w:sz w:val="16"/>
                <w:szCs w:val="16"/>
              </w:rPr>
            </w:pPr>
            <w:r w:rsidRPr="008730A1">
              <w:rPr>
                <w:bCs/>
                <w:spacing w:val="-5"/>
                <w:w w:val="105"/>
                <w:sz w:val="16"/>
                <w:szCs w:val="16"/>
              </w:rPr>
              <w:t>66</w:t>
            </w:r>
          </w:p>
        </w:tc>
        <w:tc>
          <w:tcPr>
            <w:tcW w:w="992" w:type="dxa"/>
            <w:vAlign w:val="center"/>
          </w:tcPr>
          <w:p w14:paraId="5256E2B2" w14:textId="77777777" w:rsidR="0070429C" w:rsidRPr="008730A1" w:rsidRDefault="0070429C" w:rsidP="00B205BA">
            <w:pPr>
              <w:pStyle w:val="TableParagraph"/>
              <w:spacing w:before="14" w:after="120"/>
              <w:ind w:left="1" w:right="17"/>
              <w:jc w:val="center"/>
              <w:rPr>
                <w:bCs/>
                <w:sz w:val="16"/>
                <w:szCs w:val="16"/>
              </w:rPr>
            </w:pPr>
            <w:r w:rsidRPr="008730A1">
              <w:rPr>
                <w:bCs/>
                <w:w w:val="85"/>
                <w:sz w:val="16"/>
                <w:szCs w:val="16"/>
              </w:rPr>
              <w:t>-</w:t>
            </w:r>
            <w:r w:rsidRPr="008730A1">
              <w:rPr>
                <w:bCs/>
                <w:spacing w:val="-5"/>
                <w:sz w:val="16"/>
                <w:szCs w:val="16"/>
              </w:rPr>
              <w:t>134</w:t>
            </w:r>
          </w:p>
        </w:tc>
        <w:tc>
          <w:tcPr>
            <w:tcW w:w="709" w:type="dxa"/>
            <w:vAlign w:val="center"/>
          </w:tcPr>
          <w:p w14:paraId="6A439962" w14:textId="77777777" w:rsidR="0070429C" w:rsidRPr="008730A1" w:rsidRDefault="0070429C" w:rsidP="00B205BA">
            <w:pPr>
              <w:pStyle w:val="TableParagraph"/>
              <w:spacing w:before="14" w:after="120"/>
              <w:ind w:right="32"/>
              <w:jc w:val="center"/>
              <w:rPr>
                <w:bCs/>
                <w:sz w:val="16"/>
                <w:szCs w:val="16"/>
              </w:rPr>
            </w:pPr>
            <w:r w:rsidRPr="008730A1">
              <w:rPr>
                <w:bCs/>
                <w:sz w:val="16"/>
                <w:szCs w:val="16"/>
              </w:rPr>
              <w:t>-</w:t>
            </w:r>
            <w:r w:rsidRPr="008730A1">
              <w:rPr>
                <w:bCs/>
                <w:spacing w:val="-4"/>
                <w:sz w:val="16"/>
                <w:szCs w:val="16"/>
              </w:rPr>
              <w:t>67.0</w:t>
            </w:r>
          </w:p>
        </w:tc>
      </w:tr>
      <w:tr w:rsidR="0070429C" w14:paraId="335F46C3" w14:textId="77777777" w:rsidTr="000635AB">
        <w:trPr>
          <w:trHeight w:val="223"/>
          <w:jc w:val="center"/>
        </w:trPr>
        <w:tc>
          <w:tcPr>
            <w:tcW w:w="562" w:type="dxa"/>
            <w:vAlign w:val="center"/>
          </w:tcPr>
          <w:p w14:paraId="0B8A838D" w14:textId="77777777" w:rsidR="0070429C" w:rsidRPr="008730A1" w:rsidRDefault="0070429C" w:rsidP="00B205BA">
            <w:pPr>
              <w:pStyle w:val="TableParagraph"/>
              <w:numPr>
                <w:ilvl w:val="0"/>
                <w:numId w:val="25"/>
              </w:numPr>
              <w:spacing w:before="14" w:after="120"/>
              <w:jc w:val="center"/>
              <w:rPr>
                <w:bCs/>
                <w:sz w:val="16"/>
                <w:szCs w:val="16"/>
              </w:rPr>
            </w:pPr>
          </w:p>
        </w:tc>
        <w:tc>
          <w:tcPr>
            <w:tcW w:w="4395" w:type="dxa"/>
            <w:vAlign w:val="center"/>
          </w:tcPr>
          <w:p w14:paraId="5BE562DB" w14:textId="77777777" w:rsidR="0070429C" w:rsidRPr="008730A1" w:rsidRDefault="0070429C" w:rsidP="00B205BA">
            <w:pPr>
              <w:pStyle w:val="TableParagraph"/>
              <w:spacing w:before="14" w:after="120"/>
              <w:rPr>
                <w:bCs/>
                <w:sz w:val="16"/>
                <w:szCs w:val="16"/>
              </w:rPr>
            </w:pPr>
            <w:r w:rsidRPr="00D41D61">
              <w:rPr>
                <w:bCs/>
                <w:spacing w:val="-2"/>
                <w:w w:val="105"/>
                <w:sz w:val="16"/>
                <w:szCs w:val="16"/>
              </w:rPr>
              <w:t>Homicidio doloso</w:t>
            </w:r>
          </w:p>
        </w:tc>
        <w:tc>
          <w:tcPr>
            <w:tcW w:w="850" w:type="dxa"/>
            <w:vAlign w:val="center"/>
          </w:tcPr>
          <w:p w14:paraId="0A0E52F7" w14:textId="77777777" w:rsidR="0070429C" w:rsidRPr="008730A1" w:rsidRDefault="0070429C" w:rsidP="00B205BA">
            <w:pPr>
              <w:pStyle w:val="TableParagraph"/>
              <w:spacing w:before="14" w:after="120"/>
              <w:ind w:right="38"/>
              <w:jc w:val="center"/>
              <w:rPr>
                <w:bCs/>
                <w:sz w:val="16"/>
                <w:szCs w:val="16"/>
              </w:rPr>
            </w:pPr>
            <w:r w:rsidRPr="008730A1">
              <w:rPr>
                <w:bCs/>
                <w:spacing w:val="-5"/>
                <w:sz w:val="16"/>
                <w:szCs w:val="16"/>
              </w:rPr>
              <w:t>106</w:t>
            </w:r>
          </w:p>
        </w:tc>
        <w:tc>
          <w:tcPr>
            <w:tcW w:w="851" w:type="dxa"/>
            <w:vAlign w:val="center"/>
          </w:tcPr>
          <w:p w14:paraId="62917451" w14:textId="77777777" w:rsidR="0070429C" w:rsidRPr="008730A1" w:rsidRDefault="0070429C" w:rsidP="00B205BA">
            <w:pPr>
              <w:pStyle w:val="TableParagraph"/>
              <w:spacing w:before="14" w:after="120"/>
              <w:ind w:left="33" w:right="30"/>
              <w:jc w:val="center"/>
              <w:rPr>
                <w:bCs/>
                <w:sz w:val="16"/>
                <w:szCs w:val="16"/>
              </w:rPr>
            </w:pPr>
            <w:r w:rsidRPr="008730A1">
              <w:rPr>
                <w:bCs/>
                <w:spacing w:val="-5"/>
                <w:sz w:val="16"/>
                <w:szCs w:val="16"/>
              </w:rPr>
              <w:t>55</w:t>
            </w:r>
          </w:p>
        </w:tc>
        <w:tc>
          <w:tcPr>
            <w:tcW w:w="992" w:type="dxa"/>
            <w:vAlign w:val="center"/>
          </w:tcPr>
          <w:p w14:paraId="0128362D" w14:textId="77777777" w:rsidR="0070429C" w:rsidRPr="008730A1" w:rsidRDefault="0070429C" w:rsidP="00B205BA">
            <w:pPr>
              <w:pStyle w:val="TableParagraph"/>
              <w:spacing w:before="14" w:after="120"/>
              <w:ind w:left="1" w:right="17"/>
              <w:jc w:val="center"/>
              <w:rPr>
                <w:bCs/>
                <w:sz w:val="16"/>
                <w:szCs w:val="16"/>
              </w:rPr>
            </w:pPr>
            <w:r w:rsidRPr="008730A1">
              <w:rPr>
                <w:bCs/>
                <w:w w:val="80"/>
                <w:sz w:val="16"/>
                <w:szCs w:val="16"/>
              </w:rPr>
              <w:t>-</w:t>
            </w:r>
            <w:r w:rsidRPr="008730A1">
              <w:rPr>
                <w:bCs/>
                <w:spacing w:val="-5"/>
                <w:w w:val="90"/>
                <w:sz w:val="16"/>
                <w:szCs w:val="16"/>
              </w:rPr>
              <w:t>51</w:t>
            </w:r>
          </w:p>
        </w:tc>
        <w:tc>
          <w:tcPr>
            <w:tcW w:w="709" w:type="dxa"/>
            <w:vAlign w:val="center"/>
          </w:tcPr>
          <w:p w14:paraId="7EB2FB4A" w14:textId="77777777" w:rsidR="0070429C" w:rsidRPr="008730A1" w:rsidRDefault="0070429C" w:rsidP="00B205BA">
            <w:pPr>
              <w:pStyle w:val="TableParagraph"/>
              <w:spacing w:before="14" w:after="120"/>
              <w:ind w:right="32"/>
              <w:jc w:val="center"/>
              <w:rPr>
                <w:bCs/>
                <w:sz w:val="16"/>
                <w:szCs w:val="16"/>
              </w:rPr>
            </w:pPr>
            <w:r w:rsidRPr="008730A1">
              <w:rPr>
                <w:bCs/>
                <w:w w:val="90"/>
                <w:sz w:val="16"/>
                <w:szCs w:val="16"/>
              </w:rPr>
              <w:t>-</w:t>
            </w:r>
            <w:r w:rsidRPr="008730A1">
              <w:rPr>
                <w:bCs/>
                <w:spacing w:val="-4"/>
                <w:sz w:val="16"/>
                <w:szCs w:val="16"/>
              </w:rPr>
              <w:t>48.1</w:t>
            </w:r>
          </w:p>
        </w:tc>
      </w:tr>
      <w:tr w:rsidR="0070429C" w14:paraId="366D432D" w14:textId="77777777" w:rsidTr="000635AB">
        <w:trPr>
          <w:trHeight w:val="223"/>
          <w:jc w:val="center"/>
        </w:trPr>
        <w:tc>
          <w:tcPr>
            <w:tcW w:w="562" w:type="dxa"/>
            <w:vAlign w:val="center"/>
          </w:tcPr>
          <w:p w14:paraId="692A7609" w14:textId="77777777" w:rsidR="0070429C" w:rsidRPr="008730A1" w:rsidRDefault="0070429C" w:rsidP="00B205BA">
            <w:pPr>
              <w:pStyle w:val="TableParagraph"/>
              <w:numPr>
                <w:ilvl w:val="0"/>
                <w:numId w:val="25"/>
              </w:numPr>
              <w:spacing w:before="14" w:after="120"/>
              <w:jc w:val="center"/>
              <w:rPr>
                <w:bCs/>
                <w:sz w:val="16"/>
                <w:szCs w:val="16"/>
              </w:rPr>
            </w:pPr>
          </w:p>
        </w:tc>
        <w:tc>
          <w:tcPr>
            <w:tcW w:w="4395" w:type="dxa"/>
            <w:vAlign w:val="center"/>
          </w:tcPr>
          <w:p w14:paraId="1CFF3740" w14:textId="77777777" w:rsidR="0070429C" w:rsidRPr="008730A1" w:rsidRDefault="0070429C" w:rsidP="00B205BA">
            <w:pPr>
              <w:pStyle w:val="TableParagraph"/>
              <w:spacing w:before="14" w:after="120"/>
              <w:rPr>
                <w:bCs/>
                <w:sz w:val="16"/>
                <w:szCs w:val="16"/>
              </w:rPr>
            </w:pPr>
            <w:r w:rsidRPr="008730A1">
              <w:rPr>
                <w:bCs/>
                <w:sz w:val="16"/>
                <w:szCs w:val="16"/>
              </w:rPr>
              <w:t>Robo</w:t>
            </w:r>
            <w:r w:rsidRPr="008730A1">
              <w:rPr>
                <w:bCs/>
                <w:spacing w:val="10"/>
                <w:sz w:val="16"/>
                <w:szCs w:val="16"/>
              </w:rPr>
              <w:t xml:space="preserve"> </w:t>
            </w:r>
            <w:r w:rsidRPr="008730A1">
              <w:rPr>
                <w:bCs/>
                <w:sz w:val="16"/>
                <w:szCs w:val="16"/>
              </w:rPr>
              <w:t>a</w:t>
            </w:r>
            <w:r w:rsidRPr="008730A1">
              <w:rPr>
                <w:bCs/>
                <w:spacing w:val="11"/>
                <w:sz w:val="16"/>
                <w:szCs w:val="16"/>
              </w:rPr>
              <w:t xml:space="preserve"> </w:t>
            </w:r>
            <w:r w:rsidRPr="008730A1">
              <w:rPr>
                <w:bCs/>
                <w:sz w:val="16"/>
                <w:szCs w:val="16"/>
              </w:rPr>
              <w:t>casa</w:t>
            </w:r>
            <w:r w:rsidRPr="008730A1">
              <w:rPr>
                <w:bCs/>
                <w:spacing w:val="11"/>
                <w:sz w:val="16"/>
                <w:szCs w:val="16"/>
              </w:rPr>
              <w:t xml:space="preserve"> </w:t>
            </w:r>
            <w:r w:rsidRPr="008730A1">
              <w:rPr>
                <w:bCs/>
                <w:spacing w:val="-2"/>
                <w:sz w:val="16"/>
                <w:szCs w:val="16"/>
              </w:rPr>
              <w:t>habitación</w:t>
            </w:r>
          </w:p>
        </w:tc>
        <w:tc>
          <w:tcPr>
            <w:tcW w:w="850" w:type="dxa"/>
            <w:vAlign w:val="center"/>
          </w:tcPr>
          <w:p w14:paraId="05F74F05" w14:textId="77777777" w:rsidR="0070429C" w:rsidRPr="008730A1" w:rsidRDefault="0070429C" w:rsidP="00B205BA">
            <w:pPr>
              <w:pStyle w:val="TableParagraph"/>
              <w:spacing w:before="14" w:after="120"/>
              <w:ind w:right="38"/>
              <w:jc w:val="center"/>
              <w:rPr>
                <w:bCs/>
                <w:sz w:val="16"/>
                <w:szCs w:val="16"/>
              </w:rPr>
            </w:pPr>
            <w:r w:rsidRPr="008730A1">
              <w:rPr>
                <w:bCs/>
                <w:spacing w:val="-5"/>
                <w:sz w:val="16"/>
                <w:szCs w:val="16"/>
              </w:rPr>
              <w:t>122</w:t>
            </w:r>
          </w:p>
        </w:tc>
        <w:tc>
          <w:tcPr>
            <w:tcW w:w="851" w:type="dxa"/>
            <w:vAlign w:val="center"/>
          </w:tcPr>
          <w:p w14:paraId="7B9F3234" w14:textId="77777777" w:rsidR="0070429C" w:rsidRPr="008730A1" w:rsidRDefault="0070429C" w:rsidP="00B205BA">
            <w:pPr>
              <w:pStyle w:val="TableParagraph"/>
              <w:spacing w:before="14" w:after="120"/>
              <w:ind w:left="33" w:right="30"/>
              <w:jc w:val="center"/>
              <w:rPr>
                <w:bCs/>
                <w:sz w:val="16"/>
                <w:szCs w:val="16"/>
              </w:rPr>
            </w:pPr>
            <w:r w:rsidRPr="008730A1">
              <w:rPr>
                <w:bCs/>
                <w:spacing w:val="-5"/>
                <w:w w:val="95"/>
                <w:sz w:val="16"/>
                <w:szCs w:val="16"/>
              </w:rPr>
              <w:t>71</w:t>
            </w:r>
          </w:p>
        </w:tc>
        <w:tc>
          <w:tcPr>
            <w:tcW w:w="992" w:type="dxa"/>
            <w:vAlign w:val="center"/>
          </w:tcPr>
          <w:p w14:paraId="2555E85B" w14:textId="77777777" w:rsidR="0070429C" w:rsidRPr="008730A1" w:rsidRDefault="0070429C" w:rsidP="00B205BA">
            <w:pPr>
              <w:pStyle w:val="TableParagraph"/>
              <w:spacing w:before="14" w:after="120"/>
              <w:ind w:left="1" w:right="17"/>
              <w:jc w:val="center"/>
              <w:rPr>
                <w:bCs/>
                <w:sz w:val="16"/>
                <w:szCs w:val="16"/>
              </w:rPr>
            </w:pPr>
            <w:r w:rsidRPr="008730A1">
              <w:rPr>
                <w:bCs/>
                <w:w w:val="80"/>
                <w:sz w:val="16"/>
                <w:szCs w:val="16"/>
              </w:rPr>
              <w:t>-</w:t>
            </w:r>
            <w:r w:rsidRPr="008730A1">
              <w:rPr>
                <w:bCs/>
                <w:spacing w:val="-5"/>
                <w:w w:val="90"/>
                <w:sz w:val="16"/>
                <w:szCs w:val="16"/>
              </w:rPr>
              <w:t>51</w:t>
            </w:r>
          </w:p>
        </w:tc>
        <w:tc>
          <w:tcPr>
            <w:tcW w:w="709" w:type="dxa"/>
            <w:vAlign w:val="center"/>
          </w:tcPr>
          <w:p w14:paraId="6BBFC173" w14:textId="77777777" w:rsidR="0070429C" w:rsidRPr="008730A1" w:rsidRDefault="0070429C" w:rsidP="00B205BA">
            <w:pPr>
              <w:pStyle w:val="TableParagraph"/>
              <w:spacing w:before="14" w:after="120"/>
              <w:ind w:right="32"/>
              <w:jc w:val="center"/>
              <w:rPr>
                <w:bCs/>
                <w:sz w:val="16"/>
                <w:szCs w:val="16"/>
              </w:rPr>
            </w:pPr>
            <w:r w:rsidRPr="008730A1">
              <w:rPr>
                <w:bCs/>
                <w:w w:val="90"/>
                <w:sz w:val="16"/>
                <w:szCs w:val="16"/>
              </w:rPr>
              <w:t>-</w:t>
            </w:r>
            <w:r w:rsidRPr="008730A1">
              <w:rPr>
                <w:bCs/>
                <w:spacing w:val="-4"/>
                <w:sz w:val="16"/>
                <w:szCs w:val="16"/>
              </w:rPr>
              <w:t>41.8</w:t>
            </w:r>
          </w:p>
        </w:tc>
      </w:tr>
      <w:tr w:rsidR="0070429C" w14:paraId="6D0C5E85" w14:textId="77777777" w:rsidTr="000635AB">
        <w:trPr>
          <w:trHeight w:val="223"/>
          <w:jc w:val="center"/>
        </w:trPr>
        <w:tc>
          <w:tcPr>
            <w:tcW w:w="562" w:type="dxa"/>
            <w:vAlign w:val="center"/>
          </w:tcPr>
          <w:p w14:paraId="18B6EC7E" w14:textId="77777777" w:rsidR="0070429C" w:rsidRPr="008730A1" w:rsidRDefault="0070429C" w:rsidP="00B205BA">
            <w:pPr>
              <w:pStyle w:val="TableParagraph"/>
              <w:numPr>
                <w:ilvl w:val="0"/>
                <w:numId w:val="25"/>
              </w:numPr>
              <w:spacing w:before="14" w:after="120"/>
              <w:jc w:val="center"/>
              <w:rPr>
                <w:bCs/>
                <w:sz w:val="16"/>
                <w:szCs w:val="16"/>
              </w:rPr>
            </w:pPr>
          </w:p>
        </w:tc>
        <w:tc>
          <w:tcPr>
            <w:tcW w:w="4395" w:type="dxa"/>
            <w:vAlign w:val="center"/>
          </w:tcPr>
          <w:p w14:paraId="3C9B5AC4" w14:textId="77777777" w:rsidR="0070429C" w:rsidRPr="008730A1" w:rsidRDefault="0070429C" w:rsidP="00B205BA">
            <w:pPr>
              <w:pStyle w:val="TableParagraph"/>
              <w:spacing w:before="14" w:after="120"/>
              <w:rPr>
                <w:bCs/>
                <w:sz w:val="16"/>
                <w:szCs w:val="16"/>
              </w:rPr>
            </w:pPr>
            <w:r w:rsidRPr="008730A1">
              <w:rPr>
                <w:bCs/>
                <w:w w:val="105"/>
                <w:sz w:val="16"/>
                <w:szCs w:val="16"/>
              </w:rPr>
              <w:t>Abuso</w:t>
            </w:r>
            <w:r w:rsidRPr="008730A1">
              <w:rPr>
                <w:bCs/>
                <w:spacing w:val="-12"/>
                <w:w w:val="105"/>
                <w:sz w:val="16"/>
                <w:szCs w:val="16"/>
              </w:rPr>
              <w:t xml:space="preserve"> </w:t>
            </w:r>
            <w:r w:rsidRPr="008730A1">
              <w:rPr>
                <w:bCs/>
                <w:spacing w:val="-2"/>
                <w:w w:val="105"/>
                <w:sz w:val="16"/>
                <w:szCs w:val="16"/>
              </w:rPr>
              <w:t>sexual</w:t>
            </w:r>
          </w:p>
        </w:tc>
        <w:tc>
          <w:tcPr>
            <w:tcW w:w="850" w:type="dxa"/>
            <w:vAlign w:val="center"/>
          </w:tcPr>
          <w:p w14:paraId="2EF5E580" w14:textId="77777777" w:rsidR="0070429C" w:rsidRPr="008730A1" w:rsidRDefault="0070429C" w:rsidP="00B205BA">
            <w:pPr>
              <w:pStyle w:val="TableParagraph"/>
              <w:spacing w:before="14" w:after="120"/>
              <w:ind w:right="38"/>
              <w:jc w:val="center"/>
              <w:rPr>
                <w:bCs/>
                <w:sz w:val="16"/>
                <w:szCs w:val="16"/>
              </w:rPr>
            </w:pPr>
            <w:r w:rsidRPr="008730A1">
              <w:rPr>
                <w:bCs/>
                <w:spacing w:val="-5"/>
                <w:w w:val="105"/>
                <w:sz w:val="16"/>
                <w:szCs w:val="16"/>
              </w:rPr>
              <w:t>202</w:t>
            </w:r>
          </w:p>
        </w:tc>
        <w:tc>
          <w:tcPr>
            <w:tcW w:w="851" w:type="dxa"/>
            <w:vAlign w:val="center"/>
          </w:tcPr>
          <w:p w14:paraId="2A72203D" w14:textId="77777777" w:rsidR="0070429C" w:rsidRPr="008730A1" w:rsidRDefault="0070429C" w:rsidP="00B205BA">
            <w:pPr>
              <w:pStyle w:val="TableParagraph"/>
              <w:spacing w:before="14" w:after="120"/>
              <w:ind w:left="33" w:right="30"/>
              <w:jc w:val="center"/>
              <w:rPr>
                <w:bCs/>
                <w:sz w:val="16"/>
                <w:szCs w:val="16"/>
              </w:rPr>
            </w:pPr>
            <w:r w:rsidRPr="008730A1">
              <w:rPr>
                <w:bCs/>
                <w:spacing w:val="-5"/>
                <w:sz w:val="16"/>
                <w:szCs w:val="16"/>
              </w:rPr>
              <w:t>120</w:t>
            </w:r>
          </w:p>
        </w:tc>
        <w:tc>
          <w:tcPr>
            <w:tcW w:w="992" w:type="dxa"/>
            <w:vAlign w:val="center"/>
          </w:tcPr>
          <w:p w14:paraId="774B9B99" w14:textId="77777777" w:rsidR="0070429C" w:rsidRPr="008730A1" w:rsidRDefault="0070429C" w:rsidP="00B205BA">
            <w:pPr>
              <w:pStyle w:val="TableParagraph"/>
              <w:spacing w:before="14" w:after="120"/>
              <w:ind w:right="17"/>
              <w:jc w:val="center"/>
              <w:rPr>
                <w:bCs/>
                <w:sz w:val="16"/>
                <w:szCs w:val="16"/>
              </w:rPr>
            </w:pPr>
            <w:r w:rsidRPr="008730A1">
              <w:rPr>
                <w:bCs/>
                <w:spacing w:val="-5"/>
                <w:sz w:val="16"/>
                <w:szCs w:val="16"/>
              </w:rPr>
              <w:t>-82</w:t>
            </w:r>
          </w:p>
        </w:tc>
        <w:tc>
          <w:tcPr>
            <w:tcW w:w="709" w:type="dxa"/>
            <w:vAlign w:val="center"/>
          </w:tcPr>
          <w:p w14:paraId="2A9D3BD0" w14:textId="77777777" w:rsidR="0070429C" w:rsidRPr="008730A1" w:rsidRDefault="0070429C" w:rsidP="00B205BA">
            <w:pPr>
              <w:pStyle w:val="TableParagraph"/>
              <w:spacing w:before="14" w:after="120"/>
              <w:ind w:right="32"/>
              <w:jc w:val="center"/>
              <w:rPr>
                <w:bCs/>
                <w:sz w:val="16"/>
                <w:szCs w:val="16"/>
              </w:rPr>
            </w:pPr>
            <w:r w:rsidRPr="008730A1">
              <w:rPr>
                <w:bCs/>
                <w:sz w:val="16"/>
                <w:szCs w:val="16"/>
              </w:rPr>
              <w:t>-</w:t>
            </w:r>
            <w:r w:rsidRPr="008730A1">
              <w:rPr>
                <w:bCs/>
                <w:spacing w:val="-4"/>
                <w:sz w:val="16"/>
                <w:szCs w:val="16"/>
              </w:rPr>
              <w:t>40.6</w:t>
            </w:r>
          </w:p>
        </w:tc>
      </w:tr>
      <w:tr w:rsidR="0070429C" w14:paraId="494CCB1F" w14:textId="77777777" w:rsidTr="000635AB">
        <w:trPr>
          <w:trHeight w:val="223"/>
          <w:jc w:val="center"/>
        </w:trPr>
        <w:tc>
          <w:tcPr>
            <w:tcW w:w="562" w:type="dxa"/>
            <w:vAlign w:val="center"/>
          </w:tcPr>
          <w:p w14:paraId="0E930ADB" w14:textId="77777777" w:rsidR="0070429C" w:rsidRPr="008730A1" w:rsidRDefault="0070429C" w:rsidP="00B205BA">
            <w:pPr>
              <w:pStyle w:val="TableParagraph"/>
              <w:numPr>
                <w:ilvl w:val="0"/>
                <w:numId w:val="25"/>
              </w:numPr>
              <w:spacing w:before="13" w:after="120"/>
              <w:jc w:val="center"/>
              <w:rPr>
                <w:bCs/>
                <w:sz w:val="16"/>
                <w:szCs w:val="16"/>
              </w:rPr>
            </w:pPr>
          </w:p>
        </w:tc>
        <w:tc>
          <w:tcPr>
            <w:tcW w:w="4395" w:type="dxa"/>
            <w:vAlign w:val="center"/>
          </w:tcPr>
          <w:p w14:paraId="3A1434D2" w14:textId="77777777" w:rsidR="0070429C" w:rsidRPr="008730A1" w:rsidRDefault="0070429C" w:rsidP="00B205BA">
            <w:pPr>
              <w:pStyle w:val="TableParagraph"/>
              <w:spacing w:before="13" w:after="120"/>
              <w:rPr>
                <w:bCs/>
                <w:sz w:val="16"/>
                <w:szCs w:val="16"/>
              </w:rPr>
            </w:pPr>
            <w:r w:rsidRPr="008730A1">
              <w:rPr>
                <w:bCs/>
                <w:sz w:val="16"/>
                <w:szCs w:val="16"/>
              </w:rPr>
              <w:t>Otros</w:t>
            </w:r>
            <w:r w:rsidRPr="008730A1">
              <w:rPr>
                <w:bCs/>
                <w:spacing w:val="12"/>
                <w:sz w:val="16"/>
                <w:szCs w:val="16"/>
              </w:rPr>
              <w:t xml:space="preserve"> </w:t>
            </w:r>
            <w:r w:rsidRPr="008730A1">
              <w:rPr>
                <w:bCs/>
                <w:spacing w:val="-2"/>
                <w:sz w:val="16"/>
                <w:szCs w:val="16"/>
              </w:rPr>
              <w:t>robos</w:t>
            </w:r>
          </w:p>
        </w:tc>
        <w:tc>
          <w:tcPr>
            <w:tcW w:w="850" w:type="dxa"/>
            <w:vAlign w:val="center"/>
          </w:tcPr>
          <w:p w14:paraId="343B3E25" w14:textId="77777777" w:rsidR="0070429C" w:rsidRPr="008730A1" w:rsidRDefault="0070429C" w:rsidP="00B205BA">
            <w:pPr>
              <w:pStyle w:val="TableParagraph"/>
              <w:spacing w:before="13" w:after="120"/>
              <w:ind w:right="38"/>
              <w:jc w:val="center"/>
              <w:rPr>
                <w:bCs/>
                <w:sz w:val="16"/>
                <w:szCs w:val="16"/>
              </w:rPr>
            </w:pPr>
            <w:r w:rsidRPr="008730A1">
              <w:rPr>
                <w:bCs/>
                <w:spacing w:val="-5"/>
                <w:sz w:val="16"/>
                <w:szCs w:val="16"/>
              </w:rPr>
              <w:t>553</w:t>
            </w:r>
          </w:p>
        </w:tc>
        <w:tc>
          <w:tcPr>
            <w:tcW w:w="851" w:type="dxa"/>
            <w:vAlign w:val="center"/>
          </w:tcPr>
          <w:p w14:paraId="5FCBF3D2" w14:textId="77777777" w:rsidR="0070429C" w:rsidRPr="008730A1" w:rsidRDefault="0070429C" w:rsidP="00B205BA">
            <w:pPr>
              <w:pStyle w:val="TableParagraph"/>
              <w:spacing w:before="13" w:after="120"/>
              <w:ind w:left="33" w:right="30"/>
              <w:jc w:val="center"/>
              <w:rPr>
                <w:bCs/>
                <w:sz w:val="16"/>
                <w:szCs w:val="16"/>
              </w:rPr>
            </w:pPr>
            <w:r w:rsidRPr="008730A1">
              <w:rPr>
                <w:bCs/>
                <w:spacing w:val="-5"/>
                <w:sz w:val="16"/>
                <w:szCs w:val="16"/>
              </w:rPr>
              <w:t>344</w:t>
            </w:r>
          </w:p>
        </w:tc>
        <w:tc>
          <w:tcPr>
            <w:tcW w:w="992" w:type="dxa"/>
            <w:vAlign w:val="center"/>
          </w:tcPr>
          <w:p w14:paraId="2E55AC16" w14:textId="77777777" w:rsidR="0070429C" w:rsidRPr="008730A1" w:rsidRDefault="0070429C" w:rsidP="00B205BA">
            <w:pPr>
              <w:pStyle w:val="TableParagraph"/>
              <w:spacing w:before="13" w:after="120"/>
              <w:ind w:right="17"/>
              <w:jc w:val="center"/>
              <w:rPr>
                <w:bCs/>
                <w:sz w:val="16"/>
                <w:szCs w:val="16"/>
              </w:rPr>
            </w:pPr>
            <w:r w:rsidRPr="008730A1">
              <w:rPr>
                <w:bCs/>
                <w:sz w:val="16"/>
                <w:szCs w:val="16"/>
              </w:rPr>
              <w:t>-</w:t>
            </w:r>
            <w:r w:rsidRPr="008730A1">
              <w:rPr>
                <w:bCs/>
                <w:spacing w:val="-5"/>
                <w:sz w:val="16"/>
                <w:szCs w:val="16"/>
              </w:rPr>
              <w:t>209</w:t>
            </w:r>
          </w:p>
        </w:tc>
        <w:tc>
          <w:tcPr>
            <w:tcW w:w="709" w:type="dxa"/>
            <w:vAlign w:val="center"/>
          </w:tcPr>
          <w:p w14:paraId="27B797F1" w14:textId="77777777" w:rsidR="0070429C" w:rsidRPr="008730A1" w:rsidRDefault="0070429C" w:rsidP="00B205BA">
            <w:pPr>
              <w:pStyle w:val="TableParagraph"/>
              <w:spacing w:before="13" w:after="120"/>
              <w:ind w:right="32"/>
              <w:jc w:val="center"/>
              <w:rPr>
                <w:bCs/>
                <w:sz w:val="16"/>
                <w:szCs w:val="16"/>
              </w:rPr>
            </w:pPr>
            <w:r w:rsidRPr="008730A1">
              <w:rPr>
                <w:bCs/>
                <w:spacing w:val="-5"/>
                <w:sz w:val="16"/>
                <w:szCs w:val="16"/>
              </w:rPr>
              <w:t>-</w:t>
            </w:r>
            <w:r w:rsidRPr="008730A1">
              <w:rPr>
                <w:bCs/>
                <w:spacing w:val="-4"/>
                <w:sz w:val="16"/>
                <w:szCs w:val="16"/>
              </w:rPr>
              <w:t>37.8</w:t>
            </w:r>
          </w:p>
        </w:tc>
      </w:tr>
      <w:tr w:rsidR="0070429C" w14:paraId="5739C611" w14:textId="77777777" w:rsidTr="000635AB">
        <w:trPr>
          <w:trHeight w:val="223"/>
          <w:jc w:val="center"/>
        </w:trPr>
        <w:tc>
          <w:tcPr>
            <w:tcW w:w="562" w:type="dxa"/>
            <w:vAlign w:val="center"/>
          </w:tcPr>
          <w:p w14:paraId="2219448C" w14:textId="77777777" w:rsidR="0070429C" w:rsidRPr="008730A1" w:rsidRDefault="0070429C" w:rsidP="00B205BA">
            <w:pPr>
              <w:pStyle w:val="TableParagraph"/>
              <w:numPr>
                <w:ilvl w:val="0"/>
                <w:numId w:val="25"/>
              </w:numPr>
              <w:spacing w:before="13" w:after="120"/>
              <w:jc w:val="center"/>
              <w:rPr>
                <w:bCs/>
                <w:sz w:val="16"/>
                <w:szCs w:val="16"/>
              </w:rPr>
            </w:pPr>
          </w:p>
        </w:tc>
        <w:tc>
          <w:tcPr>
            <w:tcW w:w="4395" w:type="dxa"/>
            <w:vAlign w:val="center"/>
          </w:tcPr>
          <w:p w14:paraId="3E6771FF" w14:textId="77777777" w:rsidR="0070429C" w:rsidRPr="008730A1" w:rsidRDefault="0070429C" w:rsidP="00B205BA">
            <w:pPr>
              <w:pStyle w:val="TableParagraph"/>
              <w:spacing w:before="13" w:after="120"/>
              <w:rPr>
                <w:bCs/>
                <w:sz w:val="16"/>
                <w:szCs w:val="16"/>
              </w:rPr>
            </w:pPr>
            <w:r w:rsidRPr="008730A1">
              <w:rPr>
                <w:bCs/>
                <w:sz w:val="16"/>
                <w:szCs w:val="16"/>
              </w:rPr>
              <w:t>Robo</w:t>
            </w:r>
            <w:r w:rsidRPr="008730A1">
              <w:rPr>
                <w:bCs/>
                <w:spacing w:val="6"/>
                <w:sz w:val="16"/>
                <w:szCs w:val="16"/>
              </w:rPr>
              <w:t xml:space="preserve"> </w:t>
            </w:r>
            <w:r w:rsidRPr="008730A1">
              <w:rPr>
                <w:bCs/>
                <w:sz w:val="16"/>
                <w:szCs w:val="16"/>
              </w:rPr>
              <w:t>a</w:t>
            </w:r>
            <w:r w:rsidRPr="008730A1">
              <w:rPr>
                <w:bCs/>
                <w:spacing w:val="6"/>
                <w:sz w:val="16"/>
                <w:szCs w:val="16"/>
              </w:rPr>
              <w:t xml:space="preserve"> </w:t>
            </w:r>
            <w:r w:rsidRPr="008730A1">
              <w:rPr>
                <w:bCs/>
                <w:sz w:val="16"/>
                <w:szCs w:val="16"/>
              </w:rPr>
              <w:t>transeúnte</w:t>
            </w:r>
            <w:r w:rsidRPr="008730A1">
              <w:rPr>
                <w:bCs/>
                <w:spacing w:val="6"/>
                <w:sz w:val="16"/>
                <w:szCs w:val="16"/>
              </w:rPr>
              <w:t xml:space="preserve"> </w:t>
            </w:r>
            <w:r w:rsidRPr="008730A1">
              <w:rPr>
                <w:bCs/>
                <w:sz w:val="16"/>
                <w:szCs w:val="16"/>
              </w:rPr>
              <w:t>en</w:t>
            </w:r>
            <w:r w:rsidRPr="008730A1">
              <w:rPr>
                <w:bCs/>
                <w:spacing w:val="6"/>
                <w:sz w:val="16"/>
                <w:szCs w:val="16"/>
              </w:rPr>
              <w:t xml:space="preserve"> </w:t>
            </w:r>
            <w:r w:rsidRPr="008730A1">
              <w:rPr>
                <w:bCs/>
                <w:sz w:val="16"/>
                <w:szCs w:val="16"/>
              </w:rPr>
              <w:t>vía</w:t>
            </w:r>
            <w:r w:rsidRPr="008730A1">
              <w:rPr>
                <w:bCs/>
                <w:spacing w:val="6"/>
                <w:sz w:val="16"/>
                <w:szCs w:val="16"/>
              </w:rPr>
              <w:t xml:space="preserve"> </w:t>
            </w:r>
            <w:r w:rsidRPr="008730A1">
              <w:rPr>
                <w:bCs/>
                <w:spacing w:val="-2"/>
                <w:sz w:val="16"/>
                <w:szCs w:val="16"/>
              </w:rPr>
              <w:t>pública</w:t>
            </w:r>
          </w:p>
        </w:tc>
        <w:tc>
          <w:tcPr>
            <w:tcW w:w="850" w:type="dxa"/>
            <w:vAlign w:val="center"/>
          </w:tcPr>
          <w:p w14:paraId="218D13E3" w14:textId="77777777" w:rsidR="0070429C" w:rsidRPr="008730A1" w:rsidRDefault="0070429C" w:rsidP="00B205BA">
            <w:pPr>
              <w:pStyle w:val="TableParagraph"/>
              <w:spacing w:before="13" w:after="120"/>
              <w:ind w:right="38"/>
              <w:jc w:val="center"/>
              <w:rPr>
                <w:bCs/>
                <w:sz w:val="16"/>
                <w:szCs w:val="16"/>
              </w:rPr>
            </w:pPr>
            <w:r w:rsidRPr="008730A1">
              <w:rPr>
                <w:bCs/>
                <w:spacing w:val="-5"/>
                <w:sz w:val="16"/>
                <w:szCs w:val="16"/>
              </w:rPr>
              <w:t>68</w:t>
            </w:r>
          </w:p>
        </w:tc>
        <w:tc>
          <w:tcPr>
            <w:tcW w:w="851" w:type="dxa"/>
            <w:vAlign w:val="center"/>
          </w:tcPr>
          <w:p w14:paraId="3C40B38C" w14:textId="77777777" w:rsidR="0070429C" w:rsidRPr="008730A1" w:rsidRDefault="0070429C" w:rsidP="00B205BA">
            <w:pPr>
              <w:pStyle w:val="TableParagraph"/>
              <w:spacing w:before="13" w:after="120"/>
              <w:ind w:left="33" w:right="30"/>
              <w:jc w:val="center"/>
              <w:rPr>
                <w:bCs/>
                <w:sz w:val="16"/>
                <w:szCs w:val="16"/>
              </w:rPr>
            </w:pPr>
            <w:r w:rsidRPr="008730A1">
              <w:rPr>
                <w:bCs/>
                <w:spacing w:val="-5"/>
                <w:sz w:val="16"/>
                <w:szCs w:val="16"/>
              </w:rPr>
              <w:t>45</w:t>
            </w:r>
          </w:p>
        </w:tc>
        <w:tc>
          <w:tcPr>
            <w:tcW w:w="992" w:type="dxa"/>
            <w:vAlign w:val="center"/>
          </w:tcPr>
          <w:p w14:paraId="1934D1A9" w14:textId="77777777" w:rsidR="0070429C" w:rsidRPr="008730A1" w:rsidRDefault="0070429C" w:rsidP="00B205BA">
            <w:pPr>
              <w:pStyle w:val="TableParagraph"/>
              <w:spacing w:before="13" w:after="120"/>
              <w:ind w:left="1" w:right="17"/>
              <w:jc w:val="center"/>
              <w:rPr>
                <w:bCs/>
                <w:sz w:val="16"/>
                <w:szCs w:val="16"/>
              </w:rPr>
            </w:pPr>
            <w:r w:rsidRPr="008730A1">
              <w:rPr>
                <w:bCs/>
                <w:w w:val="90"/>
                <w:sz w:val="16"/>
                <w:szCs w:val="16"/>
              </w:rPr>
              <w:t>-</w:t>
            </w:r>
            <w:r w:rsidRPr="008730A1">
              <w:rPr>
                <w:bCs/>
                <w:spacing w:val="-5"/>
                <w:sz w:val="16"/>
                <w:szCs w:val="16"/>
              </w:rPr>
              <w:t>23</w:t>
            </w:r>
          </w:p>
        </w:tc>
        <w:tc>
          <w:tcPr>
            <w:tcW w:w="709" w:type="dxa"/>
            <w:vAlign w:val="center"/>
          </w:tcPr>
          <w:p w14:paraId="1A5C0508" w14:textId="77777777" w:rsidR="0070429C" w:rsidRPr="008730A1" w:rsidRDefault="0070429C" w:rsidP="00B205BA">
            <w:pPr>
              <w:pStyle w:val="TableParagraph"/>
              <w:spacing w:before="13" w:after="120"/>
              <w:ind w:right="32"/>
              <w:jc w:val="center"/>
              <w:rPr>
                <w:bCs/>
                <w:sz w:val="16"/>
                <w:szCs w:val="16"/>
              </w:rPr>
            </w:pPr>
            <w:r w:rsidRPr="008730A1">
              <w:rPr>
                <w:bCs/>
                <w:spacing w:val="-4"/>
                <w:sz w:val="16"/>
                <w:szCs w:val="16"/>
              </w:rPr>
              <w:t>-33.8</w:t>
            </w:r>
          </w:p>
        </w:tc>
      </w:tr>
      <w:tr w:rsidR="0070429C" w14:paraId="2C499B31" w14:textId="77777777" w:rsidTr="000635AB">
        <w:trPr>
          <w:trHeight w:val="223"/>
          <w:jc w:val="center"/>
        </w:trPr>
        <w:tc>
          <w:tcPr>
            <w:tcW w:w="562" w:type="dxa"/>
            <w:vAlign w:val="center"/>
          </w:tcPr>
          <w:p w14:paraId="5E7062ED" w14:textId="77777777" w:rsidR="0070429C" w:rsidRPr="008730A1" w:rsidRDefault="0070429C" w:rsidP="00B205BA">
            <w:pPr>
              <w:pStyle w:val="TableParagraph"/>
              <w:numPr>
                <w:ilvl w:val="0"/>
                <w:numId w:val="25"/>
              </w:numPr>
              <w:spacing w:before="13" w:after="120"/>
              <w:jc w:val="center"/>
              <w:rPr>
                <w:bCs/>
                <w:sz w:val="16"/>
                <w:szCs w:val="16"/>
              </w:rPr>
            </w:pPr>
          </w:p>
        </w:tc>
        <w:tc>
          <w:tcPr>
            <w:tcW w:w="4395" w:type="dxa"/>
            <w:vAlign w:val="center"/>
          </w:tcPr>
          <w:p w14:paraId="188FF564" w14:textId="77777777" w:rsidR="0070429C" w:rsidRPr="008730A1" w:rsidRDefault="0070429C" w:rsidP="00B205BA">
            <w:pPr>
              <w:pStyle w:val="TableParagraph"/>
              <w:spacing w:before="13" w:after="120"/>
              <w:rPr>
                <w:bCs/>
                <w:sz w:val="16"/>
                <w:szCs w:val="16"/>
              </w:rPr>
            </w:pPr>
            <w:r w:rsidRPr="008730A1">
              <w:rPr>
                <w:bCs/>
                <w:spacing w:val="-2"/>
                <w:sz w:val="16"/>
                <w:szCs w:val="16"/>
              </w:rPr>
              <w:t>Violencia</w:t>
            </w:r>
            <w:r w:rsidRPr="008730A1">
              <w:rPr>
                <w:bCs/>
                <w:spacing w:val="4"/>
                <w:sz w:val="16"/>
                <w:szCs w:val="16"/>
              </w:rPr>
              <w:t xml:space="preserve"> </w:t>
            </w:r>
            <w:r w:rsidRPr="008730A1">
              <w:rPr>
                <w:bCs/>
                <w:spacing w:val="-2"/>
                <w:sz w:val="16"/>
                <w:szCs w:val="16"/>
              </w:rPr>
              <w:t>familiar</w:t>
            </w:r>
          </w:p>
        </w:tc>
        <w:tc>
          <w:tcPr>
            <w:tcW w:w="850" w:type="dxa"/>
            <w:vAlign w:val="center"/>
          </w:tcPr>
          <w:p w14:paraId="65C5C841" w14:textId="77777777" w:rsidR="0070429C" w:rsidRPr="008730A1" w:rsidRDefault="0070429C" w:rsidP="00B205BA">
            <w:pPr>
              <w:pStyle w:val="TableParagraph"/>
              <w:spacing w:before="13" w:after="120"/>
              <w:ind w:right="38"/>
              <w:jc w:val="center"/>
              <w:rPr>
                <w:bCs/>
                <w:sz w:val="16"/>
                <w:szCs w:val="16"/>
              </w:rPr>
            </w:pPr>
            <w:r w:rsidRPr="008730A1">
              <w:rPr>
                <w:bCs/>
                <w:spacing w:val="-2"/>
                <w:w w:val="95"/>
                <w:sz w:val="16"/>
                <w:szCs w:val="16"/>
              </w:rPr>
              <w:t>1718</w:t>
            </w:r>
          </w:p>
        </w:tc>
        <w:tc>
          <w:tcPr>
            <w:tcW w:w="851" w:type="dxa"/>
            <w:vAlign w:val="center"/>
          </w:tcPr>
          <w:p w14:paraId="6FA05807" w14:textId="77777777" w:rsidR="0070429C" w:rsidRPr="008730A1" w:rsidRDefault="0070429C" w:rsidP="00B205BA">
            <w:pPr>
              <w:pStyle w:val="TableParagraph"/>
              <w:spacing w:before="13" w:after="120"/>
              <w:ind w:left="33" w:right="30"/>
              <w:jc w:val="center"/>
              <w:rPr>
                <w:bCs/>
                <w:sz w:val="16"/>
                <w:szCs w:val="16"/>
              </w:rPr>
            </w:pPr>
            <w:r w:rsidRPr="008730A1">
              <w:rPr>
                <w:bCs/>
                <w:spacing w:val="-2"/>
                <w:sz w:val="16"/>
                <w:szCs w:val="16"/>
              </w:rPr>
              <w:t>1242</w:t>
            </w:r>
          </w:p>
        </w:tc>
        <w:tc>
          <w:tcPr>
            <w:tcW w:w="992" w:type="dxa"/>
            <w:vAlign w:val="center"/>
          </w:tcPr>
          <w:p w14:paraId="755DEC64" w14:textId="77777777" w:rsidR="0070429C" w:rsidRPr="008730A1" w:rsidRDefault="0070429C" w:rsidP="00B205BA">
            <w:pPr>
              <w:pStyle w:val="TableParagraph"/>
              <w:spacing w:before="13" w:after="120"/>
              <w:ind w:right="17"/>
              <w:jc w:val="center"/>
              <w:rPr>
                <w:bCs/>
                <w:sz w:val="16"/>
                <w:szCs w:val="16"/>
              </w:rPr>
            </w:pPr>
            <w:r w:rsidRPr="008730A1">
              <w:rPr>
                <w:bCs/>
                <w:spacing w:val="-4"/>
                <w:sz w:val="16"/>
                <w:szCs w:val="16"/>
              </w:rPr>
              <w:t>-</w:t>
            </w:r>
            <w:r w:rsidRPr="008730A1">
              <w:rPr>
                <w:bCs/>
                <w:spacing w:val="-5"/>
                <w:sz w:val="16"/>
                <w:szCs w:val="16"/>
              </w:rPr>
              <w:t>476</w:t>
            </w:r>
          </w:p>
        </w:tc>
        <w:tc>
          <w:tcPr>
            <w:tcW w:w="709" w:type="dxa"/>
            <w:vAlign w:val="center"/>
          </w:tcPr>
          <w:p w14:paraId="2F42AF3E" w14:textId="77777777" w:rsidR="0070429C" w:rsidRPr="008730A1" w:rsidRDefault="0070429C" w:rsidP="00B205BA">
            <w:pPr>
              <w:pStyle w:val="TableParagraph"/>
              <w:spacing w:before="13" w:after="120"/>
              <w:ind w:right="32"/>
              <w:jc w:val="center"/>
              <w:rPr>
                <w:bCs/>
                <w:sz w:val="16"/>
                <w:szCs w:val="16"/>
              </w:rPr>
            </w:pPr>
            <w:r w:rsidRPr="008730A1">
              <w:rPr>
                <w:bCs/>
                <w:w w:val="90"/>
                <w:sz w:val="16"/>
                <w:szCs w:val="16"/>
              </w:rPr>
              <w:t>-</w:t>
            </w:r>
            <w:r w:rsidRPr="008730A1">
              <w:rPr>
                <w:bCs/>
                <w:spacing w:val="-4"/>
                <w:sz w:val="16"/>
                <w:szCs w:val="16"/>
              </w:rPr>
              <w:t>27.7</w:t>
            </w:r>
          </w:p>
        </w:tc>
      </w:tr>
    </w:tbl>
    <w:p w14:paraId="706FAC2C" w14:textId="5BC65135" w:rsidR="0070429C" w:rsidRPr="00711FD9" w:rsidRDefault="0070429C" w:rsidP="00B205BA">
      <w:pPr>
        <w:spacing w:before="103" w:after="120" w:line="240" w:lineRule="auto"/>
        <w:ind w:left="284"/>
        <w:rPr>
          <w:rFonts w:cs="Arial"/>
          <w:bCs/>
          <w:sz w:val="16"/>
          <w:szCs w:val="28"/>
        </w:rPr>
      </w:pPr>
      <w:r w:rsidRPr="002126BF">
        <w:rPr>
          <w:rFonts w:cs="Arial"/>
          <w:bCs/>
          <w:w w:val="105"/>
          <w:sz w:val="16"/>
          <w:szCs w:val="28"/>
        </w:rPr>
        <w:t xml:space="preserve">*Variación </w:t>
      </w:r>
      <w:r w:rsidRPr="00261A27">
        <w:rPr>
          <w:rFonts w:cs="Arial"/>
          <w:bCs/>
          <w:w w:val="105"/>
          <w:sz w:val="16"/>
          <w:szCs w:val="28"/>
        </w:rPr>
        <w:t>absoluta. Elaboración propia con datos del</w:t>
      </w:r>
      <w:r w:rsidRPr="00261A27">
        <w:rPr>
          <w:rFonts w:cs="Arial"/>
          <w:bCs/>
          <w:spacing w:val="-1"/>
          <w:w w:val="105"/>
          <w:sz w:val="16"/>
          <w:szCs w:val="28"/>
        </w:rPr>
        <w:t xml:space="preserve"> </w:t>
      </w:r>
      <w:r w:rsidRPr="00261A27">
        <w:rPr>
          <w:rFonts w:cs="Arial"/>
          <w:bCs/>
          <w:w w:val="105"/>
          <w:sz w:val="16"/>
          <w:szCs w:val="28"/>
        </w:rPr>
        <w:t>Secretariado Ejecutivo del Sistema Nacional</w:t>
      </w:r>
      <w:r w:rsidRPr="00261A27">
        <w:rPr>
          <w:rFonts w:cs="Arial"/>
          <w:bCs/>
          <w:spacing w:val="-1"/>
          <w:w w:val="105"/>
          <w:sz w:val="16"/>
          <w:szCs w:val="28"/>
        </w:rPr>
        <w:t xml:space="preserve"> </w:t>
      </w:r>
      <w:r w:rsidRPr="00261A27">
        <w:rPr>
          <w:rFonts w:cs="Arial"/>
          <w:bCs/>
          <w:w w:val="105"/>
          <w:sz w:val="16"/>
          <w:szCs w:val="28"/>
        </w:rPr>
        <w:t>de Seguridad Pública (SESNSP).</w:t>
      </w:r>
      <w:r>
        <w:rPr>
          <w:rFonts w:cs="Arial"/>
          <w:bCs/>
          <w:spacing w:val="-2"/>
          <w:w w:val="105"/>
          <w:sz w:val="16"/>
          <w:szCs w:val="28"/>
        </w:rPr>
        <w:t xml:space="preserve"> </w:t>
      </w:r>
    </w:p>
    <w:p w14:paraId="072D19E3" w14:textId="3F9C8F93" w:rsidR="0070429C" w:rsidRPr="00341594" w:rsidRDefault="0070429C" w:rsidP="00B205BA">
      <w:pPr>
        <w:spacing w:after="120" w:line="240" w:lineRule="auto"/>
        <w:ind w:right="49"/>
        <w:rPr>
          <w:rFonts w:cs="Arial"/>
          <w:b/>
          <w:bCs/>
        </w:rPr>
      </w:pPr>
      <w:r>
        <w:rPr>
          <w:rFonts w:cs="Arial"/>
          <w:b/>
          <w:bCs/>
        </w:rPr>
        <w:t xml:space="preserve">Sensación </w:t>
      </w:r>
      <w:r w:rsidRPr="00341594">
        <w:rPr>
          <w:rFonts w:cs="Arial"/>
          <w:b/>
          <w:bCs/>
        </w:rPr>
        <w:t>de inseguridad</w:t>
      </w:r>
      <w:r>
        <w:rPr>
          <w:rFonts w:cs="Arial"/>
          <w:b/>
          <w:bCs/>
        </w:rPr>
        <w:t xml:space="preserve"> en espacios públicos</w:t>
      </w:r>
      <w:r w:rsidR="00261A27">
        <w:rPr>
          <w:rFonts w:cs="Arial"/>
          <w:b/>
          <w:bCs/>
        </w:rPr>
        <w:t>.</w:t>
      </w:r>
    </w:p>
    <w:p w14:paraId="7CDB261E" w14:textId="6226491A" w:rsidR="0070429C" w:rsidRPr="00711FD9" w:rsidRDefault="0070429C" w:rsidP="00B205BA">
      <w:pPr>
        <w:spacing w:after="120" w:line="240" w:lineRule="auto"/>
        <w:ind w:right="49"/>
        <w:rPr>
          <w:rFonts w:cs="Arial"/>
        </w:rPr>
      </w:pPr>
      <w:r w:rsidRPr="00834029">
        <w:rPr>
          <w:rFonts w:cs="Arial"/>
        </w:rPr>
        <w:t xml:space="preserve">La información disponible más reciente </w:t>
      </w:r>
      <w:r>
        <w:rPr>
          <w:rFonts w:cs="Arial"/>
        </w:rPr>
        <w:t>en esta temática indica</w:t>
      </w:r>
      <w:r w:rsidRPr="00834029">
        <w:rPr>
          <w:rFonts w:cs="Arial"/>
        </w:rPr>
        <w:t xml:space="preserve"> que el porcentaje de </w:t>
      </w:r>
      <w:r>
        <w:rPr>
          <w:rFonts w:cs="Arial"/>
        </w:rPr>
        <w:t>la población de Hermosillo</w:t>
      </w:r>
      <w:r w:rsidRPr="00834029">
        <w:rPr>
          <w:rFonts w:cs="Arial"/>
        </w:rPr>
        <w:t xml:space="preserve"> que ha </w:t>
      </w:r>
      <w:r>
        <w:rPr>
          <w:rFonts w:cs="Arial"/>
        </w:rPr>
        <w:t>sido testigo</w:t>
      </w:r>
      <w:r w:rsidRPr="00834029">
        <w:rPr>
          <w:rFonts w:cs="Arial"/>
        </w:rPr>
        <w:t xml:space="preserve"> de delitos o conductas antisociales en las calles </w:t>
      </w:r>
      <w:r w:rsidRPr="00834029">
        <w:rPr>
          <w:rFonts w:cs="Arial"/>
        </w:rPr>
        <w:lastRenderedPageBreak/>
        <w:t xml:space="preserve">ha </w:t>
      </w:r>
      <w:r>
        <w:rPr>
          <w:rFonts w:cs="Arial"/>
        </w:rPr>
        <w:t>registrado</w:t>
      </w:r>
      <w:r w:rsidRPr="00834029">
        <w:rPr>
          <w:rFonts w:cs="Arial"/>
        </w:rPr>
        <w:t xml:space="preserve"> una </w:t>
      </w:r>
      <w:r w:rsidRPr="001428A8">
        <w:rPr>
          <w:rFonts w:cs="Arial"/>
        </w:rPr>
        <w:t>reducción en todas sus categorías, siendo los robos y el vandalismo los de mayor disminución</w:t>
      </w:r>
      <w:r>
        <w:rPr>
          <w:rFonts w:cs="Arial"/>
        </w:rPr>
        <w:t>,</w:t>
      </w:r>
      <w:r w:rsidRPr="005643E3">
        <w:rPr>
          <w:rFonts w:cs="Arial"/>
        </w:rPr>
        <w:t xml:space="preserve"> </w:t>
      </w:r>
      <w:r w:rsidRPr="001428A8">
        <w:rPr>
          <w:rFonts w:cs="Arial"/>
        </w:rPr>
        <w:t>con 17.4</w:t>
      </w:r>
      <w:r>
        <w:rPr>
          <w:rFonts w:cs="Arial"/>
        </w:rPr>
        <w:t xml:space="preserve"> </w:t>
      </w:r>
      <w:r w:rsidRPr="001428A8">
        <w:rPr>
          <w:rFonts w:cs="Arial"/>
        </w:rPr>
        <w:t>y 15.3</w:t>
      </w:r>
      <w:r>
        <w:rPr>
          <w:rFonts w:cs="Arial"/>
        </w:rPr>
        <w:t xml:space="preserve"> </w:t>
      </w:r>
      <w:r w:rsidRPr="001428A8">
        <w:rPr>
          <w:rFonts w:cs="Arial"/>
        </w:rPr>
        <w:t>%</w:t>
      </w:r>
      <w:r>
        <w:rPr>
          <w:rFonts w:cs="Arial"/>
        </w:rPr>
        <w:t>,</w:t>
      </w:r>
      <w:r w:rsidRPr="001428A8">
        <w:rPr>
          <w:rFonts w:cs="Arial"/>
        </w:rPr>
        <w:t xml:space="preserve"> respectivamente</w:t>
      </w:r>
      <w:r>
        <w:rPr>
          <w:rFonts w:cs="Arial"/>
        </w:rPr>
        <w:t xml:space="preserve"> (véase gráfica 4)</w:t>
      </w:r>
      <w:r w:rsidRPr="001428A8">
        <w:rPr>
          <w:rFonts w:cs="Arial"/>
        </w:rPr>
        <w:t>.</w:t>
      </w:r>
    </w:p>
    <w:p w14:paraId="379834E6" w14:textId="77777777" w:rsidR="00711FD9" w:rsidRDefault="00711FD9" w:rsidP="00B205BA">
      <w:pPr>
        <w:spacing w:after="120" w:line="240" w:lineRule="auto"/>
        <w:ind w:right="49"/>
        <w:jc w:val="center"/>
        <w:rPr>
          <w:rFonts w:cs="Arial"/>
          <w:b/>
          <w:bCs/>
          <w:sz w:val="18"/>
          <w:szCs w:val="18"/>
        </w:rPr>
      </w:pPr>
    </w:p>
    <w:p w14:paraId="7E5259D6" w14:textId="21B63D2A" w:rsidR="0070429C" w:rsidRPr="001D552D" w:rsidRDefault="0070429C" w:rsidP="00B205BA">
      <w:pPr>
        <w:spacing w:after="120" w:line="240" w:lineRule="auto"/>
        <w:ind w:right="49"/>
        <w:jc w:val="center"/>
        <w:rPr>
          <w:rFonts w:cs="Arial"/>
          <w:b/>
          <w:bCs/>
          <w:sz w:val="18"/>
          <w:szCs w:val="18"/>
        </w:rPr>
      </w:pPr>
      <w:r>
        <w:rPr>
          <w:rFonts w:cs="Arial"/>
          <w:b/>
          <w:bCs/>
          <w:sz w:val="18"/>
          <w:szCs w:val="18"/>
        </w:rPr>
        <w:t xml:space="preserve">GRÁFICA 4. PORCENTAJE DE </w:t>
      </w:r>
      <w:r w:rsidRPr="001D552D">
        <w:rPr>
          <w:rFonts w:cs="Arial"/>
          <w:b/>
          <w:bCs/>
          <w:sz w:val="18"/>
          <w:szCs w:val="18"/>
        </w:rPr>
        <w:t>SENSACIÓN DE INSEGURIDAD EN ESPACIOS PÚBLICOS</w:t>
      </w:r>
      <w:r w:rsidR="0086730D">
        <w:rPr>
          <w:rFonts w:cs="Arial"/>
          <w:b/>
          <w:bCs/>
          <w:sz w:val="18"/>
          <w:szCs w:val="18"/>
        </w:rPr>
        <w:t>.</w:t>
      </w:r>
    </w:p>
    <w:p w14:paraId="384D5A35" w14:textId="77777777" w:rsidR="0070429C" w:rsidRPr="001509A6" w:rsidRDefault="0070429C" w:rsidP="00B205BA">
      <w:pPr>
        <w:spacing w:after="120" w:line="240" w:lineRule="auto"/>
        <w:ind w:right="49"/>
        <w:jc w:val="center"/>
        <w:rPr>
          <w:rFonts w:cs="Arial"/>
          <w:sz w:val="18"/>
          <w:szCs w:val="18"/>
        </w:rPr>
      </w:pPr>
      <w:r w:rsidRPr="001509A6">
        <w:rPr>
          <w:rFonts w:cs="Arial"/>
          <w:sz w:val="18"/>
          <w:szCs w:val="18"/>
        </w:rPr>
        <w:t>Septiembre 2</w:t>
      </w:r>
      <w:r>
        <w:rPr>
          <w:rFonts w:cs="Arial"/>
          <w:sz w:val="18"/>
          <w:szCs w:val="18"/>
        </w:rPr>
        <w:t>02</w:t>
      </w:r>
      <w:r w:rsidRPr="001509A6">
        <w:rPr>
          <w:rFonts w:cs="Arial"/>
          <w:sz w:val="18"/>
          <w:szCs w:val="18"/>
        </w:rPr>
        <w:t>1</w:t>
      </w:r>
      <w:r>
        <w:rPr>
          <w:rFonts w:cs="Arial"/>
          <w:sz w:val="18"/>
          <w:szCs w:val="18"/>
        </w:rPr>
        <w:t xml:space="preserve">- Septiembre </w:t>
      </w:r>
      <w:r w:rsidRPr="001509A6">
        <w:rPr>
          <w:rFonts w:cs="Arial"/>
          <w:sz w:val="18"/>
          <w:szCs w:val="18"/>
        </w:rPr>
        <w:t>2</w:t>
      </w:r>
      <w:r>
        <w:rPr>
          <w:rFonts w:cs="Arial"/>
          <w:sz w:val="18"/>
          <w:szCs w:val="18"/>
        </w:rPr>
        <w:t>02</w:t>
      </w:r>
      <w:r w:rsidRPr="001509A6">
        <w:rPr>
          <w:rFonts w:cs="Arial"/>
          <w:sz w:val="18"/>
          <w:szCs w:val="18"/>
        </w:rPr>
        <w:t xml:space="preserve">4 </w:t>
      </w:r>
    </w:p>
    <w:p w14:paraId="0A8A79A6" w14:textId="77777777" w:rsidR="0070429C" w:rsidRDefault="0070429C" w:rsidP="00B205BA">
      <w:pPr>
        <w:spacing w:after="120" w:line="240" w:lineRule="auto"/>
        <w:ind w:right="49"/>
        <w:rPr>
          <w:rFonts w:cs="Arial"/>
          <w:sz w:val="24"/>
          <w:szCs w:val="24"/>
        </w:rPr>
      </w:pPr>
      <w:r w:rsidRPr="00697A23">
        <w:rPr>
          <w:rFonts w:cs="Arial"/>
          <w:noProof/>
          <w:sz w:val="24"/>
          <w:szCs w:val="24"/>
        </w:rPr>
        <w:drawing>
          <wp:inline distT="0" distB="0" distL="0" distR="0" wp14:anchorId="076458D4" wp14:editId="2FB0681A">
            <wp:extent cx="5612130" cy="2775585"/>
            <wp:effectExtent l="0" t="0" r="0" b="0"/>
            <wp:docPr id="204505090" name="Gráfico 1">
              <a:extLst xmlns:a="http://schemas.openxmlformats.org/drawingml/2006/main">
                <a:ext uri="{FF2B5EF4-FFF2-40B4-BE49-F238E27FC236}">
                  <a16:creationId xmlns:a16="http://schemas.microsoft.com/office/drawing/2014/main" id="{72BFB81F-AE9B-6193-27A8-A2ED25385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AE03D1" w14:textId="6DF4D9D5" w:rsidR="0070429C" w:rsidRPr="00B205BA" w:rsidRDefault="0070429C" w:rsidP="00B205BA">
      <w:pPr>
        <w:spacing w:before="1" w:after="120" w:line="240" w:lineRule="auto"/>
        <w:rPr>
          <w:rFonts w:cs="Arial"/>
          <w:bCs/>
          <w:sz w:val="16"/>
          <w:szCs w:val="28"/>
        </w:rPr>
      </w:pPr>
      <w:r w:rsidRPr="002126BF">
        <w:rPr>
          <w:rFonts w:cs="Arial"/>
          <w:bCs/>
          <w:spacing w:val="-2"/>
          <w:sz w:val="16"/>
          <w:szCs w:val="28"/>
        </w:rPr>
        <w:t>Fuente:</w:t>
      </w:r>
      <w:r w:rsidRPr="002126BF">
        <w:rPr>
          <w:rFonts w:cs="Arial"/>
          <w:bCs/>
          <w:spacing w:val="-3"/>
          <w:sz w:val="16"/>
          <w:szCs w:val="28"/>
        </w:rPr>
        <w:t xml:space="preserve"> </w:t>
      </w:r>
      <w:r w:rsidRPr="002126BF">
        <w:rPr>
          <w:rFonts w:cs="Arial"/>
          <w:bCs/>
          <w:spacing w:val="-2"/>
          <w:sz w:val="16"/>
          <w:szCs w:val="28"/>
        </w:rPr>
        <w:t>INEGI.</w:t>
      </w:r>
      <w:r w:rsidRPr="002126BF">
        <w:rPr>
          <w:rFonts w:cs="Arial"/>
          <w:bCs/>
          <w:spacing w:val="-3"/>
          <w:sz w:val="16"/>
          <w:szCs w:val="28"/>
        </w:rPr>
        <w:t xml:space="preserve"> </w:t>
      </w:r>
      <w:r w:rsidRPr="002126BF">
        <w:rPr>
          <w:rFonts w:cs="Arial"/>
          <w:bCs/>
          <w:spacing w:val="-2"/>
          <w:sz w:val="16"/>
          <w:szCs w:val="28"/>
        </w:rPr>
        <w:t>Encuesta Nacional</w:t>
      </w:r>
      <w:r w:rsidRPr="002126BF">
        <w:rPr>
          <w:rFonts w:cs="Arial"/>
          <w:bCs/>
          <w:spacing w:val="-3"/>
          <w:sz w:val="16"/>
          <w:szCs w:val="28"/>
        </w:rPr>
        <w:t xml:space="preserve"> </w:t>
      </w:r>
      <w:r w:rsidRPr="002126BF">
        <w:rPr>
          <w:rFonts w:cs="Arial"/>
          <w:bCs/>
          <w:spacing w:val="-2"/>
          <w:sz w:val="16"/>
          <w:szCs w:val="28"/>
        </w:rPr>
        <w:t>de Seguridad</w:t>
      </w:r>
      <w:r w:rsidRPr="002126BF">
        <w:rPr>
          <w:rFonts w:cs="Arial"/>
          <w:bCs/>
          <w:spacing w:val="-3"/>
          <w:sz w:val="16"/>
          <w:szCs w:val="28"/>
        </w:rPr>
        <w:t xml:space="preserve"> </w:t>
      </w:r>
      <w:r w:rsidRPr="002126BF">
        <w:rPr>
          <w:rFonts w:cs="Arial"/>
          <w:bCs/>
          <w:spacing w:val="-2"/>
          <w:sz w:val="16"/>
          <w:szCs w:val="28"/>
        </w:rPr>
        <w:t>Pública</w:t>
      </w:r>
      <w:r w:rsidRPr="002126BF">
        <w:rPr>
          <w:rFonts w:cs="Arial"/>
          <w:bCs/>
          <w:spacing w:val="-3"/>
          <w:sz w:val="16"/>
          <w:szCs w:val="28"/>
        </w:rPr>
        <w:t xml:space="preserve"> </w:t>
      </w:r>
      <w:r w:rsidRPr="002126BF">
        <w:rPr>
          <w:rFonts w:cs="Arial"/>
          <w:bCs/>
          <w:spacing w:val="-2"/>
          <w:sz w:val="16"/>
          <w:szCs w:val="28"/>
        </w:rPr>
        <w:t>Urbana (ENSU)</w:t>
      </w:r>
      <w:r w:rsidRPr="002126BF">
        <w:rPr>
          <w:rFonts w:cs="Arial"/>
          <w:bCs/>
          <w:spacing w:val="-3"/>
          <w:sz w:val="16"/>
          <w:szCs w:val="28"/>
        </w:rPr>
        <w:t xml:space="preserve"> 2024.</w:t>
      </w:r>
    </w:p>
    <w:p w14:paraId="5DA5C86B" w14:textId="5B3730BF" w:rsidR="0070429C" w:rsidRPr="00261A27" w:rsidRDefault="0070429C" w:rsidP="00B205BA">
      <w:pPr>
        <w:spacing w:after="120" w:line="240" w:lineRule="auto"/>
        <w:ind w:right="49"/>
        <w:rPr>
          <w:rFonts w:cs="Arial"/>
        </w:rPr>
      </w:pPr>
      <w:r>
        <w:rPr>
          <w:rFonts w:cs="Arial"/>
        </w:rPr>
        <w:t>Los datos revelan que h</w:t>
      </w:r>
      <w:r w:rsidRPr="00204351">
        <w:rPr>
          <w:rFonts w:cs="Arial"/>
        </w:rPr>
        <w:t>an disminuido la mayoría de los atestiguamientos de conductas antisociales como vandalismo (16.6</w:t>
      </w:r>
      <w:r>
        <w:rPr>
          <w:rFonts w:cs="Arial"/>
        </w:rPr>
        <w:t xml:space="preserve"> </w:t>
      </w:r>
      <w:r w:rsidRPr="00204351">
        <w:rPr>
          <w:rFonts w:cs="Arial"/>
        </w:rPr>
        <w:t>%), consumo de alcohol en las calles (15.9</w:t>
      </w:r>
      <w:r>
        <w:rPr>
          <w:rFonts w:cs="Arial"/>
        </w:rPr>
        <w:t xml:space="preserve"> </w:t>
      </w:r>
      <w:r w:rsidRPr="00204351">
        <w:rPr>
          <w:rFonts w:cs="Arial"/>
        </w:rPr>
        <w:t>%) y robos o asaltos (14.4</w:t>
      </w:r>
      <w:r>
        <w:rPr>
          <w:rFonts w:cs="Arial"/>
        </w:rPr>
        <w:t xml:space="preserve"> </w:t>
      </w:r>
      <w:r w:rsidRPr="00204351">
        <w:rPr>
          <w:rFonts w:cs="Arial"/>
        </w:rPr>
        <w:t>%).</w:t>
      </w:r>
    </w:p>
    <w:p w14:paraId="3C0688B0" w14:textId="6755276F" w:rsidR="0070429C" w:rsidRPr="00A51997" w:rsidRDefault="0070429C" w:rsidP="00B205BA">
      <w:pPr>
        <w:spacing w:after="120" w:line="240" w:lineRule="auto"/>
        <w:ind w:right="49"/>
        <w:jc w:val="center"/>
        <w:rPr>
          <w:rFonts w:cs="Arial"/>
          <w:b/>
          <w:bCs/>
          <w:sz w:val="18"/>
          <w:szCs w:val="18"/>
        </w:rPr>
      </w:pPr>
      <w:r>
        <w:rPr>
          <w:rFonts w:cs="Arial"/>
          <w:b/>
          <w:bCs/>
          <w:sz w:val="18"/>
          <w:szCs w:val="18"/>
        </w:rPr>
        <w:t xml:space="preserve">GRÁFICA 5. PORCENTAJE DE </w:t>
      </w:r>
      <w:r w:rsidRPr="00A51997">
        <w:rPr>
          <w:rFonts w:cs="Arial"/>
          <w:b/>
          <w:bCs/>
          <w:sz w:val="18"/>
          <w:szCs w:val="18"/>
        </w:rPr>
        <w:t>ATESTIGUAMIENTO DE DELITOS O CONDUCTAS ANTISOCIALES</w:t>
      </w:r>
      <w:r w:rsidR="0086730D">
        <w:rPr>
          <w:rFonts w:cs="Arial"/>
          <w:b/>
          <w:bCs/>
          <w:sz w:val="18"/>
          <w:szCs w:val="18"/>
        </w:rPr>
        <w:t>.</w:t>
      </w:r>
    </w:p>
    <w:p w14:paraId="61B69D47" w14:textId="77777777" w:rsidR="0070429C" w:rsidRPr="001509A6" w:rsidRDefault="0070429C" w:rsidP="00B205BA">
      <w:pPr>
        <w:spacing w:after="120" w:line="240" w:lineRule="auto"/>
        <w:ind w:right="49"/>
        <w:jc w:val="center"/>
        <w:rPr>
          <w:rFonts w:cs="Arial"/>
          <w:sz w:val="18"/>
          <w:szCs w:val="18"/>
        </w:rPr>
      </w:pPr>
      <w:r w:rsidRPr="001509A6">
        <w:rPr>
          <w:rFonts w:cs="Arial"/>
          <w:sz w:val="18"/>
          <w:szCs w:val="18"/>
        </w:rPr>
        <w:t>Septiembre 2</w:t>
      </w:r>
      <w:r>
        <w:rPr>
          <w:rFonts w:cs="Arial"/>
          <w:sz w:val="18"/>
          <w:szCs w:val="18"/>
        </w:rPr>
        <w:t>02</w:t>
      </w:r>
      <w:r w:rsidRPr="001509A6">
        <w:rPr>
          <w:rFonts w:cs="Arial"/>
          <w:sz w:val="18"/>
          <w:szCs w:val="18"/>
        </w:rPr>
        <w:t>1</w:t>
      </w:r>
      <w:r>
        <w:rPr>
          <w:rFonts w:cs="Arial"/>
          <w:sz w:val="18"/>
          <w:szCs w:val="18"/>
        </w:rPr>
        <w:t xml:space="preserve"> - Septiembre </w:t>
      </w:r>
      <w:r w:rsidRPr="001509A6">
        <w:rPr>
          <w:rFonts w:cs="Arial"/>
          <w:sz w:val="18"/>
          <w:szCs w:val="18"/>
        </w:rPr>
        <w:t>2</w:t>
      </w:r>
      <w:r>
        <w:rPr>
          <w:rFonts w:cs="Arial"/>
          <w:sz w:val="18"/>
          <w:szCs w:val="18"/>
        </w:rPr>
        <w:t>02</w:t>
      </w:r>
      <w:r w:rsidRPr="001509A6">
        <w:rPr>
          <w:rFonts w:cs="Arial"/>
          <w:sz w:val="18"/>
          <w:szCs w:val="18"/>
        </w:rPr>
        <w:t xml:space="preserve">4 </w:t>
      </w:r>
    </w:p>
    <w:p w14:paraId="35BCA8BA" w14:textId="77777777" w:rsidR="0070429C" w:rsidRDefault="0070429C" w:rsidP="00B205BA">
      <w:pPr>
        <w:spacing w:after="120" w:line="240" w:lineRule="auto"/>
        <w:ind w:right="49"/>
        <w:rPr>
          <w:rFonts w:cs="Arial"/>
          <w:sz w:val="24"/>
          <w:szCs w:val="24"/>
        </w:rPr>
      </w:pPr>
      <w:r w:rsidRPr="001509A6">
        <w:rPr>
          <w:rFonts w:cs="Arial"/>
          <w:noProof/>
          <w:sz w:val="24"/>
          <w:szCs w:val="24"/>
        </w:rPr>
        <w:drawing>
          <wp:inline distT="0" distB="0" distL="0" distR="0" wp14:anchorId="1D9671EF" wp14:editId="2F9D920D">
            <wp:extent cx="5612130" cy="2221230"/>
            <wp:effectExtent l="0" t="0" r="0" b="0"/>
            <wp:docPr id="204505091" name="Gráfico 1">
              <a:extLst xmlns:a="http://schemas.openxmlformats.org/drawingml/2006/main">
                <a:ext uri="{FF2B5EF4-FFF2-40B4-BE49-F238E27FC236}">
                  <a16:creationId xmlns:a16="http://schemas.microsoft.com/office/drawing/2014/main" id="{82134C64-A9F3-3787-1D11-48D2246AE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A1ABAF" w14:textId="77777777" w:rsidR="0070429C" w:rsidRDefault="0070429C" w:rsidP="00B205BA">
      <w:pPr>
        <w:spacing w:before="1" w:after="120" w:line="240" w:lineRule="auto"/>
        <w:rPr>
          <w:rFonts w:cs="Arial"/>
          <w:bCs/>
          <w:spacing w:val="-3"/>
          <w:sz w:val="16"/>
          <w:szCs w:val="28"/>
        </w:rPr>
      </w:pPr>
      <w:r w:rsidRPr="002126BF">
        <w:rPr>
          <w:rFonts w:cs="Arial"/>
          <w:bCs/>
          <w:spacing w:val="-2"/>
          <w:sz w:val="16"/>
          <w:szCs w:val="28"/>
        </w:rPr>
        <w:t>Fuente:</w:t>
      </w:r>
      <w:r w:rsidRPr="002126BF">
        <w:rPr>
          <w:rFonts w:cs="Arial"/>
          <w:bCs/>
          <w:spacing w:val="-3"/>
          <w:sz w:val="16"/>
          <w:szCs w:val="28"/>
        </w:rPr>
        <w:t xml:space="preserve"> </w:t>
      </w:r>
      <w:r w:rsidRPr="002126BF">
        <w:rPr>
          <w:rFonts w:cs="Arial"/>
          <w:bCs/>
          <w:spacing w:val="-2"/>
          <w:sz w:val="16"/>
          <w:szCs w:val="28"/>
        </w:rPr>
        <w:t>INEGI.</w:t>
      </w:r>
      <w:r w:rsidRPr="002126BF">
        <w:rPr>
          <w:rFonts w:cs="Arial"/>
          <w:bCs/>
          <w:spacing w:val="-3"/>
          <w:sz w:val="16"/>
          <w:szCs w:val="28"/>
        </w:rPr>
        <w:t xml:space="preserve"> </w:t>
      </w:r>
      <w:r w:rsidRPr="002126BF">
        <w:rPr>
          <w:rFonts w:cs="Arial"/>
          <w:bCs/>
          <w:spacing w:val="-2"/>
          <w:sz w:val="16"/>
          <w:szCs w:val="28"/>
        </w:rPr>
        <w:t>Encuesta Nacional</w:t>
      </w:r>
      <w:r w:rsidRPr="002126BF">
        <w:rPr>
          <w:rFonts w:cs="Arial"/>
          <w:bCs/>
          <w:spacing w:val="-3"/>
          <w:sz w:val="16"/>
          <w:szCs w:val="28"/>
        </w:rPr>
        <w:t xml:space="preserve"> </w:t>
      </w:r>
      <w:r w:rsidRPr="002126BF">
        <w:rPr>
          <w:rFonts w:cs="Arial"/>
          <w:bCs/>
          <w:spacing w:val="-2"/>
          <w:sz w:val="16"/>
          <w:szCs w:val="28"/>
        </w:rPr>
        <w:t>de Seguridad</w:t>
      </w:r>
      <w:r w:rsidRPr="002126BF">
        <w:rPr>
          <w:rFonts w:cs="Arial"/>
          <w:bCs/>
          <w:spacing w:val="-3"/>
          <w:sz w:val="16"/>
          <w:szCs w:val="28"/>
        </w:rPr>
        <w:t xml:space="preserve"> </w:t>
      </w:r>
      <w:r w:rsidRPr="002126BF">
        <w:rPr>
          <w:rFonts w:cs="Arial"/>
          <w:bCs/>
          <w:spacing w:val="-2"/>
          <w:sz w:val="16"/>
          <w:szCs w:val="28"/>
        </w:rPr>
        <w:t>Pública</w:t>
      </w:r>
      <w:r w:rsidRPr="002126BF">
        <w:rPr>
          <w:rFonts w:cs="Arial"/>
          <w:bCs/>
          <w:spacing w:val="-3"/>
          <w:sz w:val="16"/>
          <w:szCs w:val="28"/>
        </w:rPr>
        <w:t xml:space="preserve"> </w:t>
      </w:r>
      <w:r w:rsidRPr="002126BF">
        <w:rPr>
          <w:rFonts w:cs="Arial"/>
          <w:bCs/>
          <w:spacing w:val="-2"/>
          <w:sz w:val="16"/>
          <w:szCs w:val="28"/>
        </w:rPr>
        <w:t>Urbana (ENSU)</w:t>
      </w:r>
      <w:r w:rsidRPr="002126BF">
        <w:rPr>
          <w:rFonts w:cs="Arial"/>
          <w:bCs/>
          <w:spacing w:val="-3"/>
          <w:sz w:val="16"/>
          <w:szCs w:val="28"/>
        </w:rPr>
        <w:t xml:space="preserve"> 2024.</w:t>
      </w:r>
    </w:p>
    <w:p w14:paraId="1832F907" w14:textId="77777777" w:rsidR="0070429C" w:rsidRDefault="0070429C" w:rsidP="00B205BA">
      <w:pPr>
        <w:pStyle w:val="Textoindependiente"/>
        <w:tabs>
          <w:tab w:val="left" w:pos="9639"/>
        </w:tabs>
        <w:spacing w:after="120"/>
        <w:ind w:right="49"/>
        <w:jc w:val="both"/>
        <w:rPr>
          <w:rFonts w:ascii="Arial" w:eastAsiaTheme="minorEastAsia" w:hAnsi="Arial" w:cs="Arial"/>
          <w:b/>
          <w:bCs/>
          <w:sz w:val="22"/>
          <w:szCs w:val="22"/>
          <w:lang w:bidi="en-US"/>
        </w:rPr>
      </w:pPr>
    </w:p>
    <w:p w14:paraId="706FE9C9" w14:textId="77777777" w:rsidR="00A033CE" w:rsidRPr="00711FD9" w:rsidRDefault="00A033CE" w:rsidP="00B205BA">
      <w:pPr>
        <w:pStyle w:val="Textoindependiente"/>
        <w:tabs>
          <w:tab w:val="left" w:pos="9639"/>
        </w:tabs>
        <w:spacing w:after="120"/>
        <w:ind w:right="49"/>
        <w:jc w:val="both"/>
        <w:rPr>
          <w:rFonts w:ascii="Arial" w:eastAsiaTheme="minorEastAsia" w:hAnsi="Arial" w:cs="Arial"/>
          <w:b/>
          <w:bCs/>
          <w:sz w:val="22"/>
          <w:szCs w:val="22"/>
          <w:lang w:bidi="en-US"/>
        </w:rPr>
      </w:pPr>
    </w:p>
    <w:p w14:paraId="76882FD8" w14:textId="295DE51A" w:rsidR="0070429C" w:rsidRPr="00711FD9" w:rsidRDefault="0070429C" w:rsidP="00B205BA">
      <w:pPr>
        <w:pStyle w:val="Textoindependiente"/>
        <w:tabs>
          <w:tab w:val="left" w:pos="9639"/>
        </w:tabs>
        <w:spacing w:after="120"/>
        <w:ind w:left="-142" w:right="49"/>
        <w:jc w:val="both"/>
        <w:rPr>
          <w:rFonts w:ascii="Arial" w:eastAsiaTheme="minorEastAsia" w:hAnsi="Arial" w:cs="Arial"/>
          <w:b/>
          <w:bCs/>
          <w:sz w:val="22"/>
          <w:szCs w:val="22"/>
          <w:lang w:bidi="en-US"/>
        </w:rPr>
      </w:pPr>
      <w:r w:rsidRPr="00711FD9">
        <w:rPr>
          <w:rFonts w:ascii="Arial" w:eastAsiaTheme="minorEastAsia" w:hAnsi="Arial" w:cs="Arial"/>
          <w:b/>
          <w:bCs/>
          <w:sz w:val="22"/>
          <w:szCs w:val="22"/>
          <w:lang w:bidi="en-US"/>
        </w:rPr>
        <w:lastRenderedPageBreak/>
        <w:t>Modelo de justicia cívica</w:t>
      </w:r>
      <w:r w:rsidR="00261A27">
        <w:rPr>
          <w:rFonts w:ascii="Arial" w:eastAsiaTheme="minorEastAsia" w:hAnsi="Arial" w:cs="Arial"/>
          <w:b/>
          <w:bCs/>
          <w:sz w:val="22"/>
          <w:szCs w:val="22"/>
          <w:lang w:bidi="en-US"/>
        </w:rPr>
        <w:t>.</w:t>
      </w:r>
    </w:p>
    <w:p w14:paraId="61A07B69" w14:textId="229F5381" w:rsidR="0070429C" w:rsidRPr="00261A27" w:rsidRDefault="0070429C" w:rsidP="00B205BA">
      <w:pPr>
        <w:pStyle w:val="Textoindependiente"/>
        <w:tabs>
          <w:tab w:val="left" w:pos="9639"/>
        </w:tabs>
        <w:spacing w:after="120"/>
        <w:ind w:left="-142" w:right="49"/>
        <w:jc w:val="both"/>
        <w:rPr>
          <w:rFonts w:ascii="Arial" w:eastAsiaTheme="minorEastAsia" w:hAnsi="Arial" w:cs="Arial"/>
          <w:sz w:val="22"/>
          <w:szCs w:val="22"/>
          <w:lang w:bidi="en-US"/>
        </w:rPr>
      </w:pPr>
      <w:r w:rsidRPr="00261A27">
        <w:rPr>
          <w:rFonts w:ascii="Arial" w:eastAsiaTheme="minorEastAsia" w:hAnsi="Arial" w:cs="Arial"/>
          <w:sz w:val="22"/>
          <w:szCs w:val="22"/>
          <w:lang w:bidi="en-US"/>
        </w:rPr>
        <w:t>La justicia cívica tiene como objetivos prevenir que los conflictos escalen a conductas delictivas o actos de violencia; resolver de forma ágil, transparente y eficiente los conflictos comunitarios; mejorar la convivencia diaria y el respeto por el entorno; fomentar la cultura de la legalidad; mejorar la percepción de seguridad y orden público, y reducir la reincidencia en faltas administrativas.</w:t>
      </w:r>
    </w:p>
    <w:p w14:paraId="1BD26E95" w14:textId="77777777" w:rsidR="0070429C" w:rsidRPr="00261A27" w:rsidRDefault="0070429C" w:rsidP="00B205BA">
      <w:pPr>
        <w:pStyle w:val="Textoindependiente"/>
        <w:tabs>
          <w:tab w:val="left" w:pos="9639"/>
        </w:tabs>
        <w:spacing w:after="120"/>
        <w:ind w:left="-142" w:right="49"/>
        <w:jc w:val="both"/>
        <w:rPr>
          <w:rFonts w:ascii="Arial" w:eastAsiaTheme="minorEastAsia" w:hAnsi="Arial" w:cs="Arial"/>
          <w:sz w:val="22"/>
          <w:szCs w:val="22"/>
          <w:lang w:bidi="en-US"/>
        </w:rPr>
      </w:pPr>
      <w:r w:rsidRPr="00261A27">
        <w:rPr>
          <w:rFonts w:ascii="Arial" w:eastAsiaTheme="minorEastAsia" w:hAnsi="Arial" w:cs="Arial"/>
          <w:sz w:val="22"/>
          <w:szCs w:val="22"/>
          <w:lang w:bidi="en-US"/>
        </w:rPr>
        <w:t>El Modelo Homologado de Justicia Cívica propone un enfoque restaurativo, que no se limita a sancionar las faltas administrativas, sino que busca mejorar la convivencia y evitar que los conflictos deriven en violencia o delitos. Este modelo promueve la cultura de la legalidad y los principios de buen gobierno, lo cual facilita la convivencia armónica en la comunidad.</w:t>
      </w:r>
    </w:p>
    <w:p w14:paraId="14434454" w14:textId="1068BD08" w:rsidR="00261A27" w:rsidRDefault="0070429C" w:rsidP="00A033CE">
      <w:pPr>
        <w:pStyle w:val="Textoindependiente"/>
        <w:tabs>
          <w:tab w:val="left" w:pos="9639"/>
        </w:tabs>
        <w:spacing w:after="120"/>
        <w:ind w:left="-142" w:right="49"/>
        <w:jc w:val="both"/>
        <w:rPr>
          <w:rFonts w:ascii="Arial" w:eastAsiaTheme="minorEastAsia" w:hAnsi="Arial" w:cs="Arial"/>
          <w:sz w:val="22"/>
          <w:szCs w:val="22"/>
          <w:lang w:bidi="en-US"/>
        </w:rPr>
      </w:pPr>
      <w:r w:rsidRPr="00261A27">
        <w:rPr>
          <w:rFonts w:ascii="Arial" w:eastAsiaTheme="minorEastAsia" w:hAnsi="Arial" w:cs="Arial"/>
          <w:sz w:val="22"/>
          <w:szCs w:val="22"/>
          <w:lang w:bidi="en-US"/>
        </w:rPr>
        <w:t>De acuerdo con la ENSU 2024, en Hermosillo, a marzo de 2024, el 22.6 % de la población de 18 y más años tuvo al menos un problema con algún vecino; el 14% tuvo problemas relacionados con animales domésticos; el 12.9 % tuvo problemas de estacionamiento, y el 8.5 % tuvo problemas por chismes o malentendidos (véase gráfica 6).</w:t>
      </w:r>
    </w:p>
    <w:p w14:paraId="3A16DCFF" w14:textId="77777777" w:rsidR="00A033CE" w:rsidRPr="00A033CE" w:rsidRDefault="00A033CE" w:rsidP="00A033CE">
      <w:pPr>
        <w:pStyle w:val="Textoindependiente"/>
        <w:tabs>
          <w:tab w:val="left" w:pos="9639"/>
        </w:tabs>
        <w:spacing w:after="120"/>
        <w:ind w:left="-142" w:right="49"/>
        <w:jc w:val="both"/>
        <w:rPr>
          <w:rFonts w:ascii="Arial" w:eastAsiaTheme="minorEastAsia" w:hAnsi="Arial" w:cs="Arial"/>
          <w:sz w:val="22"/>
          <w:szCs w:val="22"/>
          <w:lang w:bidi="en-US"/>
        </w:rPr>
      </w:pPr>
    </w:p>
    <w:p w14:paraId="782B78D7" w14:textId="48D6A97C" w:rsidR="0070429C" w:rsidRPr="00261A27" w:rsidRDefault="0070429C" w:rsidP="00B205BA">
      <w:pPr>
        <w:spacing w:after="120" w:line="240" w:lineRule="auto"/>
        <w:ind w:right="49"/>
        <w:jc w:val="center"/>
        <w:rPr>
          <w:rFonts w:cs="Arial"/>
          <w:b/>
          <w:bCs/>
        </w:rPr>
      </w:pPr>
      <w:r w:rsidRPr="00261A27">
        <w:rPr>
          <w:rFonts w:cs="Arial"/>
          <w:b/>
          <w:bCs/>
        </w:rPr>
        <w:t>GRÁFICA 6. PORCENTAJE DE LA POBLACIÓN DE 18 Y MÁS AÑOS QUE TUVIERON ALGÚN TIPO DE CONFLICTO</w:t>
      </w:r>
      <w:r w:rsidR="0086730D">
        <w:rPr>
          <w:rFonts w:cs="Arial"/>
          <w:b/>
          <w:bCs/>
        </w:rPr>
        <w:t>.</w:t>
      </w:r>
    </w:p>
    <w:p w14:paraId="36C7D853" w14:textId="77777777" w:rsidR="0070429C" w:rsidRPr="001509A6" w:rsidRDefault="0070429C" w:rsidP="00B205BA">
      <w:pPr>
        <w:spacing w:after="120" w:line="240" w:lineRule="auto"/>
        <w:ind w:right="49"/>
        <w:jc w:val="center"/>
        <w:rPr>
          <w:rFonts w:cs="Arial"/>
          <w:sz w:val="18"/>
          <w:szCs w:val="18"/>
        </w:rPr>
      </w:pPr>
      <w:r w:rsidRPr="001509A6">
        <w:rPr>
          <w:rFonts w:cs="Arial"/>
          <w:sz w:val="18"/>
          <w:szCs w:val="18"/>
        </w:rPr>
        <w:t>Septiembre 2</w:t>
      </w:r>
      <w:r>
        <w:rPr>
          <w:rFonts w:cs="Arial"/>
          <w:sz w:val="18"/>
          <w:szCs w:val="18"/>
        </w:rPr>
        <w:t>02</w:t>
      </w:r>
      <w:r w:rsidRPr="001509A6">
        <w:rPr>
          <w:rFonts w:cs="Arial"/>
          <w:sz w:val="18"/>
          <w:szCs w:val="18"/>
        </w:rPr>
        <w:t>1</w:t>
      </w:r>
      <w:r>
        <w:rPr>
          <w:rFonts w:cs="Arial"/>
          <w:sz w:val="18"/>
          <w:szCs w:val="18"/>
        </w:rPr>
        <w:t xml:space="preserve">- Marzo </w:t>
      </w:r>
      <w:r w:rsidRPr="001509A6">
        <w:rPr>
          <w:rFonts w:cs="Arial"/>
          <w:sz w:val="18"/>
          <w:szCs w:val="18"/>
        </w:rPr>
        <w:t>2</w:t>
      </w:r>
      <w:r>
        <w:rPr>
          <w:rFonts w:cs="Arial"/>
          <w:sz w:val="18"/>
          <w:szCs w:val="18"/>
        </w:rPr>
        <w:t>02</w:t>
      </w:r>
      <w:r w:rsidRPr="001509A6">
        <w:rPr>
          <w:rFonts w:cs="Arial"/>
          <w:sz w:val="18"/>
          <w:szCs w:val="18"/>
        </w:rPr>
        <w:t xml:space="preserve">4 </w:t>
      </w:r>
    </w:p>
    <w:p w14:paraId="2BC2CAAF" w14:textId="77777777" w:rsidR="0070429C" w:rsidRDefault="0070429C" w:rsidP="00B205BA">
      <w:pPr>
        <w:tabs>
          <w:tab w:val="left" w:pos="9639"/>
        </w:tabs>
        <w:spacing w:before="141" w:after="120" w:line="240" w:lineRule="auto"/>
        <w:ind w:left="-142" w:right="49"/>
        <w:rPr>
          <w:b/>
          <w:color w:val="5C5B5F"/>
          <w:spacing w:val="-1"/>
          <w:w w:val="105"/>
          <w:sz w:val="17"/>
          <w:highlight w:val="yellow"/>
        </w:rPr>
      </w:pPr>
    </w:p>
    <w:p w14:paraId="6AE66FF1" w14:textId="77777777" w:rsidR="0070429C" w:rsidRDefault="0070429C" w:rsidP="00B205BA">
      <w:pPr>
        <w:pStyle w:val="Textoindependiente"/>
        <w:tabs>
          <w:tab w:val="left" w:pos="9639"/>
        </w:tabs>
        <w:spacing w:before="9" w:after="120"/>
        <w:ind w:left="-142" w:right="49"/>
        <w:jc w:val="both"/>
        <w:rPr>
          <w:rFonts w:ascii="Lucida Sans Unicode"/>
          <w:sz w:val="11"/>
        </w:rPr>
      </w:pPr>
    </w:p>
    <w:p w14:paraId="25615E9F" w14:textId="77777777" w:rsidR="0070429C" w:rsidRDefault="0070429C" w:rsidP="00B205BA">
      <w:pPr>
        <w:pStyle w:val="Textoindependiente"/>
        <w:tabs>
          <w:tab w:val="left" w:pos="9639"/>
        </w:tabs>
        <w:spacing w:before="9" w:after="120"/>
        <w:ind w:left="-142" w:right="49"/>
        <w:jc w:val="center"/>
        <w:rPr>
          <w:rFonts w:ascii="Lucida Sans Unicode"/>
          <w:sz w:val="11"/>
        </w:rPr>
      </w:pPr>
      <w:r w:rsidRPr="00BE788A">
        <w:rPr>
          <w:rFonts w:ascii="Lucida Sans Unicode"/>
          <w:noProof/>
          <w:sz w:val="11"/>
        </w:rPr>
        <w:drawing>
          <wp:inline distT="0" distB="0" distL="0" distR="0" wp14:anchorId="4AF8C75A" wp14:editId="45049E3D">
            <wp:extent cx="4761186" cy="2585545"/>
            <wp:effectExtent l="0" t="0" r="0" b="0"/>
            <wp:docPr id="204505092" name="Gráfico 1">
              <a:extLst xmlns:a="http://schemas.openxmlformats.org/drawingml/2006/main">
                <a:ext uri="{FF2B5EF4-FFF2-40B4-BE49-F238E27FC236}">
                  <a16:creationId xmlns:a16="http://schemas.microsoft.com/office/drawing/2014/main" id="{B84501E7-7D77-1CFA-C928-16531EFA6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1FBC2C" w14:textId="74A7D5A1" w:rsidR="0070429C" w:rsidRPr="00711FD9" w:rsidRDefault="0070429C" w:rsidP="00B205BA">
      <w:pPr>
        <w:spacing w:before="1" w:after="120" w:line="240" w:lineRule="auto"/>
        <w:rPr>
          <w:rFonts w:cs="Arial"/>
          <w:bCs/>
          <w:spacing w:val="-3"/>
          <w:sz w:val="16"/>
          <w:szCs w:val="28"/>
        </w:rPr>
      </w:pPr>
      <w:r w:rsidRPr="002126BF">
        <w:rPr>
          <w:rFonts w:cs="Arial"/>
          <w:bCs/>
          <w:spacing w:val="-2"/>
          <w:sz w:val="16"/>
          <w:szCs w:val="28"/>
        </w:rPr>
        <w:t>Fuente:</w:t>
      </w:r>
      <w:r w:rsidRPr="002126BF">
        <w:rPr>
          <w:rFonts w:cs="Arial"/>
          <w:bCs/>
          <w:spacing w:val="-3"/>
          <w:sz w:val="16"/>
          <w:szCs w:val="28"/>
        </w:rPr>
        <w:t xml:space="preserve"> </w:t>
      </w:r>
      <w:r w:rsidRPr="002126BF">
        <w:rPr>
          <w:rFonts w:cs="Arial"/>
          <w:bCs/>
          <w:spacing w:val="-2"/>
          <w:sz w:val="16"/>
          <w:szCs w:val="28"/>
        </w:rPr>
        <w:t>INEGI.</w:t>
      </w:r>
      <w:r w:rsidRPr="002126BF">
        <w:rPr>
          <w:rFonts w:cs="Arial"/>
          <w:bCs/>
          <w:spacing w:val="-3"/>
          <w:sz w:val="16"/>
          <w:szCs w:val="28"/>
        </w:rPr>
        <w:t xml:space="preserve"> </w:t>
      </w:r>
      <w:r w:rsidRPr="002126BF">
        <w:rPr>
          <w:rFonts w:cs="Arial"/>
          <w:bCs/>
          <w:spacing w:val="-2"/>
          <w:sz w:val="16"/>
          <w:szCs w:val="28"/>
        </w:rPr>
        <w:t>Encuesta Nacional</w:t>
      </w:r>
      <w:r w:rsidRPr="002126BF">
        <w:rPr>
          <w:rFonts w:cs="Arial"/>
          <w:bCs/>
          <w:spacing w:val="-3"/>
          <w:sz w:val="16"/>
          <w:szCs w:val="28"/>
        </w:rPr>
        <w:t xml:space="preserve"> </w:t>
      </w:r>
      <w:r w:rsidRPr="002126BF">
        <w:rPr>
          <w:rFonts w:cs="Arial"/>
          <w:bCs/>
          <w:spacing w:val="-2"/>
          <w:sz w:val="16"/>
          <w:szCs w:val="28"/>
        </w:rPr>
        <w:t>de Seguridad</w:t>
      </w:r>
      <w:r w:rsidRPr="002126BF">
        <w:rPr>
          <w:rFonts w:cs="Arial"/>
          <w:bCs/>
          <w:spacing w:val="-3"/>
          <w:sz w:val="16"/>
          <w:szCs w:val="28"/>
        </w:rPr>
        <w:t xml:space="preserve"> </w:t>
      </w:r>
      <w:r w:rsidRPr="002126BF">
        <w:rPr>
          <w:rFonts w:cs="Arial"/>
          <w:bCs/>
          <w:spacing w:val="-2"/>
          <w:sz w:val="16"/>
          <w:szCs w:val="28"/>
        </w:rPr>
        <w:t>Pública</w:t>
      </w:r>
      <w:r w:rsidRPr="002126BF">
        <w:rPr>
          <w:rFonts w:cs="Arial"/>
          <w:bCs/>
          <w:spacing w:val="-3"/>
          <w:sz w:val="16"/>
          <w:szCs w:val="28"/>
        </w:rPr>
        <w:t xml:space="preserve"> </w:t>
      </w:r>
      <w:r w:rsidRPr="002126BF">
        <w:rPr>
          <w:rFonts w:cs="Arial"/>
          <w:bCs/>
          <w:spacing w:val="-2"/>
          <w:sz w:val="16"/>
          <w:szCs w:val="28"/>
        </w:rPr>
        <w:t>Urbana (ENSU)</w:t>
      </w:r>
      <w:r w:rsidRPr="002126BF">
        <w:rPr>
          <w:rFonts w:cs="Arial"/>
          <w:bCs/>
          <w:spacing w:val="-3"/>
          <w:sz w:val="16"/>
          <w:szCs w:val="28"/>
        </w:rPr>
        <w:t xml:space="preserve"> 2024.</w:t>
      </w:r>
    </w:p>
    <w:p w14:paraId="4D07385D" w14:textId="65BB783F" w:rsidR="0070429C" w:rsidRPr="001428A8" w:rsidRDefault="0070429C" w:rsidP="00B205BA">
      <w:pPr>
        <w:spacing w:after="120" w:line="240" w:lineRule="auto"/>
        <w:ind w:right="49"/>
        <w:rPr>
          <w:rFonts w:cs="Arial"/>
          <w:lang w:val="es-MX"/>
        </w:rPr>
      </w:pPr>
      <w:r w:rsidRPr="001428A8">
        <w:rPr>
          <w:rFonts w:cs="Arial"/>
          <w:lang w:val="es-MX"/>
        </w:rPr>
        <w:t xml:space="preserve">De acuerdo con el Censo de Gobiernos Municipales 2023 </w:t>
      </w:r>
      <w:r>
        <w:rPr>
          <w:rFonts w:cs="Arial"/>
          <w:lang w:val="es-MX"/>
        </w:rPr>
        <w:t>(</w:t>
      </w:r>
      <w:r w:rsidRPr="001428A8">
        <w:rPr>
          <w:rFonts w:cs="Arial"/>
          <w:lang w:val="es-MX"/>
        </w:rPr>
        <w:t>INEGI</w:t>
      </w:r>
      <w:r>
        <w:rPr>
          <w:rFonts w:cs="Arial"/>
          <w:lang w:val="es-MX"/>
        </w:rPr>
        <w:t>)</w:t>
      </w:r>
      <w:r w:rsidRPr="001428A8">
        <w:rPr>
          <w:rFonts w:cs="Arial"/>
          <w:lang w:val="es-MX"/>
        </w:rPr>
        <w:t xml:space="preserve">, en 2022 se registraron </w:t>
      </w:r>
      <w:r>
        <w:rPr>
          <w:rFonts w:cs="Arial"/>
          <w:lang w:val="es-MX"/>
        </w:rPr>
        <w:t>más de 37 300</w:t>
      </w:r>
      <w:r w:rsidRPr="001428A8">
        <w:rPr>
          <w:rFonts w:cs="Arial"/>
          <w:lang w:val="es-MX"/>
        </w:rPr>
        <w:t xml:space="preserve"> intervenciones por presuntas infracciones </w:t>
      </w:r>
      <w:r>
        <w:rPr>
          <w:rFonts w:cs="Arial"/>
          <w:lang w:val="es-MX"/>
        </w:rPr>
        <w:t>y</w:t>
      </w:r>
      <w:r w:rsidRPr="001428A8">
        <w:rPr>
          <w:rFonts w:cs="Arial"/>
          <w:lang w:val="es-MX"/>
        </w:rPr>
        <w:t xml:space="preserve"> faltas administrativas, todas </w:t>
      </w:r>
      <w:r>
        <w:rPr>
          <w:rFonts w:cs="Arial"/>
          <w:lang w:val="es-MX"/>
        </w:rPr>
        <w:t>ellas</w:t>
      </w:r>
      <w:r w:rsidRPr="001428A8">
        <w:rPr>
          <w:rFonts w:cs="Arial"/>
          <w:lang w:val="es-MX"/>
        </w:rPr>
        <w:t xml:space="preserve"> notificadas a un juez cívico u oficial calificado</w:t>
      </w:r>
      <w:r>
        <w:rPr>
          <w:rFonts w:cs="Arial"/>
          <w:lang w:val="es-MX"/>
        </w:rPr>
        <w:t>. Esto</w:t>
      </w:r>
      <w:r w:rsidRPr="001428A8">
        <w:rPr>
          <w:rFonts w:cs="Arial"/>
          <w:lang w:val="es-MX"/>
        </w:rPr>
        <w:t xml:space="preserve"> evidencia la </w:t>
      </w:r>
      <w:r>
        <w:rPr>
          <w:rFonts w:cs="Arial"/>
          <w:lang w:val="es-MX"/>
        </w:rPr>
        <w:t xml:space="preserve">efectividad y </w:t>
      </w:r>
      <w:r w:rsidRPr="001428A8">
        <w:rPr>
          <w:rFonts w:cs="Arial"/>
          <w:lang w:val="es-MX"/>
        </w:rPr>
        <w:t xml:space="preserve">eficiencia del proceso de notificación y remisión de casos </w:t>
      </w:r>
      <w:r>
        <w:rPr>
          <w:rFonts w:cs="Arial"/>
          <w:lang w:val="es-MX"/>
        </w:rPr>
        <w:t>al sistema de</w:t>
      </w:r>
      <w:r w:rsidRPr="001428A8">
        <w:rPr>
          <w:rFonts w:cs="Arial"/>
          <w:lang w:val="es-MX"/>
        </w:rPr>
        <w:t xml:space="preserve"> justicia cívica.</w:t>
      </w:r>
    </w:p>
    <w:p w14:paraId="03659810" w14:textId="64010557" w:rsidR="0070429C" w:rsidRPr="00711FD9" w:rsidRDefault="0070429C" w:rsidP="00B205BA">
      <w:pPr>
        <w:spacing w:after="120" w:line="240" w:lineRule="auto"/>
        <w:ind w:right="49"/>
        <w:rPr>
          <w:rFonts w:cs="Arial"/>
          <w:lang w:val="es-MX"/>
        </w:rPr>
      </w:pPr>
      <w:r w:rsidRPr="001428A8">
        <w:rPr>
          <w:rFonts w:cs="Arial"/>
          <w:lang w:val="es-MX"/>
        </w:rPr>
        <w:t xml:space="preserve">El </w:t>
      </w:r>
      <w:r>
        <w:rPr>
          <w:rFonts w:cs="Arial"/>
          <w:lang w:val="es-MX"/>
        </w:rPr>
        <w:t xml:space="preserve">mismo </w:t>
      </w:r>
      <w:r w:rsidRPr="001428A8">
        <w:rPr>
          <w:rFonts w:cs="Arial"/>
          <w:lang w:val="es-MX"/>
        </w:rPr>
        <w:t xml:space="preserve">censo también reportó </w:t>
      </w:r>
      <w:r>
        <w:rPr>
          <w:rFonts w:cs="Arial"/>
          <w:lang w:val="es-MX"/>
        </w:rPr>
        <w:t>la procedencia de más de 880</w:t>
      </w:r>
      <w:r w:rsidRPr="001428A8">
        <w:rPr>
          <w:rFonts w:cs="Arial"/>
          <w:lang w:val="es-MX"/>
        </w:rPr>
        <w:t xml:space="preserve"> procedimientos por faltas administrativas, </w:t>
      </w:r>
      <w:r>
        <w:rPr>
          <w:rFonts w:cs="Arial"/>
          <w:lang w:val="es-MX"/>
        </w:rPr>
        <w:t>todos</w:t>
      </w:r>
      <w:r w:rsidRPr="001428A8">
        <w:rPr>
          <w:rFonts w:cs="Arial"/>
          <w:lang w:val="es-MX"/>
        </w:rPr>
        <w:t xml:space="preserve"> los cuales fueron resueltos. La infracción más frecuente </w:t>
      </w:r>
      <w:r>
        <w:rPr>
          <w:rFonts w:cs="Arial"/>
          <w:lang w:val="es-MX"/>
        </w:rPr>
        <w:t>(</w:t>
      </w:r>
      <w:r w:rsidRPr="001428A8">
        <w:rPr>
          <w:rFonts w:cs="Arial"/>
          <w:lang w:val="es-MX"/>
        </w:rPr>
        <w:t>21.9% del total</w:t>
      </w:r>
      <w:r>
        <w:rPr>
          <w:rFonts w:cs="Arial"/>
          <w:lang w:val="es-MX"/>
        </w:rPr>
        <w:t>)</w:t>
      </w:r>
      <w:r w:rsidRPr="001428A8" w:rsidDel="00837735">
        <w:rPr>
          <w:rFonts w:cs="Arial"/>
          <w:lang w:val="es-MX"/>
        </w:rPr>
        <w:t xml:space="preserve"> </w:t>
      </w:r>
      <w:r>
        <w:rPr>
          <w:rFonts w:cs="Arial"/>
          <w:lang w:val="es-MX"/>
        </w:rPr>
        <w:t>fue por afectar</w:t>
      </w:r>
      <w:r w:rsidRPr="001428A8">
        <w:rPr>
          <w:rFonts w:cs="Arial"/>
          <w:lang w:val="es-MX"/>
        </w:rPr>
        <w:t xml:space="preserve"> la tranquilidad y </w:t>
      </w:r>
      <w:r>
        <w:rPr>
          <w:rFonts w:cs="Arial"/>
          <w:lang w:val="es-MX"/>
        </w:rPr>
        <w:t xml:space="preserve">la </w:t>
      </w:r>
      <w:r w:rsidRPr="001428A8">
        <w:rPr>
          <w:rFonts w:cs="Arial"/>
          <w:lang w:val="es-MX"/>
        </w:rPr>
        <w:t>convivencia social. Le siguieron las infracciones de personas que</w:t>
      </w:r>
      <w:r>
        <w:rPr>
          <w:rFonts w:cs="Arial"/>
          <w:lang w:val="es-MX"/>
        </w:rPr>
        <w:t>,</w:t>
      </w:r>
      <w:r w:rsidRPr="001428A8">
        <w:rPr>
          <w:rFonts w:cs="Arial"/>
          <w:lang w:val="es-MX"/>
        </w:rPr>
        <w:t xml:space="preserve"> en estado de ebriedad o bajo el efecto de drogas, </w:t>
      </w:r>
      <w:r>
        <w:rPr>
          <w:rFonts w:cs="Arial"/>
          <w:lang w:val="es-MX"/>
        </w:rPr>
        <w:t>ocasionan</w:t>
      </w:r>
      <w:r w:rsidRPr="001428A8">
        <w:rPr>
          <w:rFonts w:cs="Arial"/>
          <w:lang w:val="es-MX"/>
        </w:rPr>
        <w:t xml:space="preserve"> molestias a </w:t>
      </w:r>
      <w:r w:rsidRPr="001428A8">
        <w:rPr>
          <w:rFonts w:cs="Arial"/>
          <w:lang w:val="es-MX"/>
        </w:rPr>
        <w:lastRenderedPageBreak/>
        <w:t>terceros o daños a bienes</w:t>
      </w:r>
      <w:r>
        <w:rPr>
          <w:rFonts w:cs="Arial"/>
          <w:lang w:val="es-MX"/>
        </w:rPr>
        <w:t xml:space="preserve"> (</w:t>
      </w:r>
      <w:r w:rsidRPr="001428A8">
        <w:rPr>
          <w:rFonts w:cs="Arial"/>
          <w:lang w:val="es-MX"/>
        </w:rPr>
        <w:t>14.4</w:t>
      </w:r>
      <w:r>
        <w:rPr>
          <w:rFonts w:cs="Arial"/>
          <w:lang w:val="es-MX"/>
        </w:rPr>
        <w:t xml:space="preserve"> </w:t>
      </w:r>
      <w:r w:rsidRPr="001428A8">
        <w:rPr>
          <w:rFonts w:cs="Arial"/>
          <w:lang w:val="es-MX"/>
        </w:rPr>
        <w:t>%</w:t>
      </w:r>
      <w:r>
        <w:rPr>
          <w:rFonts w:cs="Arial"/>
          <w:lang w:val="es-MX"/>
        </w:rPr>
        <w:t>)</w:t>
      </w:r>
      <w:r w:rsidRPr="001428A8">
        <w:rPr>
          <w:rFonts w:cs="Arial"/>
          <w:lang w:val="es-MX"/>
        </w:rPr>
        <w:t>. En tercer lugar</w:t>
      </w:r>
      <w:r>
        <w:rPr>
          <w:rFonts w:cs="Arial"/>
          <w:lang w:val="es-MX"/>
        </w:rPr>
        <w:t>,</w:t>
      </w:r>
      <w:r w:rsidRPr="001428A8">
        <w:rPr>
          <w:rFonts w:cs="Arial"/>
          <w:lang w:val="es-MX"/>
        </w:rPr>
        <w:t xml:space="preserve"> se situaron las infracciones por conducción de vehículos en estado de ebriedad o bajo el efecto de drogas </w:t>
      </w:r>
      <w:r>
        <w:rPr>
          <w:rFonts w:cs="Arial"/>
          <w:lang w:val="es-MX"/>
        </w:rPr>
        <w:t>(</w:t>
      </w:r>
      <w:r w:rsidRPr="001428A8">
        <w:rPr>
          <w:rFonts w:cs="Arial"/>
          <w:lang w:val="es-MX"/>
        </w:rPr>
        <w:t>13.5</w:t>
      </w:r>
      <w:r>
        <w:rPr>
          <w:rFonts w:cs="Arial"/>
          <w:lang w:val="es-MX"/>
        </w:rPr>
        <w:t xml:space="preserve"> </w:t>
      </w:r>
      <w:r w:rsidRPr="001428A8">
        <w:rPr>
          <w:rFonts w:cs="Arial"/>
          <w:lang w:val="es-MX"/>
        </w:rPr>
        <w:t>%</w:t>
      </w:r>
      <w:r>
        <w:rPr>
          <w:rFonts w:cs="Arial"/>
          <w:lang w:val="es-MX"/>
        </w:rPr>
        <w:t>)</w:t>
      </w:r>
      <w:r w:rsidRPr="001428A8">
        <w:rPr>
          <w:rFonts w:cs="Arial"/>
          <w:lang w:val="es-MX"/>
        </w:rPr>
        <w:t>.</w:t>
      </w:r>
    </w:p>
    <w:p w14:paraId="3F57EBCD" w14:textId="4FC2FC66" w:rsidR="0070429C" w:rsidRPr="001428A8" w:rsidRDefault="0070429C" w:rsidP="00B205BA">
      <w:pPr>
        <w:spacing w:after="120" w:line="240" w:lineRule="auto"/>
        <w:ind w:right="49"/>
        <w:rPr>
          <w:rFonts w:cs="Arial"/>
        </w:rPr>
      </w:pPr>
      <w:r>
        <w:rPr>
          <w:rFonts w:cs="Arial"/>
        </w:rPr>
        <w:t>Estas</w:t>
      </w:r>
      <w:r w:rsidRPr="001428A8">
        <w:rPr>
          <w:rFonts w:cs="Arial"/>
        </w:rPr>
        <w:t xml:space="preserve"> infracciones más comunes reflejan una preocupación por el impacto en la tranquilidad y seguridad pública, con énfasis en conductas relacionadas con el consumo de alcohol y drogas, tanto en espacios públicos como en la conducción de vehículos. Esto sugiere la necesidad de reforzar</w:t>
      </w:r>
      <w:r>
        <w:rPr>
          <w:rFonts w:cs="Arial"/>
        </w:rPr>
        <w:t xml:space="preserve"> los esfuerzos</w:t>
      </w:r>
      <w:r w:rsidRPr="001428A8">
        <w:rPr>
          <w:rFonts w:cs="Arial"/>
        </w:rPr>
        <w:t xml:space="preserve"> de prevención y concientización en estas </w:t>
      </w:r>
      <w:r>
        <w:rPr>
          <w:rFonts w:cs="Arial"/>
        </w:rPr>
        <w:t>temáticas</w:t>
      </w:r>
      <w:r w:rsidRPr="001428A8">
        <w:rPr>
          <w:rFonts w:cs="Arial"/>
        </w:rPr>
        <w:t xml:space="preserve"> para mejorar la convivencia social.</w:t>
      </w:r>
      <w:r w:rsidRPr="001428A8">
        <w:rPr>
          <w:rFonts w:cs="Arial"/>
        </w:rPr>
        <w:tab/>
      </w:r>
      <w:r w:rsidRPr="001428A8">
        <w:rPr>
          <w:rFonts w:cs="Arial"/>
        </w:rPr>
        <w:tab/>
      </w:r>
    </w:p>
    <w:p w14:paraId="2AFDDCEF" w14:textId="73A1046F" w:rsidR="0070429C" w:rsidRPr="00341594" w:rsidRDefault="0070429C" w:rsidP="00B205BA">
      <w:pPr>
        <w:spacing w:after="120" w:line="240" w:lineRule="auto"/>
        <w:ind w:right="49"/>
        <w:rPr>
          <w:rFonts w:cs="Arial"/>
          <w:b/>
          <w:bCs/>
        </w:rPr>
      </w:pPr>
      <w:r>
        <w:rPr>
          <w:rFonts w:cs="Arial"/>
          <w:b/>
          <w:bCs/>
        </w:rPr>
        <w:t>Desempeño y confianza</w:t>
      </w:r>
      <w:r w:rsidR="00261A27">
        <w:rPr>
          <w:rFonts w:cs="Arial"/>
          <w:b/>
          <w:bCs/>
        </w:rPr>
        <w:t>.</w:t>
      </w:r>
    </w:p>
    <w:p w14:paraId="023E926E" w14:textId="0659B6EA" w:rsidR="0070429C" w:rsidRPr="00711FD9" w:rsidRDefault="0070429C" w:rsidP="00B205BA">
      <w:pPr>
        <w:spacing w:after="120" w:line="240" w:lineRule="auto"/>
        <w:ind w:right="49"/>
        <w:rPr>
          <w:rFonts w:cs="Arial"/>
        </w:rPr>
      </w:pPr>
      <w:r>
        <w:rPr>
          <w:rFonts w:cs="Arial"/>
          <w:bCs/>
          <w:spacing w:val="-2"/>
          <w:szCs w:val="40"/>
        </w:rPr>
        <w:t>De acuerdo con</w:t>
      </w:r>
      <w:r w:rsidRPr="00BA7CDC">
        <w:rPr>
          <w:rFonts w:cs="Arial"/>
          <w:bCs/>
          <w:spacing w:val="-2"/>
          <w:szCs w:val="40"/>
        </w:rPr>
        <w:t xml:space="preserve"> la Encuesta Nacional</w:t>
      </w:r>
      <w:r w:rsidRPr="00BA7CDC">
        <w:rPr>
          <w:rFonts w:cs="Arial"/>
          <w:bCs/>
          <w:spacing w:val="-3"/>
          <w:szCs w:val="40"/>
        </w:rPr>
        <w:t xml:space="preserve"> </w:t>
      </w:r>
      <w:r w:rsidRPr="00BA7CDC">
        <w:rPr>
          <w:rFonts w:cs="Arial"/>
          <w:bCs/>
          <w:spacing w:val="-2"/>
          <w:szCs w:val="40"/>
        </w:rPr>
        <w:t>de Seguridad</w:t>
      </w:r>
      <w:r w:rsidRPr="00BA7CDC">
        <w:rPr>
          <w:rFonts w:cs="Arial"/>
          <w:bCs/>
          <w:spacing w:val="-3"/>
          <w:szCs w:val="40"/>
        </w:rPr>
        <w:t xml:space="preserve"> </w:t>
      </w:r>
      <w:r w:rsidRPr="00BA7CDC">
        <w:rPr>
          <w:rFonts w:cs="Arial"/>
          <w:bCs/>
          <w:spacing w:val="-2"/>
          <w:szCs w:val="40"/>
        </w:rPr>
        <w:t>Pública</w:t>
      </w:r>
      <w:r w:rsidRPr="00BA7CDC">
        <w:rPr>
          <w:rFonts w:cs="Arial"/>
          <w:bCs/>
          <w:spacing w:val="-3"/>
          <w:szCs w:val="40"/>
        </w:rPr>
        <w:t xml:space="preserve"> </w:t>
      </w:r>
      <w:r w:rsidRPr="00BA7CDC">
        <w:rPr>
          <w:rFonts w:cs="Arial"/>
          <w:bCs/>
          <w:spacing w:val="-2"/>
          <w:szCs w:val="40"/>
        </w:rPr>
        <w:t xml:space="preserve">Urbana (ENSU), la percepción de efectividad de la policía preventiva municipal aumentó </w:t>
      </w:r>
      <w:r>
        <w:rPr>
          <w:rFonts w:cs="Arial"/>
          <w:bCs/>
          <w:spacing w:val="-2"/>
          <w:szCs w:val="40"/>
        </w:rPr>
        <w:t>casi 13 puntos porcentuales</w:t>
      </w:r>
      <w:r w:rsidRPr="00741120">
        <w:rPr>
          <w:rFonts w:cs="Arial"/>
          <w:bCs/>
          <w:spacing w:val="-2"/>
          <w:szCs w:val="40"/>
        </w:rPr>
        <w:t xml:space="preserve"> </w:t>
      </w:r>
      <w:r w:rsidRPr="00BA7CDC">
        <w:rPr>
          <w:rFonts w:cs="Arial"/>
          <w:bCs/>
          <w:spacing w:val="-2"/>
          <w:szCs w:val="40"/>
        </w:rPr>
        <w:t xml:space="preserve">al cierre de septiembre de 2024, </w:t>
      </w:r>
      <w:r>
        <w:rPr>
          <w:rFonts w:cs="Arial"/>
          <w:bCs/>
          <w:spacing w:val="-2"/>
          <w:szCs w:val="40"/>
        </w:rPr>
        <w:t>al pasar</w:t>
      </w:r>
      <w:r w:rsidRPr="00BA7CDC">
        <w:rPr>
          <w:rFonts w:cs="Arial"/>
          <w:bCs/>
          <w:spacing w:val="-2"/>
          <w:szCs w:val="40"/>
        </w:rPr>
        <w:t xml:space="preserve"> de 44.3 a 57.1</w:t>
      </w:r>
      <w:r>
        <w:rPr>
          <w:rFonts w:cs="Arial"/>
          <w:bCs/>
          <w:spacing w:val="-2"/>
          <w:szCs w:val="40"/>
        </w:rPr>
        <w:t xml:space="preserve"> </w:t>
      </w:r>
      <w:r w:rsidRPr="00BA7CDC">
        <w:rPr>
          <w:rFonts w:cs="Arial"/>
          <w:bCs/>
          <w:spacing w:val="-2"/>
          <w:szCs w:val="40"/>
        </w:rPr>
        <w:t xml:space="preserve">%. </w:t>
      </w:r>
      <w:r>
        <w:rPr>
          <w:rFonts w:cs="Arial"/>
          <w:bCs/>
          <w:spacing w:val="-2"/>
          <w:szCs w:val="40"/>
        </w:rPr>
        <w:t>Este</w:t>
      </w:r>
      <w:r w:rsidRPr="00BA7CDC">
        <w:rPr>
          <w:rFonts w:cs="Arial"/>
          <w:bCs/>
          <w:spacing w:val="-2"/>
          <w:szCs w:val="40"/>
        </w:rPr>
        <w:t xml:space="preserve"> comportamiento positivo también se observa en los resultados obtenidos en el aumento de la confianza</w:t>
      </w:r>
      <w:r>
        <w:rPr>
          <w:rFonts w:cs="Arial"/>
          <w:bCs/>
          <w:spacing w:val="-2"/>
          <w:szCs w:val="40"/>
        </w:rPr>
        <w:t xml:space="preserve">, al pasar </w:t>
      </w:r>
      <w:r w:rsidRPr="00BA7CDC">
        <w:rPr>
          <w:rFonts w:cs="Arial"/>
          <w:bCs/>
          <w:spacing w:val="-2"/>
          <w:szCs w:val="40"/>
        </w:rPr>
        <w:t>de 47.2 a 54.1</w:t>
      </w:r>
      <w:r>
        <w:rPr>
          <w:rFonts w:cs="Arial"/>
          <w:bCs/>
          <w:spacing w:val="-2"/>
          <w:szCs w:val="40"/>
        </w:rPr>
        <w:t xml:space="preserve"> </w:t>
      </w:r>
      <w:r w:rsidRPr="00BA7CDC">
        <w:rPr>
          <w:rFonts w:cs="Arial"/>
          <w:bCs/>
          <w:spacing w:val="-2"/>
          <w:szCs w:val="40"/>
        </w:rPr>
        <w:t>% de septiembre de 2021 a septiembre de 2024.</w:t>
      </w:r>
      <w:r>
        <w:rPr>
          <w:rFonts w:cs="Arial"/>
          <w:bCs/>
          <w:spacing w:val="-2"/>
          <w:szCs w:val="40"/>
        </w:rPr>
        <w:t xml:space="preserve"> </w:t>
      </w:r>
      <w:r>
        <w:rPr>
          <w:rFonts w:cs="Arial"/>
        </w:rPr>
        <w:t>Con igual</w:t>
      </w:r>
      <w:r w:rsidRPr="00BA7CDC">
        <w:rPr>
          <w:rFonts w:cs="Arial"/>
        </w:rPr>
        <w:t xml:space="preserve"> sentido, </w:t>
      </w:r>
      <w:r>
        <w:rPr>
          <w:rFonts w:cs="Arial"/>
        </w:rPr>
        <w:t>la percepción de efectividad del Gobierno Municipal registró un incremento de casi 14 puntos porcentuales en el mismo período (véase gráfica 7).</w:t>
      </w:r>
    </w:p>
    <w:p w14:paraId="35843B03" w14:textId="6E30E3EB" w:rsidR="0070429C" w:rsidRPr="00261A27" w:rsidRDefault="0070429C" w:rsidP="00B205BA">
      <w:pPr>
        <w:spacing w:after="120" w:line="240" w:lineRule="auto"/>
        <w:ind w:right="49"/>
        <w:jc w:val="center"/>
        <w:rPr>
          <w:rFonts w:cs="Arial"/>
          <w:b/>
          <w:bCs/>
        </w:rPr>
      </w:pPr>
      <w:r w:rsidRPr="00261A27">
        <w:rPr>
          <w:rFonts w:cs="Arial"/>
          <w:b/>
          <w:bCs/>
        </w:rPr>
        <w:t>GRÁFICA 7. PORCENTAJE DE PERCEPCIÓN DE EFECTIVIDAD DEL GOBIERNO MUNICIPAL</w:t>
      </w:r>
      <w:r w:rsidR="0086730D">
        <w:rPr>
          <w:rFonts w:cs="Arial"/>
          <w:b/>
          <w:bCs/>
        </w:rPr>
        <w:t>.</w:t>
      </w:r>
      <w:r w:rsidRPr="00261A27">
        <w:rPr>
          <w:rFonts w:cs="Arial"/>
          <w:b/>
          <w:bCs/>
        </w:rPr>
        <w:t xml:space="preserve"> </w:t>
      </w:r>
    </w:p>
    <w:p w14:paraId="2CD8ACA6" w14:textId="77777777" w:rsidR="0070429C" w:rsidRPr="001509A6" w:rsidRDefault="0070429C" w:rsidP="00B205BA">
      <w:pPr>
        <w:spacing w:after="120" w:line="240" w:lineRule="auto"/>
        <w:ind w:right="49"/>
        <w:jc w:val="center"/>
        <w:rPr>
          <w:rFonts w:cs="Arial"/>
          <w:sz w:val="18"/>
          <w:szCs w:val="18"/>
        </w:rPr>
      </w:pPr>
      <w:r w:rsidRPr="001509A6">
        <w:rPr>
          <w:rFonts w:cs="Arial"/>
          <w:sz w:val="18"/>
          <w:szCs w:val="18"/>
        </w:rPr>
        <w:t>Septiembre 2</w:t>
      </w:r>
      <w:r>
        <w:rPr>
          <w:rFonts w:cs="Arial"/>
          <w:sz w:val="18"/>
          <w:szCs w:val="18"/>
        </w:rPr>
        <w:t>02</w:t>
      </w:r>
      <w:r w:rsidRPr="001509A6">
        <w:rPr>
          <w:rFonts w:cs="Arial"/>
          <w:sz w:val="18"/>
          <w:szCs w:val="18"/>
        </w:rPr>
        <w:t>1</w:t>
      </w:r>
      <w:r>
        <w:rPr>
          <w:rFonts w:cs="Arial"/>
          <w:sz w:val="18"/>
          <w:szCs w:val="18"/>
        </w:rPr>
        <w:t xml:space="preserve">- Septiembre </w:t>
      </w:r>
      <w:r w:rsidRPr="001509A6">
        <w:rPr>
          <w:rFonts w:cs="Arial"/>
          <w:sz w:val="18"/>
          <w:szCs w:val="18"/>
        </w:rPr>
        <w:t>2</w:t>
      </w:r>
      <w:r>
        <w:rPr>
          <w:rFonts w:cs="Arial"/>
          <w:sz w:val="18"/>
          <w:szCs w:val="18"/>
        </w:rPr>
        <w:t>02</w:t>
      </w:r>
      <w:r w:rsidRPr="001509A6">
        <w:rPr>
          <w:rFonts w:cs="Arial"/>
          <w:sz w:val="18"/>
          <w:szCs w:val="18"/>
        </w:rPr>
        <w:t xml:space="preserve">4 </w:t>
      </w:r>
    </w:p>
    <w:p w14:paraId="0F641C86" w14:textId="77777777" w:rsidR="0070429C" w:rsidRDefault="0070429C" w:rsidP="00B205BA">
      <w:pPr>
        <w:spacing w:after="120" w:line="240" w:lineRule="auto"/>
        <w:ind w:right="49"/>
        <w:rPr>
          <w:rFonts w:cs="Arial"/>
        </w:rPr>
      </w:pPr>
    </w:p>
    <w:p w14:paraId="3405EA52" w14:textId="3ACAEB07" w:rsidR="0070429C" w:rsidRPr="00711FD9" w:rsidRDefault="0070429C" w:rsidP="00B205BA">
      <w:pPr>
        <w:spacing w:after="120" w:line="240" w:lineRule="auto"/>
        <w:ind w:right="49"/>
        <w:jc w:val="center"/>
        <w:rPr>
          <w:rFonts w:cs="Arial"/>
        </w:rPr>
      </w:pPr>
      <w:r w:rsidRPr="00FD1C00">
        <w:rPr>
          <w:rFonts w:cs="Arial"/>
          <w:noProof/>
        </w:rPr>
        <w:drawing>
          <wp:inline distT="0" distB="0" distL="0" distR="0" wp14:anchorId="5D375C21" wp14:editId="2FD65341">
            <wp:extent cx="3276600" cy="2019300"/>
            <wp:effectExtent l="0" t="0" r="0" b="0"/>
            <wp:docPr id="204505093" name="Gráfico 1">
              <a:extLst xmlns:a="http://schemas.openxmlformats.org/drawingml/2006/main">
                <a:ext uri="{FF2B5EF4-FFF2-40B4-BE49-F238E27FC236}">
                  <a16:creationId xmlns:a16="http://schemas.microsoft.com/office/drawing/2014/main" id="{712EE843-FF30-344B-6D8F-9410B505D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FB0CFA" w14:textId="77777777" w:rsidR="0070429C" w:rsidRPr="002126BF" w:rsidRDefault="0070429C" w:rsidP="00B205BA">
      <w:pPr>
        <w:spacing w:before="1" w:after="120" w:line="240" w:lineRule="auto"/>
        <w:rPr>
          <w:rFonts w:cs="Arial"/>
          <w:bCs/>
          <w:sz w:val="16"/>
          <w:szCs w:val="28"/>
        </w:rPr>
      </w:pPr>
      <w:r w:rsidRPr="002126BF">
        <w:rPr>
          <w:rFonts w:cs="Arial"/>
          <w:bCs/>
          <w:spacing w:val="-2"/>
          <w:sz w:val="16"/>
          <w:szCs w:val="28"/>
        </w:rPr>
        <w:t>Fuente:</w:t>
      </w:r>
      <w:r w:rsidRPr="002126BF">
        <w:rPr>
          <w:rFonts w:cs="Arial"/>
          <w:bCs/>
          <w:spacing w:val="-3"/>
          <w:sz w:val="16"/>
          <w:szCs w:val="28"/>
        </w:rPr>
        <w:t xml:space="preserve"> </w:t>
      </w:r>
      <w:r w:rsidRPr="002126BF">
        <w:rPr>
          <w:rFonts w:cs="Arial"/>
          <w:bCs/>
          <w:spacing w:val="-2"/>
          <w:sz w:val="16"/>
          <w:szCs w:val="28"/>
        </w:rPr>
        <w:t>INEGI.</w:t>
      </w:r>
      <w:r w:rsidRPr="002126BF">
        <w:rPr>
          <w:rFonts w:cs="Arial"/>
          <w:bCs/>
          <w:spacing w:val="-3"/>
          <w:sz w:val="16"/>
          <w:szCs w:val="28"/>
        </w:rPr>
        <w:t xml:space="preserve"> </w:t>
      </w:r>
      <w:r w:rsidRPr="002126BF">
        <w:rPr>
          <w:rFonts w:cs="Arial"/>
          <w:bCs/>
          <w:spacing w:val="-2"/>
          <w:sz w:val="16"/>
          <w:szCs w:val="28"/>
        </w:rPr>
        <w:t>Encuesta Nacional</w:t>
      </w:r>
      <w:r w:rsidRPr="002126BF">
        <w:rPr>
          <w:rFonts w:cs="Arial"/>
          <w:bCs/>
          <w:spacing w:val="-3"/>
          <w:sz w:val="16"/>
          <w:szCs w:val="28"/>
        </w:rPr>
        <w:t xml:space="preserve"> </w:t>
      </w:r>
      <w:r w:rsidRPr="002126BF">
        <w:rPr>
          <w:rFonts w:cs="Arial"/>
          <w:bCs/>
          <w:spacing w:val="-2"/>
          <w:sz w:val="16"/>
          <w:szCs w:val="28"/>
        </w:rPr>
        <w:t>de Seguridad</w:t>
      </w:r>
      <w:r w:rsidRPr="002126BF">
        <w:rPr>
          <w:rFonts w:cs="Arial"/>
          <w:bCs/>
          <w:spacing w:val="-3"/>
          <w:sz w:val="16"/>
          <w:szCs w:val="28"/>
        </w:rPr>
        <w:t xml:space="preserve"> </w:t>
      </w:r>
      <w:r w:rsidRPr="002126BF">
        <w:rPr>
          <w:rFonts w:cs="Arial"/>
          <w:bCs/>
          <w:spacing w:val="-2"/>
          <w:sz w:val="16"/>
          <w:szCs w:val="28"/>
        </w:rPr>
        <w:t>Pública</w:t>
      </w:r>
      <w:r w:rsidRPr="002126BF">
        <w:rPr>
          <w:rFonts w:cs="Arial"/>
          <w:bCs/>
          <w:spacing w:val="-3"/>
          <w:sz w:val="16"/>
          <w:szCs w:val="28"/>
        </w:rPr>
        <w:t xml:space="preserve"> </w:t>
      </w:r>
      <w:r w:rsidRPr="002126BF">
        <w:rPr>
          <w:rFonts w:cs="Arial"/>
          <w:bCs/>
          <w:spacing w:val="-2"/>
          <w:sz w:val="16"/>
          <w:szCs w:val="28"/>
        </w:rPr>
        <w:t>Urbana (ENSU)</w:t>
      </w:r>
      <w:r w:rsidRPr="002126BF">
        <w:rPr>
          <w:rFonts w:cs="Arial"/>
          <w:bCs/>
          <w:spacing w:val="-3"/>
          <w:sz w:val="16"/>
          <w:szCs w:val="28"/>
        </w:rPr>
        <w:t xml:space="preserve"> </w:t>
      </w:r>
      <w:r w:rsidRPr="002126BF">
        <w:rPr>
          <w:rFonts w:cs="Arial"/>
          <w:bCs/>
          <w:spacing w:val="-2"/>
          <w:sz w:val="16"/>
          <w:szCs w:val="28"/>
        </w:rPr>
        <w:t>de septiembre</w:t>
      </w:r>
      <w:r w:rsidRPr="002126BF">
        <w:rPr>
          <w:rFonts w:cs="Arial"/>
          <w:bCs/>
          <w:spacing w:val="-3"/>
          <w:sz w:val="16"/>
          <w:szCs w:val="28"/>
        </w:rPr>
        <w:t xml:space="preserve"> </w:t>
      </w:r>
      <w:r w:rsidRPr="002126BF">
        <w:rPr>
          <w:rFonts w:cs="Arial"/>
          <w:bCs/>
          <w:spacing w:val="-2"/>
          <w:sz w:val="16"/>
          <w:szCs w:val="28"/>
        </w:rPr>
        <w:t>de 2021</w:t>
      </w:r>
      <w:r w:rsidRPr="002126BF">
        <w:rPr>
          <w:rFonts w:cs="Arial"/>
          <w:bCs/>
          <w:spacing w:val="-3"/>
          <w:sz w:val="16"/>
          <w:szCs w:val="28"/>
        </w:rPr>
        <w:t xml:space="preserve"> </w:t>
      </w:r>
      <w:r w:rsidRPr="002126BF">
        <w:rPr>
          <w:rFonts w:cs="Arial"/>
          <w:bCs/>
          <w:spacing w:val="-2"/>
          <w:sz w:val="16"/>
          <w:szCs w:val="28"/>
        </w:rPr>
        <w:t>a</w:t>
      </w:r>
      <w:r w:rsidRPr="002126BF">
        <w:rPr>
          <w:rFonts w:cs="Arial"/>
          <w:bCs/>
          <w:spacing w:val="-3"/>
          <w:sz w:val="16"/>
          <w:szCs w:val="28"/>
        </w:rPr>
        <w:t xml:space="preserve"> </w:t>
      </w:r>
      <w:r w:rsidRPr="002126BF">
        <w:rPr>
          <w:rFonts w:cs="Arial"/>
          <w:bCs/>
          <w:spacing w:val="-2"/>
          <w:sz w:val="16"/>
          <w:szCs w:val="28"/>
        </w:rPr>
        <w:t>septiembre de 2024.</w:t>
      </w:r>
    </w:p>
    <w:p w14:paraId="772DADB5" w14:textId="77777777" w:rsidR="0070429C" w:rsidRDefault="0070429C" w:rsidP="00B205BA">
      <w:pPr>
        <w:spacing w:after="120" w:line="240" w:lineRule="auto"/>
        <w:ind w:right="49"/>
        <w:rPr>
          <w:rFonts w:cs="Arial"/>
          <w:b/>
          <w:bCs/>
        </w:rPr>
      </w:pPr>
    </w:p>
    <w:p w14:paraId="2E6DDF42" w14:textId="0333FFD4" w:rsidR="0070429C" w:rsidRDefault="0070429C" w:rsidP="00B205BA">
      <w:pPr>
        <w:spacing w:after="120" w:line="240" w:lineRule="auto"/>
        <w:ind w:right="49"/>
        <w:rPr>
          <w:rFonts w:cs="Arial"/>
          <w:b/>
          <w:bCs/>
        </w:rPr>
      </w:pPr>
      <w:r>
        <w:rPr>
          <w:rFonts w:cs="Arial"/>
          <w:b/>
          <w:bCs/>
        </w:rPr>
        <w:t>Percepción de problemáticas</w:t>
      </w:r>
      <w:r w:rsidR="00261A27">
        <w:rPr>
          <w:rFonts w:cs="Arial"/>
          <w:b/>
          <w:bCs/>
        </w:rPr>
        <w:t>.</w:t>
      </w:r>
    </w:p>
    <w:p w14:paraId="426D05BD" w14:textId="15A731FA" w:rsidR="0070429C" w:rsidRDefault="0070429C" w:rsidP="00B205BA">
      <w:pPr>
        <w:spacing w:after="120" w:line="240" w:lineRule="auto"/>
        <w:ind w:right="49"/>
        <w:rPr>
          <w:rFonts w:cs="Arial"/>
        </w:rPr>
      </w:pPr>
      <w:r w:rsidRPr="00846FD9">
        <w:rPr>
          <w:rFonts w:cs="Arial"/>
        </w:rPr>
        <w:t xml:space="preserve">Al analizar los datos de percepción de las </w:t>
      </w:r>
      <w:r>
        <w:rPr>
          <w:rFonts w:cs="Arial"/>
        </w:rPr>
        <w:t xml:space="preserve">principales </w:t>
      </w:r>
      <w:r w:rsidRPr="00846FD9">
        <w:rPr>
          <w:rFonts w:cs="Arial"/>
        </w:rPr>
        <w:t>problemáticas en Hermosillo entre septiembre de 2021 y septiembre de 2024</w:t>
      </w:r>
      <w:r>
        <w:rPr>
          <w:rFonts w:cs="Arial"/>
        </w:rPr>
        <w:t xml:space="preserve"> (véase gráfica 8)</w:t>
      </w:r>
      <w:r w:rsidRPr="00846FD9">
        <w:rPr>
          <w:rFonts w:cs="Arial"/>
        </w:rPr>
        <w:t xml:space="preserve">, se observa </w:t>
      </w:r>
      <w:r>
        <w:rPr>
          <w:rFonts w:cs="Arial"/>
        </w:rPr>
        <w:t>un preocupante incremento en la percepción de los embotellamientos, lo que nos revela al tráfico y la movilidad urbana como áreas de oportunidad. Además, el incremento de casi 3 puntos porcentuales en la insuficiencia del alumbrado público indica que este sigue siendo un tema pendiente.</w:t>
      </w:r>
    </w:p>
    <w:p w14:paraId="76E69226" w14:textId="57D259C4" w:rsidR="0070429C" w:rsidRDefault="0070429C" w:rsidP="00B205BA">
      <w:pPr>
        <w:spacing w:after="120" w:line="240" w:lineRule="auto"/>
        <w:ind w:right="49"/>
        <w:rPr>
          <w:rFonts w:cs="Arial"/>
        </w:rPr>
      </w:pPr>
      <w:r w:rsidRPr="00846FD9">
        <w:rPr>
          <w:rFonts w:cs="Arial"/>
        </w:rPr>
        <w:t xml:space="preserve">Por otro lado, </w:t>
      </w:r>
      <w:r>
        <w:rPr>
          <w:rFonts w:cs="Arial"/>
        </w:rPr>
        <w:t>algunas</w:t>
      </w:r>
      <w:r w:rsidRPr="00846FD9">
        <w:rPr>
          <w:rFonts w:cs="Arial"/>
        </w:rPr>
        <w:t xml:space="preserve"> </w:t>
      </w:r>
      <w:r>
        <w:rPr>
          <w:rFonts w:cs="Arial"/>
        </w:rPr>
        <w:t>problemáticas del municipio</w:t>
      </w:r>
      <w:r w:rsidRPr="00846FD9">
        <w:rPr>
          <w:rFonts w:cs="Arial"/>
        </w:rPr>
        <w:t xml:space="preserve"> mejoraron significativamente</w:t>
      </w:r>
      <w:r>
        <w:rPr>
          <w:rFonts w:cs="Arial"/>
        </w:rPr>
        <w:t>. Entre ellas,</w:t>
      </w:r>
      <w:r w:rsidRPr="00846FD9">
        <w:rPr>
          <w:rFonts w:cs="Arial"/>
        </w:rPr>
        <w:t xml:space="preserve"> la percepción sobre las coladeras tapadas por desechos, que disminuyó </w:t>
      </w:r>
      <w:r>
        <w:rPr>
          <w:rFonts w:cs="Arial"/>
        </w:rPr>
        <w:t>más de 11 puntos porcentuales</w:t>
      </w:r>
      <w:r w:rsidRPr="00846FD9">
        <w:rPr>
          <w:rFonts w:cs="Arial"/>
        </w:rPr>
        <w:t xml:space="preserve">, </w:t>
      </w:r>
      <w:r>
        <w:rPr>
          <w:rFonts w:cs="Arial"/>
        </w:rPr>
        <w:t>lo que sugiere</w:t>
      </w:r>
      <w:r w:rsidRPr="00846FD9">
        <w:rPr>
          <w:rFonts w:cs="Arial"/>
        </w:rPr>
        <w:t xml:space="preserve"> una mejor gestión en la limpieza de estos elementos. </w:t>
      </w:r>
      <w:r>
        <w:rPr>
          <w:rFonts w:cs="Arial"/>
        </w:rPr>
        <w:t>También</w:t>
      </w:r>
      <w:r w:rsidRPr="00846FD9">
        <w:rPr>
          <w:rFonts w:cs="Arial"/>
        </w:rPr>
        <w:t xml:space="preserve">, los parques y jardines, que en 2021 fueron percibidos como muy descuidados, </w:t>
      </w:r>
      <w:r w:rsidRPr="00846FD9">
        <w:rPr>
          <w:rFonts w:cs="Arial"/>
        </w:rPr>
        <w:lastRenderedPageBreak/>
        <w:t xml:space="preserve">experimentaron una impresionante mejora </w:t>
      </w:r>
      <w:r>
        <w:rPr>
          <w:rFonts w:cs="Arial"/>
        </w:rPr>
        <w:t>de más de 23 puntos porcentuales</w:t>
      </w:r>
      <w:r w:rsidRPr="00846FD9">
        <w:rPr>
          <w:rFonts w:cs="Arial"/>
        </w:rPr>
        <w:t xml:space="preserve">. Esta evolución positiva refleja </w:t>
      </w:r>
      <w:r>
        <w:rPr>
          <w:rFonts w:cs="Arial"/>
        </w:rPr>
        <w:t>l</w:t>
      </w:r>
      <w:r w:rsidRPr="00846FD9">
        <w:rPr>
          <w:rFonts w:cs="Arial"/>
        </w:rPr>
        <w:t xml:space="preserve">a inversión significativa en la mejora de estos espacios públicos. Otro cambio </w:t>
      </w:r>
      <w:r>
        <w:rPr>
          <w:rFonts w:cs="Arial"/>
        </w:rPr>
        <w:t xml:space="preserve">positivo </w:t>
      </w:r>
      <w:r w:rsidRPr="00846FD9">
        <w:rPr>
          <w:rFonts w:cs="Arial"/>
        </w:rPr>
        <w:t xml:space="preserve">notable fue en la percepción de la delincuencia, que disminuyó </w:t>
      </w:r>
      <w:r>
        <w:rPr>
          <w:rFonts w:cs="Arial"/>
        </w:rPr>
        <w:t>más de 18 puntos porcentuales</w:t>
      </w:r>
      <w:r w:rsidRPr="00846FD9">
        <w:rPr>
          <w:rFonts w:cs="Arial"/>
        </w:rPr>
        <w:t xml:space="preserve"> </w:t>
      </w:r>
      <w:r>
        <w:rPr>
          <w:rFonts w:cs="Arial"/>
        </w:rPr>
        <w:t xml:space="preserve">como </w:t>
      </w:r>
      <w:r w:rsidRPr="00846FD9">
        <w:rPr>
          <w:rFonts w:cs="Arial"/>
        </w:rPr>
        <w:t>resultado de una mejora en las políticas de seguridad pública y una mayor sensación de seguridad en la población.</w:t>
      </w:r>
      <w:r>
        <w:rPr>
          <w:rFonts w:cs="Arial"/>
        </w:rPr>
        <w:t xml:space="preserve"> </w:t>
      </w:r>
    </w:p>
    <w:p w14:paraId="132D3CD9" w14:textId="73547D35" w:rsidR="0070429C" w:rsidRPr="00711FD9" w:rsidRDefault="0070429C" w:rsidP="00B205BA">
      <w:pPr>
        <w:spacing w:after="120" w:line="240" w:lineRule="auto"/>
        <w:ind w:right="49"/>
        <w:rPr>
          <w:rFonts w:cs="Arial"/>
        </w:rPr>
      </w:pPr>
      <w:r>
        <w:rPr>
          <w:rFonts w:cs="Arial"/>
        </w:rPr>
        <w:t xml:space="preserve">Finalmente, en el caso de los baches, </w:t>
      </w:r>
      <w:r w:rsidRPr="00F4353B">
        <w:rPr>
          <w:rFonts w:cs="Arial"/>
        </w:rPr>
        <w:t>las fallas en el suministro de agua potable</w:t>
      </w:r>
      <w:r>
        <w:rPr>
          <w:rFonts w:cs="Arial"/>
        </w:rPr>
        <w:t xml:space="preserve"> y la percepción sobre el drenaje se registraron cambios mínimos (</w:t>
      </w:r>
      <w:r w:rsidRPr="00F4353B">
        <w:rPr>
          <w:rFonts w:cs="Arial"/>
        </w:rPr>
        <w:t>1.2, 1</w:t>
      </w:r>
      <w:r>
        <w:rPr>
          <w:rFonts w:cs="Arial"/>
        </w:rPr>
        <w:t xml:space="preserve"> y </w:t>
      </w:r>
      <w:r w:rsidRPr="00F4353B">
        <w:rPr>
          <w:rFonts w:cs="Arial"/>
        </w:rPr>
        <w:t>0.4</w:t>
      </w:r>
      <w:r>
        <w:rPr>
          <w:rFonts w:cs="Arial"/>
        </w:rPr>
        <w:t xml:space="preserve"> puntos porcentuales, respectivamente) lo</w:t>
      </w:r>
      <w:r w:rsidRPr="00F4353B">
        <w:rPr>
          <w:rFonts w:cs="Arial"/>
        </w:rPr>
        <w:t xml:space="preserve"> que sugiere que </w:t>
      </w:r>
      <w:r>
        <w:rPr>
          <w:rFonts w:cs="Arial"/>
        </w:rPr>
        <w:t>debemos reforzar</w:t>
      </w:r>
      <w:r w:rsidRPr="00F4353B">
        <w:rPr>
          <w:rFonts w:cs="Arial"/>
        </w:rPr>
        <w:t xml:space="preserve"> </w:t>
      </w:r>
      <w:r>
        <w:rPr>
          <w:rFonts w:cs="Arial"/>
        </w:rPr>
        <w:t>la atención a</w:t>
      </w:r>
      <w:r w:rsidRPr="00F4353B">
        <w:rPr>
          <w:rFonts w:cs="Arial"/>
        </w:rPr>
        <w:t xml:space="preserve"> est</w:t>
      </w:r>
      <w:r>
        <w:rPr>
          <w:rFonts w:cs="Arial"/>
        </w:rPr>
        <w:t>os</w:t>
      </w:r>
      <w:r w:rsidRPr="00F4353B">
        <w:rPr>
          <w:rFonts w:cs="Arial"/>
        </w:rPr>
        <w:t xml:space="preserve"> problema</w:t>
      </w:r>
      <w:r>
        <w:rPr>
          <w:rFonts w:cs="Arial"/>
        </w:rPr>
        <w:t>s</w:t>
      </w:r>
      <w:r w:rsidR="00711FD9">
        <w:rPr>
          <w:rFonts w:cs="Arial"/>
        </w:rPr>
        <w:t>.</w:t>
      </w:r>
    </w:p>
    <w:p w14:paraId="498408F4" w14:textId="1AD305B5" w:rsidR="0070429C" w:rsidRPr="00261A27" w:rsidRDefault="0070429C" w:rsidP="00B205BA">
      <w:pPr>
        <w:spacing w:after="120" w:line="240" w:lineRule="auto"/>
        <w:ind w:right="49"/>
        <w:jc w:val="center"/>
        <w:rPr>
          <w:rFonts w:cs="Arial"/>
          <w:b/>
          <w:bCs/>
        </w:rPr>
      </w:pPr>
      <w:r w:rsidRPr="00261A27">
        <w:rPr>
          <w:rFonts w:cs="Arial"/>
          <w:b/>
          <w:bCs/>
        </w:rPr>
        <w:t>GRÁFICA 8. PORCENTAJE DE PERCEPCIÓN DE PROBLEMÁTICAS EN HERMOSILLO</w:t>
      </w:r>
      <w:r w:rsidR="0086730D">
        <w:rPr>
          <w:rFonts w:cs="Arial"/>
          <w:b/>
          <w:bCs/>
        </w:rPr>
        <w:t>.</w:t>
      </w:r>
    </w:p>
    <w:p w14:paraId="6958545A" w14:textId="77777777" w:rsidR="0070429C" w:rsidRPr="001509A6" w:rsidRDefault="0070429C" w:rsidP="00B205BA">
      <w:pPr>
        <w:spacing w:after="120" w:line="240" w:lineRule="auto"/>
        <w:ind w:right="49"/>
        <w:jc w:val="center"/>
        <w:rPr>
          <w:rFonts w:cs="Arial"/>
          <w:sz w:val="18"/>
          <w:szCs w:val="18"/>
        </w:rPr>
      </w:pPr>
      <w:r w:rsidRPr="001509A6">
        <w:rPr>
          <w:rFonts w:cs="Arial"/>
          <w:sz w:val="18"/>
          <w:szCs w:val="18"/>
        </w:rPr>
        <w:t>Septiembre 2</w:t>
      </w:r>
      <w:r>
        <w:rPr>
          <w:rFonts w:cs="Arial"/>
          <w:sz w:val="18"/>
          <w:szCs w:val="18"/>
        </w:rPr>
        <w:t>02</w:t>
      </w:r>
      <w:r w:rsidRPr="001509A6">
        <w:rPr>
          <w:rFonts w:cs="Arial"/>
          <w:sz w:val="18"/>
          <w:szCs w:val="18"/>
        </w:rPr>
        <w:t>1</w:t>
      </w:r>
      <w:r>
        <w:rPr>
          <w:rFonts w:cs="Arial"/>
          <w:sz w:val="18"/>
          <w:szCs w:val="18"/>
        </w:rPr>
        <w:t xml:space="preserve">- Septiembre </w:t>
      </w:r>
      <w:r w:rsidRPr="001509A6">
        <w:rPr>
          <w:rFonts w:cs="Arial"/>
          <w:sz w:val="18"/>
          <w:szCs w:val="18"/>
        </w:rPr>
        <w:t>2</w:t>
      </w:r>
      <w:r>
        <w:rPr>
          <w:rFonts w:cs="Arial"/>
          <w:sz w:val="18"/>
          <w:szCs w:val="18"/>
        </w:rPr>
        <w:t>02</w:t>
      </w:r>
      <w:r w:rsidRPr="001509A6">
        <w:rPr>
          <w:rFonts w:cs="Arial"/>
          <w:sz w:val="18"/>
          <w:szCs w:val="18"/>
        </w:rPr>
        <w:t xml:space="preserve">4 </w:t>
      </w:r>
    </w:p>
    <w:p w14:paraId="7CA8E71E" w14:textId="77777777" w:rsidR="0070429C" w:rsidRDefault="0070429C" w:rsidP="00B205BA">
      <w:pPr>
        <w:spacing w:before="1" w:after="120" w:line="240" w:lineRule="auto"/>
        <w:jc w:val="center"/>
        <w:rPr>
          <w:rFonts w:cs="Arial"/>
          <w:bCs/>
          <w:color w:val="5C5B5F"/>
          <w:spacing w:val="-2"/>
          <w:sz w:val="16"/>
          <w:szCs w:val="28"/>
        </w:rPr>
      </w:pPr>
      <w:r w:rsidRPr="00896303">
        <w:rPr>
          <w:rFonts w:cs="Arial"/>
          <w:b/>
          <w:bCs/>
          <w:noProof/>
        </w:rPr>
        <w:drawing>
          <wp:inline distT="0" distB="0" distL="0" distR="0" wp14:anchorId="4C44A25B" wp14:editId="00154A50">
            <wp:extent cx="4749800" cy="2514600"/>
            <wp:effectExtent l="0" t="0" r="0" b="0"/>
            <wp:docPr id="204505094" name="Gráfico 1">
              <a:extLst xmlns:a="http://schemas.openxmlformats.org/drawingml/2006/main">
                <a:ext uri="{FF2B5EF4-FFF2-40B4-BE49-F238E27FC236}">
                  <a16:creationId xmlns:a16="http://schemas.microsoft.com/office/drawing/2014/main" id="{295EE657-A3BB-B6A5-847C-66B2265E5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46B44A" w14:textId="0B5457D6" w:rsidR="0070429C" w:rsidRPr="00711FD9" w:rsidRDefault="0070429C" w:rsidP="00B205BA">
      <w:pPr>
        <w:spacing w:before="1" w:after="120" w:line="240" w:lineRule="auto"/>
        <w:jc w:val="center"/>
        <w:rPr>
          <w:rFonts w:cs="Arial"/>
          <w:bCs/>
          <w:sz w:val="16"/>
          <w:szCs w:val="28"/>
        </w:rPr>
      </w:pPr>
      <w:r w:rsidRPr="002126BF">
        <w:rPr>
          <w:rFonts w:cs="Arial"/>
          <w:bCs/>
          <w:spacing w:val="-2"/>
          <w:sz w:val="16"/>
          <w:szCs w:val="28"/>
        </w:rPr>
        <w:t>Fuente:</w:t>
      </w:r>
      <w:r w:rsidRPr="002126BF">
        <w:rPr>
          <w:rFonts w:cs="Arial"/>
          <w:bCs/>
          <w:spacing w:val="-3"/>
          <w:sz w:val="16"/>
          <w:szCs w:val="28"/>
        </w:rPr>
        <w:t xml:space="preserve"> </w:t>
      </w:r>
      <w:r w:rsidRPr="002126BF">
        <w:rPr>
          <w:rFonts w:cs="Arial"/>
          <w:bCs/>
          <w:spacing w:val="-2"/>
          <w:sz w:val="16"/>
          <w:szCs w:val="28"/>
        </w:rPr>
        <w:t>INEGI.</w:t>
      </w:r>
      <w:r w:rsidRPr="002126BF">
        <w:rPr>
          <w:rFonts w:cs="Arial"/>
          <w:bCs/>
          <w:spacing w:val="-3"/>
          <w:sz w:val="16"/>
          <w:szCs w:val="28"/>
        </w:rPr>
        <w:t xml:space="preserve"> </w:t>
      </w:r>
      <w:r w:rsidRPr="002126BF">
        <w:rPr>
          <w:rFonts w:cs="Arial"/>
          <w:bCs/>
          <w:spacing w:val="-2"/>
          <w:sz w:val="16"/>
          <w:szCs w:val="28"/>
        </w:rPr>
        <w:t>Encuesta Nacional</w:t>
      </w:r>
      <w:r w:rsidRPr="002126BF">
        <w:rPr>
          <w:rFonts w:cs="Arial"/>
          <w:bCs/>
          <w:spacing w:val="-3"/>
          <w:sz w:val="16"/>
          <w:szCs w:val="28"/>
        </w:rPr>
        <w:t xml:space="preserve"> </w:t>
      </w:r>
      <w:r w:rsidRPr="002126BF">
        <w:rPr>
          <w:rFonts w:cs="Arial"/>
          <w:bCs/>
          <w:spacing w:val="-2"/>
          <w:sz w:val="16"/>
          <w:szCs w:val="28"/>
        </w:rPr>
        <w:t>de Seguridad</w:t>
      </w:r>
      <w:r w:rsidRPr="002126BF">
        <w:rPr>
          <w:rFonts w:cs="Arial"/>
          <w:bCs/>
          <w:spacing w:val="-3"/>
          <w:sz w:val="16"/>
          <w:szCs w:val="28"/>
        </w:rPr>
        <w:t xml:space="preserve"> </w:t>
      </w:r>
      <w:r w:rsidRPr="002126BF">
        <w:rPr>
          <w:rFonts w:cs="Arial"/>
          <w:bCs/>
          <w:spacing w:val="-2"/>
          <w:sz w:val="16"/>
          <w:szCs w:val="28"/>
        </w:rPr>
        <w:t>Pública</w:t>
      </w:r>
      <w:r w:rsidRPr="002126BF">
        <w:rPr>
          <w:rFonts w:cs="Arial"/>
          <w:bCs/>
          <w:spacing w:val="-3"/>
          <w:sz w:val="16"/>
          <w:szCs w:val="28"/>
        </w:rPr>
        <w:t xml:space="preserve"> </w:t>
      </w:r>
      <w:r w:rsidRPr="002126BF">
        <w:rPr>
          <w:rFonts w:cs="Arial"/>
          <w:bCs/>
          <w:spacing w:val="-2"/>
          <w:sz w:val="16"/>
          <w:szCs w:val="28"/>
        </w:rPr>
        <w:t>Urbana (ENSU)</w:t>
      </w:r>
      <w:r w:rsidRPr="002126BF">
        <w:rPr>
          <w:rFonts w:cs="Arial"/>
          <w:bCs/>
          <w:spacing w:val="-3"/>
          <w:sz w:val="16"/>
          <w:szCs w:val="28"/>
        </w:rPr>
        <w:t xml:space="preserve"> </w:t>
      </w:r>
      <w:r w:rsidRPr="002126BF">
        <w:rPr>
          <w:rFonts w:cs="Arial"/>
          <w:bCs/>
          <w:spacing w:val="-2"/>
          <w:sz w:val="16"/>
          <w:szCs w:val="28"/>
        </w:rPr>
        <w:t>de septiembre</w:t>
      </w:r>
      <w:r w:rsidRPr="002126BF">
        <w:rPr>
          <w:rFonts w:cs="Arial"/>
          <w:bCs/>
          <w:spacing w:val="-3"/>
          <w:sz w:val="16"/>
          <w:szCs w:val="28"/>
        </w:rPr>
        <w:t xml:space="preserve"> </w:t>
      </w:r>
      <w:r w:rsidRPr="002126BF">
        <w:rPr>
          <w:rFonts w:cs="Arial"/>
          <w:bCs/>
          <w:spacing w:val="-2"/>
          <w:sz w:val="16"/>
          <w:szCs w:val="28"/>
        </w:rPr>
        <w:t>de 2021</w:t>
      </w:r>
      <w:r w:rsidRPr="002126BF">
        <w:rPr>
          <w:rFonts w:cs="Arial"/>
          <w:bCs/>
          <w:spacing w:val="-3"/>
          <w:sz w:val="16"/>
          <w:szCs w:val="28"/>
        </w:rPr>
        <w:t xml:space="preserve"> </w:t>
      </w:r>
      <w:r w:rsidRPr="002126BF">
        <w:rPr>
          <w:rFonts w:cs="Arial"/>
          <w:bCs/>
          <w:spacing w:val="-2"/>
          <w:sz w:val="16"/>
          <w:szCs w:val="28"/>
        </w:rPr>
        <w:t>a</w:t>
      </w:r>
      <w:r w:rsidRPr="002126BF">
        <w:rPr>
          <w:rFonts w:cs="Arial"/>
          <w:bCs/>
          <w:spacing w:val="-3"/>
          <w:sz w:val="16"/>
          <w:szCs w:val="28"/>
        </w:rPr>
        <w:t xml:space="preserve"> </w:t>
      </w:r>
      <w:r w:rsidRPr="002126BF">
        <w:rPr>
          <w:rFonts w:cs="Arial"/>
          <w:bCs/>
          <w:spacing w:val="-2"/>
          <w:sz w:val="16"/>
          <w:szCs w:val="28"/>
        </w:rPr>
        <w:t>septiembre de 2024.</w:t>
      </w:r>
    </w:p>
    <w:p w14:paraId="037F328F" w14:textId="7CEA11E6" w:rsidR="0070429C" w:rsidRPr="00F764F2" w:rsidRDefault="0070429C" w:rsidP="00B205BA">
      <w:pPr>
        <w:spacing w:after="120" w:line="240" w:lineRule="auto"/>
        <w:ind w:right="49"/>
        <w:rPr>
          <w:rFonts w:cs="Arial"/>
          <w:b/>
          <w:bCs/>
        </w:rPr>
      </w:pPr>
      <w:r>
        <w:rPr>
          <w:rFonts w:cs="Arial"/>
          <w:b/>
          <w:bCs/>
        </w:rPr>
        <w:t>Ciudad inteligente</w:t>
      </w:r>
      <w:r w:rsidR="00261A27">
        <w:rPr>
          <w:rFonts w:cs="Arial"/>
          <w:b/>
          <w:bCs/>
        </w:rPr>
        <w:t>.</w:t>
      </w:r>
    </w:p>
    <w:p w14:paraId="7BF508FB" w14:textId="3DBA70B4" w:rsidR="0070429C" w:rsidRDefault="0070429C" w:rsidP="00B205BA">
      <w:pPr>
        <w:spacing w:after="120" w:line="240" w:lineRule="auto"/>
        <w:ind w:right="49"/>
        <w:rPr>
          <w:rFonts w:cs="Arial"/>
        </w:rPr>
      </w:pPr>
      <w:r>
        <w:rPr>
          <w:rFonts w:cs="Arial"/>
        </w:rPr>
        <w:t xml:space="preserve">Con el propósito de atender </w:t>
      </w:r>
      <w:r w:rsidRPr="00F764F2">
        <w:rPr>
          <w:rFonts w:cs="Arial"/>
        </w:rPr>
        <w:t>las problemáticas asociadas a recuperar y elevar las condiciones de sustentabilidad de la ciudad</w:t>
      </w:r>
      <w:r>
        <w:rPr>
          <w:rFonts w:cs="Arial"/>
        </w:rPr>
        <w:t xml:space="preserve"> </w:t>
      </w:r>
      <w:r w:rsidRPr="00F764F2">
        <w:rPr>
          <w:rFonts w:cs="Arial"/>
        </w:rPr>
        <w:t>y, en consecuencia, de la calidad de vida de su gente</w:t>
      </w:r>
      <w:r>
        <w:rPr>
          <w:rFonts w:cs="Arial"/>
        </w:rPr>
        <w:t>, l</w:t>
      </w:r>
      <w:r w:rsidRPr="00F764F2">
        <w:rPr>
          <w:rFonts w:cs="Arial"/>
        </w:rPr>
        <w:t xml:space="preserve">a prioridad para </w:t>
      </w:r>
      <w:r>
        <w:rPr>
          <w:rFonts w:cs="Arial"/>
        </w:rPr>
        <w:t>l</w:t>
      </w:r>
      <w:r w:rsidRPr="00F764F2">
        <w:rPr>
          <w:rFonts w:cs="Arial"/>
        </w:rPr>
        <w:t xml:space="preserve">a administración </w:t>
      </w:r>
      <w:r>
        <w:rPr>
          <w:rFonts w:cs="Arial"/>
        </w:rPr>
        <w:t>es</w:t>
      </w:r>
      <w:r w:rsidRPr="00F764F2">
        <w:rPr>
          <w:rFonts w:cs="Arial"/>
        </w:rPr>
        <w:t xml:space="preserve"> la generación de soluciones efectivas </w:t>
      </w:r>
      <w:r>
        <w:rPr>
          <w:rFonts w:cs="Arial"/>
        </w:rPr>
        <w:t xml:space="preserve">a través de </w:t>
      </w:r>
      <w:r w:rsidRPr="00F764F2">
        <w:rPr>
          <w:rFonts w:cs="Arial"/>
        </w:rPr>
        <w:t xml:space="preserve">políticas públicas </w:t>
      </w:r>
      <w:r>
        <w:rPr>
          <w:rFonts w:cs="Arial"/>
        </w:rPr>
        <w:t>con enfoque en la</w:t>
      </w:r>
      <w:r w:rsidRPr="00F764F2">
        <w:rPr>
          <w:rFonts w:cs="Arial"/>
        </w:rPr>
        <w:t xml:space="preserve"> seguridad </w:t>
      </w:r>
      <w:r>
        <w:rPr>
          <w:rFonts w:cs="Arial"/>
        </w:rPr>
        <w:t>urbana.</w:t>
      </w:r>
    </w:p>
    <w:p w14:paraId="337F4879" w14:textId="34827991" w:rsidR="0070429C" w:rsidRDefault="0070429C" w:rsidP="00B205BA">
      <w:pPr>
        <w:spacing w:after="120" w:line="240" w:lineRule="auto"/>
        <w:rPr>
          <w:rFonts w:cs="Arial"/>
        </w:rPr>
      </w:pPr>
      <w:r w:rsidRPr="00F82380">
        <w:rPr>
          <w:rFonts w:cs="Arial"/>
        </w:rPr>
        <w:t xml:space="preserve">En el contexto actual de las ciudades inteligentes, la intersección entre la seguridad </w:t>
      </w:r>
      <w:r>
        <w:rPr>
          <w:rFonts w:cs="Arial"/>
        </w:rPr>
        <w:t xml:space="preserve">y la infraestructura </w:t>
      </w:r>
      <w:r w:rsidRPr="00F82380">
        <w:rPr>
          <w:rFonts w:cs="Arial"/>
        </w:rPr>
        <w:t xml:space="preserve">urbana se vuelve crucial para garantizar </w:t>
      </w:r>
      <w:r>
        <w:rPr>
          <w:rFonts w:cs="Arial"/>
        </w:rPr>
        <w:t xml:space="preserve">la </w:t>
      </w:r>
      <w:r w:rsidRPr="00F82380">
        <w:rPr>
          <w:rFonts w:cs="Arial"/>
        </w:rPr>
        <w:t>crea</w:t>
      </w:r>
      <w:r>
        <w:rPr>
          <w:rFonts w:cs="Arial"/>
        </w:rPr>
        <w:t>ción de</w:t>
      </w:r>
      <w:r w:rsidRPr="00F82380">
        <w:rPr>
          <w:rFonts w:cs="Arial"/>
        </w:rPr>
        <w:t xml:space="preserve"> un ecosistema urbano más justo, inclusivo y resiliente, donde cada individuo </w:t>
      </w:r>
      <w:r>
        <w:rPr>
          <w:rFonts w:cs="Arial"/>
        </w:rPr>
        <w:t>pueda</w:t>
      </w:r>
      <w:r w:rsidRPr="00F82380">
        <w:rPr>
          <w:rFonts w:cs="Arial"/>
        </w:rPr>
        <w:t xml:space="preserve"> desarrollar su potencial en un ambiente seguro y equitativo.</w:t>
      </w:r>
    </w:p>
    <w:p w14:paraId="2B3F6EE2" w14:textId="3BCAA81E" w:rsidR="0070429C" w:rsidRDefault="0070429C" w:rsidP="00B205BA">
      <w:pPr>
        <w:spacing w:after="120" w:line="240" w:lineRule="auto"/>
        <w:rPr>
          <w:rFonts w:cs="Arial"/>
          <w:lang w:val="es-MX"/>
        </w:rPr>
      </w:pPr>
      <w:r>
        <w:rPr>
          <w:rFonts w:cs="Arial"/>
        </w:rPr>
        <w:t>Hoy por hoy, la</w:t>
      </w:r>
      <w:r w:rsidRPr="00F82380">
        <w:rPr>
          <w:rFonts w:cs="Arial"/>
        </w:rPr>
        <w:t xml:space="preserve"> tecnología digital aplicada a la infraestructura urbana juega un papel vital al </w:t>
      </w:r>
      <w:r>
        <w:rPr>
          <w:rFonts w:cs="Arial"/>
        </w:rPr>
        <w:t>brindar</w:t>
      </w:r>
      <w:r w:rsidRPr="00F82380">
        <w:rPr>
          <w:rFonts w:cs="Arial"/>
        </w:rPr>
        <w:t xml:space="preserve"> herramientas </w:t>
      </w:r>
      <w:r>
        <w:rPr>
          <w:rFonts w:cs="Arial"/>
        </w:rPr>
        <w:t>para mejorar</w:t>
      </w:r>
      <w:r w:rsidRPr="00F82380">
        <w:rPr>
          <w:rFonts w:cs="Arial"/>
        </w:rPr>
        <w:t xml:space="preserve"> la gestión de la seguridad, </w:t>
      </w:r>
      <w:r>
        <w:rPr>
          <w:rFonts w:cs="Arial"/>
        </w:rPr>
        <w:t>optimizar</w:t>
      </w:r>
      <w:r w:rsidRPr="00F82380">
        <w:rPr>
          <w:rFonts w:cs="Arial"/>
        </w:rPr>
        <w:t xml:space="preserve"> el acceso a servicios básicos y </w:t>
      </w:r>
      <w:r>
        <w:rPr>
          <w:rFonts w:cs="Arial"/>
        </w:rPr>
        <w:t>facilitar</w:t>
      </w:r>
      <w:r w:rsidRPr="00F82380">
        <w:rPr>
          <w:rFonts w:cs="Arial"/>
        </w:rPr>
        <w:t xml:space="preserve"> la participación ciudadana.</w:t>
      </w:r>
      <w:r>
        <w:rPr>
          <w:rFonts w:cs="Arial"/>
        </w:rPr>
        <w:t xml:space="preserve"> </w:t>
      </w:r>
      <w:r w:rsidRPr="00EA2A19">
        <w:rPr>
          <w:rFonts w:cs="Arial"/>
          <w:lang w:val="es-MX"/>
        </w:rPr>
        <w:t>En conjunto, una ciudad inteligente impulsa un entorno más eficiente, seguro y sostenible, que responde a las necesidades de la comunidad y está preparada para los retos del futuro.</w:t>
      </w:r>
    </w:p>
    <w:p w14:paraId="44E3CD65" w14:textId="0C7E70CB" w:rsidR="0070429C" w:rsidRDefault="0070429C" w:rsidP="00B205BA">
      <w:pPr>
        <w:spacing w:after="120" w:line="240" w:lineRule="auto"/>
        <w:rPr>
          <w:rFonts w:cs="Arial"/>
          <w:lang w:val="es-MX"/>
        </w:rPr>
      </w:pPr>
      <w:r>
        <w:rPr>
          <w:rFonts w:cs="Arial"/>
          <w:lang w:val="es-MX"/>
        </w:rPr>
        <w:t>El hecho de migrar</w:t>
      </w:r>
      <w:r w:rsidRPr="00EA2A19">
        <w:rPr>
          <w:rFonts w:cs="Arial"/>
          <w:lang w:val="es-MX"/>
        </w:rPr>
        <w:t xml:space="preserve"> la gestión urbana hacia un modelo de ciudad inteligente ofrece múltiples beneficios que impactan positivamente la vida de los ciudadanos y el desarrollo sostenible</w:t>
      </w:r>
      <w:r>
        <w:rPr>
          <w:rFonts w:cs="Arial"/>
          <w:lang w:val="es-MX"/>
        </w:rPr>
        <w:t>:</w:t>
      </w:r>
      <w:r w:rsidRPr="00EA2A19">
        <w:rPr>
          <w:rFonts w:cs="Arial"/>
          <w:lang w:val="es-MX"/>
        </w:rPr>
        <w:t xml:space="preserve"> permite </w:t>
      </w:r>
      <w:r>
        <w:rPr>
          <w:rFonts w:cs="Arial"/>
          <w:lang w:val="es-MX"/>
        </w:rPr>
        <w:t>el</w:t>
      </w:r>
      <w:r w:rsidRPr="00EA2A19">
        <w:rPr>
          <w:rFonts w:cs="Arial"/>
          <w:lang w:val="es-MX"/>
        </w:rPr>
        <w:t xml:space="preserve"> uso eficiente de los recursos, </w:t>
      </w:r>
      <w:r>
        <w:rPr>
          <w:rFonts w:cs="Arial"/>
          <w:lang w:val="es-MX"/>
        </w:rPr>
        <w:t xml:space="preserve">optimiza la movilidad, </w:t>
      </w:r>
      <w:r w:rsidRPr="00EA2A19">
        <w:rPr>
          <w:rFonts w:cs="Arial"/>
          <w:lang w:val="es-MX"/>
        </w:rPr>
        <w:t>reduc</w:t>
      </w:r>
      <w:r>
        <w:rPr>
          <w:rFonts w:cs="Arial"/>
          <w:lang w:val="es-MX"/>
        </w:rPr>
        <w:t>e</w:t>
      </w:r>
      <w:r w:rsidRPr="00EA2A19">
        <w:rPr>
          <w:rFonts w:cs="Arial"/>
          <w:lang w:val="es-MX"/>
        </w:rPr>
        <w:t xml:space="preserve"> costos y prom</w:t>
      </w:r>
      <w:r>
        <w:rPr>
          <w:rFonts w:cs="Arial"/>
          <w:lang w:val="es-MX"/>
        </w:rPr>
        <w:t>ueve</w:t>
      </w:r>
      <w:r w:rsidRPr="00EA2A19">
        <w:rPr>
          <w:rFonts w:cs="Arial"/>
          <w:lang w:val="es-MX"/>
        </w:rPr>
        <w:t xml:space="preserve"> la </w:t>
      </w:r>
      <w:r w:rsidRPr="00EA2A19">
        <w:rPr>
          <w:rFonts w:cs="Arial"/>
          <w:lang w:val="es-MX"/>
        </w:rPr>
        <w:lastRenderedPageBreak/>
        <w:t xml:space="preserve">sostenibilidad. En términos de seguridad, la tecnología </w:t>
      </w:r>
      <w:r>
        <w:rPr>
          <w:rFonts w:cs="Arial"/>
          <w:lang w:val="es-MX"/>
        </w:rPr>
        <w:t xml:space="preserve">nos </w:t>
      </w:r>
      <w:r w:rsidRPr="00EA2A19">
        <w:rPr>
          <w:rFonts w:cs="Arial"/>
          <w:lang w:val="es-MX"/>
        </w:rPr>
        <w:t xml:space="preserve">permite una respuesta </w:t>
      </w:r>
      <w:r>
        <w:rPr>
          <w:rFonts w:cs="Arial"/>
          <w:lang w:val="es-MX"/>
        </w:rPr>
        <w:t xml:space="preserve">más </w:t>
      </w:r>
      <w:r w:rsidRPr="00EA2A19">
        <w:rPr>
          <w:rFonts w:cs="Arial"/>
          <w:lang w:val="es-MX"/>
        </w:rPr>
        <w:t xml:space="preserve">rápida y efectiva ante </w:t>
      </w:r>
      <w:r>
        <w:rPr>
          <w:rFonts w:cs="Arial"/>
          <w:lang w:val="es-MX"/>
        </w:rPr>
        <w:t xml:space="preserve">las </w:t>
      </w:r>
      <w:r w:rsidRPr="00EA2A19">
        <w:rPr>
          <w:rFonts w:cs="Arial"/>
          <w:lang w:val="es-MX"/>
        </w:rPr>
        <w:t xml:space="preserve">emergencias, </w:t>
      </w:r>
      <w:r>
        <w:rPr>
          <w:rFonts w:cs="Arial"/>
          <w:lang w:val="es-MX"/>
        </w:rPr>
        <w:t>con lo que se aumenta</w:t>
      </w:r>
      <w:r w:rsidRPr="00EA2A19">
        <w:rPr>
          <w:rFonts w:cs="Arial"/>
          <w:lang w:val="es-MX"/>
        </w:rPr>
        <w:t xml:space="preserve"> la tranquilidad de la ciudadanía.</w:t>
      </w:r>
    </w:p>
    <w:p w14:paraId="724B8078" w14:textId="77777777" w:rsidR="0070429C" w:rsidRDefault="0070429C" w:rsidP="00B205BA">
      <w:pPr>
        <w:spacing w:after="120" w:line="240" w:lineRule="auto"/>
        <w:rPr>
          <w:rFonts w:cs="Arial"/>
        </w:rPr>
      </w:pPr>
      <w:r>
        <w:rPr>
          <w:rFonts w:cs="Arial"/>
        </w:rPr>
        <w:t>Por todo lo anterior, el Gobierno Municipal</w:t>
      </w:r>
      <w:r w:rsidRPr="0038410C">
        <w:rPr>
          <w:rFonts w:cs="Arial"/>
        </w:rPr>
        <w:t xml:space="preserve"> </w:t>
      </w:r>
      <w:r>
        <w:rPr>
          <w:rFonts w:cs="Arial"/>
        </w:rPr>
        <w:t>ha creado</w:t>
      </w:r>
      <w:r w:rsidRPr="0038410C">
        <w:rPr>
          <w:rFonts w:cs="Arial"/>
        </w:rPr>
        <w:t xml:space="preserve"> la Unidad de Ciudad Inteligente</w:t>
      </w:r>
      <w:r>
        <w:rPr>
          <w:rFonts w:cs="Arial"/>
        </w:rPr>
        <w:t>, cuyo</w:t>
      </w:r>
      <w:r w:rsidRPr="0038410C">
        <w:rPr>
          <w:rFonts w:cs="Arial"/>
        </w:rPr>
        <w:t xml:space="preserve"> objetivo </w:t>
      </w:r>
      <w:r>
        <w:rPr>
          <w:rFonts w:cs="Arial"/>
        </w:rPr>
        <w:t xml:space="preserve">es </w:t>
      </w:r>
      <w:r w:rsidRPr="0038410C">
        <w:rPr>
          <w:rFonts w:cs="Arial"/>
        </w:rPr>
        <w:t xml:space="preserve">promover la innovación tecnológica en la gestión urbana y el desarrollo de soluciones inteligentes para mejorar la calidad de vida de las y los habitantes de Hermosillo. </w:t>
      </w:r>
    </w:p>
    <w:p w14:paraId="0579A0B2" w14:textId="69B9C94D" w:rsidR="0070429C" w:rsidRPr="00EA2A19" w:rsidRDefault="0070429C" w:rsidP="00B205BA">
      <w:pPr>
        <w:spacing w:after="120" w:line="240" w:lineRule="auto"/>
        <w:rPr>
          <w:rFonts w:cs="Arial"/>
          <w:lang w:val="es-MX"/>
        </w:rPr>
      </w:pPr>
      <w:r w:rsidRPr="0038410C">
        <w:rPr>
          <w:rFonts w:cs="Arial"/>
        </w:rPr>
        <w:t xml:space="preserve">La desconcentración de </w:t>
      </w:r>
      <w:r>
        <w:rPr>
          <w:rFonts w:cs="Arial"/>
        </w:rPr>
        <w:t>sus</w:t>
      </w:r>
      <w:r w:rsidRPr="0038410C">
        <w:rPr>
          <w:rFonts w:cs="Arial"/>
        </w:rPr>
        <w:t xml:space="preserve"> funciones permitirá que tanto la transparencia como la innovación urbana se gestionen de manera más eficiente, con mayor capacidad de respuesta y flexibilidad operativa</w:t>
      </w:r>
      <w:r>
        <w:rPr>
          <w:rFonts w:cs="Arial"/>
        </w:rPr>
        <w:t xml:space="preserve">, convirtiendo a </w:t>
      </w:r>
      <w:r w:rsidRPr="00EA2A19">
        <w:rPr>
          <w:rFonts w:cs="Arial"/>
          <w:lang w:val="es-MX"/>
        </w:rPr>
        <w:t>la ciudad en un centro de innovación y desarrollo económico, atrayendo talento e inversión y fomentando el crecimiento de nuevas empresas.</w:t>
      </w:r>
    </w:p>
    <w:p w14:paraId="48F3CE9A" w14:textId="04210FB3" w:rsidR="0070429C" w:rsidRPr="00711FD9" w:rsidRDefault="0070429C" w:rsidP="00B205BA">
      <w:pPr>
        <w:spacing w:after="120" w:line="240" w:lineRule="auto"/>
        <w:rPr>
          <w:rFonts w:cs="Arial"/>
        </w:rPr>
      </w:pPr>
      <w:r>
        <w:rPr>
          <w:rFonts w:cs="Arial"/>
        </w:rPr>
        <w:t>En el marco de este macroproyecto,</w:t>
      </w:r>
      <w:r w:rsidDel="00F22BDB">
        <w:rPr>
          <w:rFonts w:cs="Arial"/>
        </w:rPr>
        <w:t xml:space="preserve"> </w:t>
      </w:r>
      <w:r>
        <w:rPr>
          <w:rFonts w:cs="Arial"/>
        </w:rPr>
        <w:t>se llevarán a cabo diversas acciones estratégicas con el fin de b</w:t>
      </w:r>
      <w:r w:rsidRPr="00E4649F">
        <w:rPr>
          <w:rFonts w:cs="Arial"/>
        </w:rPr>
        <w:t xml:space="preserve">rindar información inmediata y oportuna en situaciones de emergencia </w:t>
      </w:r>
      <w:r>
        <w:rPr>
          <w:rFonts w:cs="Arial"/>
        </w:rPr>
        <w:t>o de</w:t>
      </w:r>
      <w:r w:rsidRPr="00E4649F">
        <w:rPr>
          <w:rFonts w:cs="Arial"/>
        </w:rPr>
        <w:t xml:space="preserve"> alto riesgo</w:t>
      </w:r>
      <w:r>
        <w:rPr>
          <w:rFonts w:cs="Arial"/>
        </w:rPr>
        <w:t>, i</w:t>
      </w:r>
      <w:r w:rsidRPr="00E4649F">
        <w:rPr>
          <w:rFonts w:cs="Arial"/>
        </w:rPr>
        <w:t>ntegrar servicios y atenciones a la ciudadanía con la infraestructura tecnológ</w:t>
      </w:r>
      <w:r>
        <w:rPr>
          <w:rFonts w:cs="Arial"/>
        </w:rPr>
        <w:t>ic</w:t>
      </w:r>
      <w:r w:rsidRPr="00E4649F">
        <w:rPr>
          <w:rFonts w:cs="Arial"/>
        </w:rPr>
        <w:t>a</w:t>
      </w:r>
      <w:r>
        <w:rPr>
          <w:rFonts w:cs="Arial"/>
        </w:rPr>
        <w:t xml:space="preserve">, </w:t>
      </w:r>
      <w:r w:rsidRPr="00E4649F">
        <w:rPr>
          <w:rFonts w:cs="Arial"/>
        </w:rPr>
        <w:t>visualiza</w:t>
      </w:r>
      <w:r>
        <w:rPr>
          <w:rFonts w:cs="Arial"/>
        </w:rPr>
        <w:t>r y gestionar</w:t>
      </w:r>
      <w:r w:rsidRPr="00E4649F">
        <w:rPr>
          <w:rFonts w:cs="Arial"/>
        </w:rPr>
        <w:t xml:space="preserve"> la información de la ciudad en tiempo real</w:t>
      </w:r>
      <w:r>
        <w:rPr>
          <w:rFonts w:cs="Arial"/>
        </w:rPr>
        <w:t>, e</w:t>
      </w:r>
      <w:r w:rsidRPr="00E4649F">
        <w:rPr>
          <w:rFonts w:cs="Arial"/>
        </w:rPr>
        <w:t xml:space="preserve">stablecer mecanismos de monitoreo y </w:t>
      </w:r>
      <w:r>
        <w:rPr>
          <w:rFonts w:cs="Arial"/>
        </w:rPr>
        <w:t>alerta</w:t>
      </w:r>
      <w:r w:rsidRPr="00E4649F">
        <w:rPr>
          <w:rFonts w:cs="Arial"/>
        </w:rPr>
        <w:t xml:space="preserve"> en problemáticas tales como</w:t>
      </w:r>
      <w:r>
        <w:rPr>
          <w:rFonts w:cs="Arial"/>
        </w:rPr>
        <w:t xml:space="preserve"> </w:t>
      </w:r>
      <w:r w:rsidRPr="00E4649F">
        <w:rPr>
          <w:rFonts w:cs="Arial"/>
        </w:rPr>
        <w:t>prevención del delito, calidad del aire, energía</w:t>
      </w:r>
      <w:r>
        <w:rPr>
          <w:rFonts w:cs="Arial"/>
        </w:rPr>
        <w:t xml:space="preserve"> y</w:t>
      </w:r>
      <w:r w:rsidRPr="00E4649F">
        <w:rPr>
          <w:rFonts w:cs="Arial"/>
        </w:rPr>
        <w:t xml:space="preserve"> </w:t>
      </w:r>
      <w:r>
        <w:rPr>
          <w:rFonts w:cs="Arial"/>
        </w:rPr>
        <w:t>contaminación por ruido</w:t>
      </w:r>
      <w:r w:rsidRPr="00E4649F">
        <w:rPr>
          <w:rFonts w:cs="Arial"/>
        </w:rPr>
        <w:t>, entre otros</w:t>
      </w:r>
      <w:r>
        <w:rPr>
          <w:rFonts w:cs="Arial"/>
        </w:rPr>
        <w:t>. Entre estas acciones estratégicas destacan:</w:t>
      </w:r>
    </w:p>
    <w:p w14:paraId="4C49CC40" w14:textId="77777777" w:rsidR="0070429C" w:rsidRPr="00D41D61" w:rsidRDefault="0070429C" w:rsidP="00B205BA">
      <w:pPr>
        <w:pStyle w:val="Prrafodelista"/>
        <w:widowControl w:val="0"/>
        <w:numPr>
          <w:ilvl w:val="0"/>
          <w:numId w:val="30"/>
        </w:numPr>
        <w:autoSpaceDE w:val="0"/>
        <w:autoSpaceDN w:val="0"/>
        <w:spacing w:after="120" w:line="240" w:lineRule="auto"/>
        <w:ind w:left="714" w:right="51" w:hanging="357"/>
        <w:contextualSpacing w:val="0"/>
        <w:rPr>
          <w:rFonts w:cs="Arial"/>
          <w:lang w:val="es-MX"/>
        </w:rPr>
      </w:pPr>
      <w:r w:rsidRPr="00D41D61">
        <w:rPr>
          <w:rFonts w:cs="Arial"/>
          <w:lang w:val="es-MX"/>
        </w:rPr>
        <w:t xml:space="preserve">La expansión de los corredores "Camina Segura", que estarán equipados con WiFi gratuito, cámaras de videovigilancia y botones de alerta ciudadana. </w:t>
      </w:r>
    </w:p>
    <w:p w14:paraId="462D9914" w14:textId="77777777" w:rsidR="0070429C" w:rsidRPr="00D41D61" w:rsidRDefault="0070429C" w:rsidP="00B205BA">
      <w:pPr>
        <w:pStyle w:val="Prrafodelista"/>
        <w:widowControl w:val="0"/>
        <w:numPr>
          <w:ilvl w:val="0"/>
          <w:numId w:val="30"/>
        </w:numPr>
        <w:autoSpaceDE w:val="0"/>
        <w:autoSpaceDN w:val="0"/>
        <w:spacing w:after="120" w:line="240" w:lineRule="auto"/>
        <w:ind w:left="714" w:right="51" w:hanging="357"/>
        <w:contextualSpacing w:val="0"/>
        <w:rPr>
          <w:rFonts w:cs="Arial"/>
          <w:lang w:val="es-MX"/>
        </w:rPr>
      </w:pPr>
      <w:r w:rsidRPr="00D41D61">
        <w:rPr>
          <w:rFonts w:cs="Arial"/>
          <w:lang w:val="es-MX"/>
        </w:rPr>
        <w:t>La introducción de 500 cámaras de videovigilancia con inteligencia artificial, así como la distribución, transmisión y almacenamiento de audio y video capturado por 100 cámaras corporales para los elementos de la policía municipal.</w:t>
      </w:r>
    </w:p>
    <w:p w14:paraId="5E566855" w14:textId="77777777" w:rsidR="0070429C" w:rsidRPr="00D41D61" w:rsidRDefault="0070429C" w:rsidP="00B205BA">
      <w:pPr>
        <w:pStyle w:val="Prrafodelista"/>
        <w:widowControl w:val="0"/>
        <w:numPr>
          <w:ilvl w:val="0"/>
          <w:numId w:val="30"/>
        </w:numPr>
        <w:autoSpaceDE w:val="0"/>
        <w:autoSpaceDN w:val="0"/>
        <w:spacing w:after="120" w:line="240" w:lineRule="auto"/>
        <w:ind w:left="714" w:right="51" w:hanging="357"/>
        <w:contextualSpacing w:val="0"/>
        <w:rPr>
          <w:rFonts w:cs="Arial"/>
          <w:lang w:val="es-MX"/>
        </w:rPr>
      </w:pPr>
      <w:r w:rsidRPr="00D41D61">
        <w:rPr>
          <w:rFonts w:cs="Arial"/>
          <w:lang w:val="es-MX"/>
        </w:rPr>
        <w:t xml:space="preserve">El aumento de la flotilla de patrullas eléctricas a 300 unidades. </w:t>
      </w:r>
    </w:p>
    <w:p w14:paraId="38F2157E" w14:textId="134141F4" w:rsidR="0070429C" w:rsidRPr="00711FD9" w:rsidRDefault="0070429C" w:rsidP="00B205BA">
      <w:pPr>
        <w:pStyle w:val="Prrafodelista"/>
        <w:widowControl w:val="0"/>
        <w:numPr>
          <w:ilvl w:val="0"/>
          <w:numId w:val="30"/>
        </w:numPr>
        <w:autoSpaceDE w:val="0"/>
        <w:autoSpaceDN w:val="0"/>
        <w:spacing w:after="120" w:line="240" w:lineRule="auto"/>
        <w:ind w:left="714" w:right="51" w:hanging="357"/>
        <w:contextualSpacing w:val="0"/>
        <w:rPr>
          <w:rFonts w:cs="Arial"/>
          <w:lang w:val="es-MX"/>
        </w:rPr>
      </w:pPr>
      <w:r>
        <w:rPr>
          <w:rFonts w:cs="Arial"/>
          <w:lang w:val="es-MX"/>
        </w:rPr>
        <w:t>La instalación de</w:t>
      </w:r>
      <w:r w:rsidRPr="00381EA8">
        <w:rPr>
          <w:rFonts w:cs="Arial"/>
          <w:lang w:val="es-MX"/>
        </w:rPr>
        <w:t xml:space="preserve"> arcos </w:t>
      </w:r>
      <w:r>
        <w:rPr>
          <w:rFonts w:cs="Arial"/>
          <w:lang w:val="es-MX"/>
        </w:rPr>
        <w:t xml:space="preserve">inteligentes </w:t>
      </w:r>
      <w:r w:rsidRPr="00381EA8">
        <w:rPr>
          <w:rFonts w:cs="Arial"/>
          <w:lang w:val="es-MX"/>
        </w:rPr>
        <w:t>en las principales entradas y salidas de la ciudad: dos en el norte (carretera a Nogales), dos en el sur (</w:t>
      </w:r>
      <w:r>
        <w:rPr>
          <w:rFonts w:cs="Arial"/>
          <w:lang w:val="es-MX"/>
        </w:rPr>
        <w:t>carretera</w:t>
      </w:r>
      <w:r w:rsidRPr="00381EA8">
        <w:rPr>
          <w:rFonts w:cs="Arial"/>
          <w:lang w:val="es-MX"/>
        </w:rPr>
        <w:t xml:space="preserve"> a Guaymas) y dos en el poniente (carretera a Bahía de Kino).</w:t>
      </w:r>
      <w:r>
        <w:rPr>
          <w:rFonts w:cs="Arial"/>
          <w:lang w:val="es-MX"/>
        </w:rPr>
        <w:t xml:space="preserve"> </w:t>
      </w:r>
      <w:r w:rsidRPr="00D41D61">
        <w:rPr>
          <w:rFonts w:cs="Arial"/>
          <w:lang w:val="es-MX"/>
        </w:rPr>
        <w:t>Estos arcos estarán equipados con cámaras de videovigilancia y sensores para monitorear la calidad y velocidad del viento, así como termómetros. También contarán con pantallas exteriores que proporcionarán información importante sobre la ciudad, el tráfico, obras en curso y la promoción de eventos turísticos y sitios de interés.</w:t>
      </w:r>
    </w:p>
    <w:p w14:paraId="3A2F5A84" w14:textId="77777777" w:rsidR="0070429C" w:rsidRDefault="0070429C" w:rsidP="00B205BA">
      <w:pPr>
        <w:spacing w:after="120" w:line="240" w:lineRule="auto"/>
        <w:rPr>
          <w:rFonts w:cs="Arial"/>
        </w:rPr>
      </w:pPr>
      <w:r>
        <w:rPr>
          <w:rFonts w:cs="Arial"/>
        </w:rPr>
        <w:t>Estas acciones estratégicas</w:t>
      </w:r>
      <w:r w:rsidRPr="00E81679">
        <w:rPr>
          <w:rFonts w:cs="Arial"/>
        </w:rPr>
        <w:t xml:space="preserve"> </w:t>
      </w:r>
      <w:r>
        <w:rPr>
          <w:rFonts w:cs="Arial"/>
        </w:rPr>
        <w:t>contribuirán</w:t>
      </w:r>
      <w:r w:rsidRPr="00E81679">
        <w:rPr>
          <w:rFonts w:cs="Arial"/>
        </w:rPr>
        <w:t xml:space="preserve"> </w:t>
      </w:r>
      <w:r>
        <w:rPr>
          <w:rFonts w:cs="Arial"/>
        </w:rPr>
        <w:t>en conjunto</w:t>
      </w:r>
      <w:r w:rsidRPr="00E81679">
        <w:rPr>
          <w:rFonts w:cs="Arial"/>
        </w:rPr>
        <w:t xml:space="preserve"> para crear un entorno urbano más eficiente, sostenible y habitable, </w:t>
      </w:r>
      <w:r>
        <w:rPr>
          <w:rFonts w:cs="Arial"/>
        </w:rPr>
        <w:t>con la capacidad de adaptarse</w:t>
      </w:r>
      <w:r w:rsidRPr="00E81679">
        <w:rPr>
          <w:rFonts w:cs="Arial"/>
        </w:rPr>
        <w:t xml:space="preserve"> a las necesidades cambiantes de la población</w:t>
      </w:r>
      <w:r>
        <w:rPr>
          <w:rFonts w:cs="Arial"/>
        </w:rPr>
        <w:t>. Con ello se mejorará</w:t>
      </w:r>
      <w:r w:rsidRPr="00845018">
        <w:rPr>
          <w:rFonts w:cs="Arial"/>
        </w:rPr>
        <w:t xml:space="preserve"> la seguridad, </w:t>
      </w:r>
      <w:r>
        <w:rPr>
          <w:rFonts w:cs="Arial"/>
        </w:rPr>
        <w:t>se fortalecerá</w:t>
      </w:r>
      <w:r w:rsidRPr="00845018">
        <w:rPr>
          <w:rFonts w:cs="Arial"/>
        </w:rPr>
        <w:t xml:space="preserve"> la confianza y la cohesión social</w:t>
      </w:r>
      <w:r>
        <w:rPr>
          <w:rFonts w:cs="Arial"/>
        </w:rPr>
        <w:t xml:space="preserve"> y</w:t>
      </w:r>
      <w:r w:rsidRPr="00845018">
        <w:rPr>
          <w:rFonts w:cs="Arial"/>
        </w:rPr>
        <w:t xml:space="preserve"> </w:t>
      </w:r>
      <w:r>
        <w:rPr>
          <w:rFonts w:cs="Arial"/>
        </w:rPr>
        <w:t>se crearán</w:t>
      </w:r>
      <w:r w:rsidRPr="00845018">
        <w:rPr>
          <w:rFonts w:cs="Arial"/>
        </w:rPr>
        <w:t xml:space="preserve"> entornos donde </w:t>
      </w:r>
      <w:r>
        <w:rPr>
          <w:rFonts w:cs="Arial"/>
        </w:rPr>
        <w:t xml:space="preserve">las y </w:t>
      </w:r>
      <w:r w:rsidRPr="00845018">
        <w:rPr>
          <w:rFonts w:cs="Arial"/>
        </w:rPr>
        <w:t xml:space="preserve">los </w:t>
      </w:r>
      <w:r>
        <w:rPr>
          <w:rFonts w:cs="Arial"/>
        </w:rPr>
        <w:t xml:space="preserve">hermosillenses </w:t>
      </w:r>
      <w:r w:rsidRPr="00845018">
        <w:rPr>
          <w:rFonts w:cs="Arial"/>
        </w:rPr>
        <w:t xml:space="preserve">se </w:t>
      </w:r>
      <w:r>
        <w:rPr>
          <w:rFonts w:cs="Arial"/>
        </w:rPr>
        <w:t>sentirán</w:t>
      </w:r>
      <w:r w:rsidRPr="00845018">
        <w:rPr>
          <w:rFonts w:cs="Arial"/>
        </w:rPr>
        <w:t xml:space="preserve"> más protegidos y apoyados.</w:t>
      </w:r>
    </w:p>
    <w:p w14:paraId="45B04854" w14:textId="77777777" w:rsidR="0070429C" w:rsidRDefault="0070429C" w:rsidP="00B205BA">
      <w:pPr>
        <w:spacing w:after="120" w:line="240" w:lineRule="auto"/>
      </w:pPr>
    </w:p>
    <w:bookmarkEnd w:id="9"/>
    <w:p w14:paraId="14F75CE0" w14:textId="3ABD9301" w:rsidR="008905CC" w:rsidRDefault="008905CC" w:rsidP="00B205BA">
      <w:pPr>
        <w:pStyle w:val="Sinespaciado"/>
        <w:spacing w:after="120"/>
        <w:jc w:val="both"/>
        <w:rPr>
          <w:rFonts w:ascii="Arial" w:hAnsi="Arial" w:cs="Arial"/>
          <w:b/>
          <w:bCs/>
          <w:sz w:val="24"/>
          <w:szCs w:val="24"/>
          <w:lang w:val="es-ES"/>
        </w:rPr>
      </w:pPr>
    </w:p>
    <w:p w14:paraId="15BD4DE1" w14:textId="1A617347" w:rsidR="00261A27" w:rsidRDefault="00261A27" w:rsidP="00B205BA">
      <w:pPr>
        <w:pStyle w:val="Sinespaciado"/>
        <w:spacing w:after="120"/>
        <w:jc w:val="both"/>
        <w:rPr>
          <w:rFonts w:ascii="Arial" w:hAnsi="Arial" w:cs="Arial"/>
          <w:b/>
          <w:bCs/>
          <w:sz w:val="24"/>
          <w:szCs w:val="24"/>
          <w:lang w:val="es-ES"/>
        </w:rPr>
      </w:pPr>
    </w:p>
    <w:p w14:paraId="279029A9" w14:textId="609AFB14" w:rsidR="00261A27" w:rsidRDefault="00261A27" w:rsidP="00B205BA">
      <w:pPr>
        <w:pStyle w:val="Sinespaciado"/>
        <w:spacing w:after="120"/>
        <w:jc w:val="both"/>
        <w:rPr>
          <w:rFonts w:ascii="Arial" w:hAnsi="Arial" w:cs="Arial"/>
          <w:b/>
          <w:bCs/>
          <w:sz w:val="24"/>
          <w:szCs w:val="24"/>
          <w:lang w:val="es-ES"/>
        </w:rPr>
      </w:pPr>
    </w:p>
    <w:p w14:paraId="349F216E" w14:textId="77777777" w:rsidR="00261A27" w:rsidRDefault="00261A27" w:rsidP="00B205BA">
      <w:pPr>
        <w:pStyle w:val="Sinespaciado"/>
        <w:spacing w:after="120"/>
        <w:jc w:val="both"/>
        <w:rPr>
          <w:rFonts w:ascii="Arial" w:hAnsi="Arial" w:cs="Arial"/>
          <w:b/>
          <w:bCs/>
          <w:sz w:val="24"/>
          <w:szCs w:val="24"/>
          <w:lang w:val="es-ES"/>
        </w:rPr>
      </w:pPr>
    </w:p>
    <w:p w14:paraId="36FDA666" w14:textId="68A060A9" w:rsidR="0070429C" w:rsidRDefault="0070429C" w:rsidP="00B205BA">
      <w:pPr>
        <w:pStyle w:val="Sinespaciado"/>
        <w:spacing w:after="120"/>
        <w:jc w:val="both"/>
        <w:rPr>
          <w:rFonts w:ascii="Arial" w:hAnsi="Arial" w:cs="Arial"/>
          <w:b/>
          <w:bCs/>
          <w:sz w:val="24"/>
          <w:szCs w:val="24"/>
          <w:lang w:val="es-ES"/>
        </w:rPr>
      </w:pPr>
    </w:p>
    <w:p w14:paraId="415D7717" w14:textId="77777777" w:rsidR="00261A27" w:rsidRPr="00D503D0" w:rsidRDefault="00261A27" w:rsidP="00B205BA">
      <w:pPr>
        <w:pStyle w:val="Sinespaciado"/>
        <w:spacing w:after="120"/>
        <w:jc w:val="both"/>
        <w:rPr>
          <w:rFonts w:ascii="Arial" w:hAnsi="Arial" w:cs="Arial"/>
          <w:b/>
          <w:bCs/>
          <w:sz w:val="24"/>
          <w:szCs w:val="24"/>
          <w:lang w:val="es-ES"/>
        </w:rPr>
      </w:pPr>
    </w:p>
    <w:p w14:paraId="35F6BFD0" w14:textId="77777777" w:rsidR="00013F4A" w:rsidRPr="00A13BDA" w:rsidRDefault="00013F4A" w:rsidP="00013F4A">
      <w:pPr>
        <w:spacing w:after="120" w:line="240" w:lineRule="auto"/>
        <w:rPr>
          <w:rFonts w:cs="Arial"/>
          <w:b/>
          <w:bCs/>
          <w:sz w:val="28"/>
          <w:szCs w:val="28"/>
        </w:rPr>
      </w:pPr>
      <w:r w:rsidRPr="00A13BDA">
        <w:rPr>
          <w:rFonts w:cs="Arial"/>
          <w:b/>
          <w:bCs/>
          <w:sz w:val="28"/>
          <w:szCs w:val="28"/>
        </w:rPr>
        <w:lastRenderedPageBreak/>
        <w:t>RETOS, ESTRATEGIAS Y LINEAS DE ACCIÓN</w:t>
      </w:r>
    </w:p>
    <w:p w14:paraId="09600139" w14:textId="77777777" w:rsidR="00363FFA" w:rsidRPr="00363FFA" w:rsidRDefault="00363FFA" w:rsidP="00B205BA">
      <w:pPr>
        <w:spacing w:after="120" w:line="240" w:lineRule="auto"/>
        <w:rPr>
          <w:rFonts w:cs="Arial"/>
          <w:b/>
          <w:bCs/>
        </w:rPr>
      </w:pPr>
      <w:r w:rsidRPr="00363FFA">
        <w:rPr>
          <w:rFonts w:cs="Arial"/>
          <w:b/>
          <w:bCs/>
        </w:rPr>
        <w:t>Reto 1.1. Proporcionar certeza jurídica a las familias hermosillenses y las organizaciones civiles a través de títulos de propiedad y regularización de predios, además de la creación, rescate y mantenimiento del espacio público, para todo tipo de usos comunitarios y para la movilidad urbana.</w:t>
      </w:r>
    </w:p>
    <w:p w14:paraId="431B9C3B" w14:textId="77777777" w:rsidR="00363FFA" w:rsidRPr="00363FFA" w:rsidRDefault="00363FFA" w:rsidP="00B205BA">
      <w:pPr>
        <w:spacing w:after="120" w:line="240" w:lineRule="auto"/>
        <w:rPr>
          <w:rFonts w:cs="Arial"/>
          <w:b/>
          <w:bCs/>
        </w:rPr>
      </w:pPr>
      <w:r w:rsidRPr="00363FFA">
        <w:rPr>
          <w:rFonts w:cs="Arial"/>
          <w:b/>
          <w:bCs/>
        </w:rPr>
        <w:t xml:space="preserve">Estrategia 1.1.1. Ejecutar un programa de regularización de lotes en posesión de manera irregular por familias en condición de rezago social, mediante los procedimientos legal, técnico, social y urbano que correspondan. </w:t>
      </w:r>
    </w:p>
    <w:p w14:paraId="154569F0" w14:textId="77777777" w:rsidR="00363FFA" w:rsidRPr="00410DE9" w:rsidRDefault="00363FFA" w:rsidP="00B205BA">
      <w:pPr>
        <w:spacing w:after="120" w:line="240" w:lineRule="auto"/>
        <w:rPr>
          <w:rFonts w:cs="Arial"/>
        </w:rPr>
      </w:pPr>
      <w:r w:rsidRPr="00410DE9">
        <w:rPr>
          <w:rFonts w:cs="Arial"/>
        </w:rPr>
        <w:t>Líneas de acción:</w:t>
      </w:r>
      <w:r w:rsidRPr="00410DE9">
        <w:rPr>
          <w:rFonts w:cs="Arial"/>
        </w:rPr>
        <w:tab/>
      </w:r>
    </w:p>
    <w:p w14:paraId="22FDE23F" w14:textId="77777777" w:rsidR="00363FFA" w:rsidRPr="00410DE9" w:rsidRDefault="00363FFA" w:rsidP="00B205BA">
      <w:pPr>
        <w:spacing w:after="120" w:line="240" w:lineRule="auto"/>
        <w:rPr>
          <w:rFonts w:cs="Arial"/>
        </w:rPr>
      </w:pPr>
      <w:r w:rsidRPr="00410DE9">
        <w:rPr>
          <w:rFonts w:cs="Arial"/>
        </w:rPr>
        <w:t>1.1.1.1. Adquirir de terrenos con asentamientos humanos irregulares.</w:t>
      </w:r>
    </w:p>
    <w:p w14:paraId="00DD5E5C" w14:textId="77777777" w:rsidR="00363FFA" w:rsidRPr="00410DE9" w:rsidRDefault="00363FFA" w:rsidP="00B205BA">
      <w:pPr>
        <w:spacing w:after="120" w:line="240" w:lineRule="auto"/>
        <w:rPr>
          <w:rFonts w:cs="Arial"/>
        </w:rPr>
      </w:pPr>
      <w:r w:rsidRPr="00410DE9">
        <w:rPr>
          <w:rFonts w:cs="Arial"/>
        </w:rPr>
        <w:t xml:space="preserve">1.1.1.2. Promover la vinculación de la Sindicatura con organismos de la sociedad civil y públicos. </w:t>
      </w:r>
    </w:p>
    <w:p w14:paraId="4779B03C" w14:textId="77777777" w:rsidR="00363FFA" w:rsidRPr="00410DE9" w:rsidRDefault="00363FFA" w:rsidP="00B205BA">
      <w:pPr>
        <w:spacing w:after="120" w:line="240" w:lineRule="auto"/>
        <w:rPr>
          <w:rFonts w:cs="Arial"/>
        </w:rPr>
      </w:pPr>
      <w:r w:rsidRPr="00410DE9">
        <w:rPr>
          <w:rFonts w:cs="Arial"/>
        </w:rPr>
        <w:t>1.1.1.3. Emitir opiniones técnicas sobre los trámites de ordenamiento territorial y de bienes de dominio público y privado a través del área de apoyo correspondiente</w:t>
      </w:r>
    </w:p>
    <w:p w14:paraId="226ACC36" w14:textId="77777777" w:rsidR="00363FFA" w:rsidRPr="00410DE9" w:rsidRDefault="00363FFA" w:rsidP="00B205BA">
      <w:pPr>
        <w:spacing w:after="120" w:line="240" w:lineRule="auto"/>
        <w:rPr>
          <w:rFonts w:cs="Arial"/>
        </w:rPr>
      </w:pPr>
      <w:r w:rsidRPr="00410DE9">
        <w:rPr>
          <w:rFonts w:cs="Arial"/>
        </w:rPr>
        <w:t>1.1.1.4. Emitir dictámenes sobre los trámites de ordenamiento territorial y de bienes de dominio público y privado a través del área de apoyo correspondiente</w:t>
      </w:r>
    </w:p>
    <w:p w14:paraId="7628ED75" w14:textId="77777777" w:rsidR="00363FFA" w:rsidRPr="00363FFA" w:rsidRDefault="00363FFA" w:rsidP="00B205BA">
      <w:pPr>
        <w:spacing w:after="120" w:line="240" w:lineRule="auto"/>
        <w:rPr>
          <w:rFonts w:cs="Arial"/>
          <w:b/>
          <w:bCs/>
        </w:rPr>
      </w:pPr>
      <w:r w:rsidRPr="00363FFA">
        <w:rPr>
          <w:rFonts w:cs="Arial"/>
          <w:b/>
          <w:bCs/>
        </w:rPr>
        <w:t>Estrategia 1.1.2. Realizar las acciones pertinentes para el ordenamiento de los inmuebles utilizados por los centros educativos, centros de culto y asociaciones civiles y de asistencia privada, así como la defensa de los bienes municipales.</w:t>
      </w:r>
    </w:p>
    <w:p w14:paraId="1B2AAA67" w14:textId="77777777" w:rsidR="00363FFA" w:rsidRPr="00410DE9" w:rsidRDefault="00363FFA" w:rsidP="00B205BA">
      <w:pPr>
        <w:spacing w:after="120" w:line="240" w:lineRule="auto"/>
        <w:rPr>
          <w:rFonts w:cs="Arial"/>
        </w:rPr>
      </w:pPr>
      <w:r w:rsidRPr="00410DE9">
        <w:rPr>
          <w:rFonts w:cs="Arial"/>
        </w:rPr>
        <w:t>Líneas de acción:</w:t>
      </w:r>
    </w:p>
    <w:p w14:paraId="4ED7DF80" w14:textId="77777777" w:rsidR="00363FFA" w:rsidRPr="00410DE9" w:rsidRDefault="00363FFA" w:rsidP="00B205BA">
      <w:pPr>
        <w:spacing w:after="120" w:line="240" w:lineRule="auto"/>
        <w:rPr>
          <w:rFonts w:cs="Arial"/>
        </w:rPr>
      </w:pPr>
      <w:r w:rsidRPr="00410DE9">
        <w:rPr>
          <w:rFonts w:cs="Arial"/>
        </w:rPr>
        <w:t>1.1.2.1. Regularizar el uso de inmuebles propiedad municipal ocupados por centros educativos, asociaciones civiles y religiosas.</w:t>
      </w:r>
    </w:p>
    <w:p w14:paraId="4AA6002D" w14:textId="77777777" w:rsidR="00363FFA" w:rsidRPr="00410DE9" w:rsidRDefault="00363FFA" w:rsidP="00B205BA">
      <w:pPr>
        <w:spacing w:after="120" w:line="240" w:lineRule="auto"/>
        <w:rPr>
          <w:rFonts w:cs="Arial"/>
        </w:rPr>
      </w:pPr>
      <w:r w:rsidRPr="00410DE9">
        <w:rPr>
          <w:rFonts w:cs="Arial"/>
        </w:rPr>
        <w:t>1.1.2.2. Llevar a cabo acciones para la defensa de los intereses municipales.</w:t>
      </w:r>
    </w:p>
    <w:p w14:paraId="5D618D8C" w14:textId="77777777" w:rsidR="00363FFA" w:rsidRPr="00410DE9" w:rsidRDefault="00363FFA" w:rsidP="00B205BA">
      <w:pPr>
        <w:spacing w:after="120" w:line="240" w:lineRule="auto"/>
        <w:rPr>
          <w:rFonts w:cs="Arial"/>
        </w:rPr>
      </w:pPr>
      <w:r w:rsidRPr="00410DE9">
        <w:rPr>
          <w:rFonts w:cs="Arial"/>
        </w:rPr>
        <w:t>1.1.2.3. Realizar actuaciones ante órganos jurisdiccionales para la defensa de los intereses municipales.</w:t>
      </w:r>
    </w:p>
    <w:p w14:paraId="02800D7A" w14:textId="77777777" w:rsidR="00363FFA" w:rsidRPr="00363FFA" w:rsidRDefault="00363FFA" w:rsidP="00B205BA">
      <w:pPr>
        <w:spacing w:after="120" w:line="240" w:lineRule="auto"/>
        <w:rPr>
          <w:rFonts w:cs="Arial"/>
          <w:b/>
          <w:bCs/>
        </w:rPr>
      </w:pPr>
      <w:r w:rsidRPr="00363FFA">
        <w:rPr>
          <w:rFonts w:cs="Arial"/>
          <w:b/>
          <w:bCs/>
        </w:rPr>
        <w:t>Estrategia 1.1.3. Facilitar la expedición de los títulos de propiedad para aquellas familias que ya han sido censadas, integrando su expediente o que ya se les haya aperturado cuenta en tesorería municipal, buscando facilitar su obtención con la simplificación de requisitos.</w:t>
      </w:r>
    </w:p>
    <w:p w14:paraId="0591BE17" w14:textId="77777777" w:rsidR="00363FFA" w:rsidRPr="00410DE9" w:rsidRDefault="00363FFA" w:rsidP="00B205BA">
      <w:pPr>
        <w:spacing w:after="120" w:line="240" w:lineRule="auto"/>
        <w:rPr>
          <w:rFonts w:cs="Arial"/>
        </w:rPr>
      </w:pPr>
      <w:r w:rsidRPr="00410DE9">
        <w:rPr>
          <w:rFonts w:cs="Arial"/>
        </w:rPr>
        <w:t>Líneas de acción:</w:t>
      </w:r>
    </w:p>
    <w:p w14:paraId="433637BF" w14:textId="77777777" w:rsidR="00363FFA" w:rsidRPr="00410DE9" w:rsidRDefault="00363FFA" w:rsidP="00B205BA">
      <w:pPr>
        <w:spacing w:after="120" w:line="240" w:lineRule="auto"/>
        <w:rPr>
          <w:rFonts w:cs="Arial"/>
        </w:rPr>
      </w:pPr>
      <w:r w:rsidRPr="00410DE9">
        <w:rPr>
          <w:rFonts w:cs="Arial"/>
        </w:rPr>
        <w:t>1.1.3.1. Promover asesorías jurídicas de zonas no urbanizables.</w:t>
      </w:r>
    </w:p>
    <w:p w14:paraId="12057E7C" w14:textId="77777777" w:rsidR="00363FFA" w:rsidRPr="00410DE9" w:rsidRDefault="00363FFA" w:rsidP="00B205BA">
      <w:pPr>
        <w:spacing w:after="120" w:line="240" w:lineRule="auto"/>
        <w:rPr>
          <w:rFonts w:cs="Arial"/>
        </w:rPr>
      </w:pPr>
      <w:r w:rsidRPr="00410DE9">
        <w:rPr>
          <w:rFonts w:cs="Arial"/>
        </w:rPr>
        <w:t xml:space="preserve">1.1.3.2. Enajenar los bienes inmuebles de uso distinto al habitacional. </w:t>
      </w:r>
    </w:p>
    <w:p w14:paraId="77D21902" w14:textId="77777777" w:rsidR="00363FFA" w:rsidRPr="00410DE9" w:rsidRDefault="00363FFA" w:rsidP="00B205BA">
      <w:pPr>
        <w:spacing w:after="120" w:line="240" w:lineRule="auto"/>
        <w:rPr>
          <w:rFonts w:cs="Arial"/>
        </w:rPr>
      </w:pPr>
      <w:r w:rsidRPr="00410DE9">
        <w:rPr>
          <w:rFonts w:cs="Arial"/>
        </w:rPr>
        <w:t xml:space="preserve">1.1.3.3. Enajenar los bienes inmuebles de uso habitacional. </w:t>
      </w:r>
    </w:p>
    <w:p w14:paraId="52166A3F" w14:textId="297108F3" w:rsidR="00363FFA" w:rsidRPr="00363FFA" w:rsidRDefault="00363FFA" w:rsidP="00B205BA">
      <w:pPr>
        <w:spacing w:after="120" w:line="240" w:lineRule="auto"/>
        <w:rPr>
          <w:rFonts w:cs="Arial"/>
          <w:b/>
          <w:bCs/>
        </w:rPr>
      </w:pPr>
      <w:r w:rsidRPr="00363FFA">
        <w:rPr>
          <w:rFonts w:cs="Arial"/>
          <w:b/>
          <w:bCs/>
        </w:rPr>
        <w:t>Estrategia 1.1.4. Adecuar las disposiciones normativas atendiendo a las necesidades actuales, mediante su revisión para dar legitimidad a las políticas públicas, consolidar el estado de derecho y establecer previsiones para el crecimiento de la ciudad mediante una oferta de tierra para el desarrollo urbano y la vivienda</w:t>
      </w:r>
    </w:p>
    <w:p w14:paraId="40F6CAED" w14:textId="77777777" w:rsidR="00363FFA" w:rsidRPr="00410DE9" w:rsidRDefault="00363FFA" w:rsidP="00B205BA">
      <w:pPr>
        <w:spacing w:after="120" w:line="240" w:lineRule="auto"/>
        <w:rPr>
          <w:rFonts w:cs="Arial"/>
        </w:rPr>
      </w:pPr>
      <w:r w:rsidRPr="00410DE9">
        <w:rPr>
          <w:rFonts w:cs="Arial"/>
        </w:rPr>
        <w:t>Líneas de acción:</w:t>
      </w:r>
    </w:p>
    <w:p w14:paraId="56D3D058" w14:textId="77777777" w:rsidR="00363FFA" w:rsidRPr="00410DE9" w:rsidRDefault="00363FFA" w:rsidP="00B205BA">
      <w:pPr>
        <w:spacing w:after="120" w:line="240" w:lineRule="auto"/>
        <w:rPr>
          <w:rFonts w:cs="Arial"/>
        </w:rPr>
      </w:pPr>
      <w:r w:rsidRPr="00410DE9">
        <w:rPr>
          <w:rFonts w:cs="Arial"/>
        </w:rPr>
        <w:t>1.1.4.1. Emitir Declaratorias de Destino, para definir el uso y destino de suelo que determine el programa de desarrollo urbano municipal.</w:t>
      </w:r>
    </w:p>
    <w:p w14:paraId="1117065F" w14:textId="2B11884A" w:rsidR="00363FFA" w:rsidRPr="00410DE9" w:rsidRDefault="00363FFA" w:rsidP="00B205BA">
      <w:pPr>
        <w:spacing w:after="120" w:line="240" w:lineRule="auto"/>
        <w:rPr>
          <w:rFonts w:cs="Arial"/>
        </w:rPr>
      </w:pPr>
      <w:r w:rsidRPr="00410DE9">
        <w:rPr>
          <w:rFonts w:cs="Arial"/>
        </w:rPr>
        <w:lastRenderedPageBreak/>
        <w:t>1.1.4.2.</w:t>
      </w:r>
      <w:r w:rsidR="00046D3B">
        <w:rPr>
          <w:rFonts w:cs="Arial"/>
        </w:rPr>
        <w:t xml:space="preserve"> </w:t>
      </w:r>
      <w:r w:rsidRPr="00410DE9">
        <w:rPr>
          <w:rFonts w:cs="Arial"/>
        </w:rPr>
        <w:t>Adquirir reservas territoriales que permitan al Ayuntamiento ofertar tierra para el desarrollo urbano y la vivienda.</w:t>
      </w:r>
    </w:p>
    <w:p w14:paraId="14F422B5" w14:textId="77777777" w:rsidR="00363FFA" w:rsidRPr="00363FFA" w:rsidRDefault="00363FFA" w:rsidP="00B205BA">
      <w:pPr>
        <w:spacing w:after="120" w:line="240" w:lineRule="auto"/>
        <w:rPr>
          <w:rFonts w:cs="Arial"/>
          <w:b/>
          <w:bCs/>
        </w:rPr>
      </w:pPr>
      <w:r w:rsidRPr="00363FFA">
        <w:rPr>
          <w:rFonts w:cs="Arial"/>
          <w:b/>
          <w:bCs/>
        </w:rPr>
        <w:t>Reto 1.2. Optimizar la gestión de los recursos del Ayuntamiento para contribuir a la consolidación de un gobierno eficiente y responsable a través de una administración apegada a los criterios de transparencia y rendición de cuentas en el marco de la normatividad aplicable.</w:t>
      </w:r>
    </w:p>
    <w:p w14:paraId="74E42882" w14:textId="77777777" w:rsidR="00363FFA" w:rsidRPr="00363FFA" w:rsidRDefault="00363FFA" w:rsidP="00B205BA">
      <w:pPr>
        <w:spacing w:after="120" w:line="240" w:lineRule="auto"/>
        <w:rPr>
          <w:rFonts w:cs="Arial"/>
          <w:b/>
          <w:bCs/>
        </w:rPr>
      </w:pPr>
      <w:r w:rsidRPr="00363FFA">
        <w:rPr>
          <w:rFonts w:cs="Arial"/>
          <w:b/>
          <w:bCs/>
        </w:rPr>
        <w:t>Estrategia 1.2.1. Mantener el sistema web documental y de información, que contiene la base de datos única, para todos los trámites, así como la digitalización de todos los documentos referentes a los bienes de dominio público y privado del municipio.</w:t>
      </w:r>
    </w:p>
    <w:p w14:paraId="6FF2EA40" w14:textId="77777777" w:rsidR="00363FFA" w:rsidRPr="00410DE9" w:rsidRDefault="00363FFA" w:rsidP="00B205BA">
      <w:pPr>
        <w:spacing w:after="120" w:line="240" w:lineRule="auto"/>
        <w:rPr>
          <w:rFonts w:cs="Arial"/>
        </w:rPr>
      </w:pPr>
      <w:r w:rsidRPr="00410DE9">
        <w:rPr>
          <w:rFonts w:cs="Arial"/>
        </w:rPr>
        <w:t>Líneas de acción:</w:t>
      </w:r>
    </w:p>
    <w:p w14:paraId="55119029" w14:textId="77777777" w:rsidR="00363FFA" w:rsidRPr="00410DE9" w:rsidRDefault="00363FFA" w:rsidP="00B205BA">
      <w:pPr>
        <w:spacing w:after="120" w:line="240" w:lineRule="auto"/>
        <w:rPr>
          <w:rFonts w:cs="Arial"/>
        </w:rPr>
      </w:pPr>
      <w:r w:rsidRPr="00410DE9">
        <w:rPr>
          <w:rFonts w:cs="Arial"/>
        </w:rPr>
        <w:t>1.2.1.1. Actualizar los procesos sustantivos de Sindicatura a través de un software.</w:t>
      </w:r>
    </w:p>
    <w:p w14:paraId="1DD458ED" w14:textId="77777777" w:rsidR="00363FFA" w:rsidRPr="00410DE9" w:rsidRDefault="00363FFA" w:rsidP="00B205BA">
      <w:pPr>
        <w:spacing w:after="120" w:line="240" w:lineRule="auto"/>
        <w:rPr>
          <w:rFonts w:cs="Arial"/>
        </w:rPr>
      </w:pPr>
      <w:r w:rsidRPr="00410DE9">
        <w:rPr>
          <w:rFonts w:cs="Arial"/>
        </w:rPr>
        <w:t>1.2.1.2. Actualizar y registrar los asientos registrales de los bienes del patrimonio inmobiliario municipal.</w:t>
      </w:r>
    </w:p>
    <w:p w14:paraId="76644261" w14:textId="77777777" w:rsidR="00363FFA" w:rsidRPr="00410DE9" w:rsidRDefault="00363FFA" w:rsidP="00B205BA">
      <w:pPr>
        <w:spacing w:after="120" w:line="240" w:lineRule="auto"/>
        <w:rPr>
          <w:rFonts w:cs="Arial"/>
        </w:rPr>
      </w:pPr>
      <w:r w:rsidRPr="00410DE9">
        <w:rPr>
          <w:rFonts w:cs="Arial"/>
        </w:rPr>
        <w:t>1.2.1.3. Actualizar el inventario del patrimonio inmobiliario municipal.</w:t>
      </w:r>
    </w:p>
    <w:p w14:paraId="7F536B9C" w14:textId="77777777" w:rsidR="00363FFA" w:rsidRPr="00363FFA" w:rsidRDefault="00363FFA" w:rsidP="00B205BA">
      <w:pPr>
        <w:spacing w:after="120" w:line="240" w:lineRule="auto"/>
        <w:rPr>
          <w:rFonts w:cs="Arial"/>
          <w:b/>
          <w:bCs/>
        </w:rPr>
      </w:pPr>
      <w:r w:rsidRPr="00363FFA">
        <w:rPr>
          <w:rFonts w:cs="Arial"/>
          <w:b/>
          <w:bCs/>
        </w:rPr>
        <w:t>Estrategia 1.2.2. Mejorar el acceso a espacios públicos de calidad y generar ingresos que impulsen el desarrollo del municipio mediante la aplicación del fondo del suelo y enajenación del patrimonio inmobiliario.</w:t>
      </w:r>
    </w:p>
    <w:p w14:paraId="3E5440EC" w14:textId="77777777" w:rsidR="00363FFA" w:rsidRPr="00410DE9" w:rsidRDefault="00363FFA" w:rsidP="00B205BA">
      <w:pPr>
        <w:spacing w:after="120" w:line="240" w:lineRule="auto"/>
        <w:rPr>
          <w:rFonts w:cs="Arial"/>
        </w:rPr>
      </w:pPr>
      <w:r w:rsidRPr="00410DE9">
        <w:rPr>
          <w:rFonts w:cs="Arial"/>
        </w:rPr>
        <w:t>Líneas de acción:</w:t>
      </w:r>
    </w:p>
    <w:p w14:paraId="414B8450" w14:textId="77777777" w:rsidR="00363FFA" w:rsidRPr="00410DE9" w:rsidRDefault="00363FFA" w:rsidP="00B205BA">
      <w:pPr>
        <w:spacing w:after="120" w:line="240" w:lineRule="auto"/>
        <w:rPr>
          <w:rFonts w:cs="Arial"/>
        </w:rPr>
      </w:pPr>
      <w:r w:rsidRPr="00410DE9">
        <w:rPr>
          <w:rFonts w:cs="Arial"/>
        </w:rPr>
        <w:t>1.2.2.1. Aplicar el Fondo del suelo para garantizar espacios públicos de calidad.</w:t>
      </w:r>
    </w:p>
    <w:p w14:paraId="091FBE18" w14:textId="77777777" w:rsidR="00363FFA" w:rsidRPr="00410DE9" w:rsidRDefault="00363FFA" w:rsidP="00B205BA">
      <w:pPr>
        <w:spacing w:after="120" w:line="240" w:lineRule="auto"/>
        <w:rPr>
          <w:rFonts w:cs="Arial"/>
        </w:rPr>
      </w:pPr>
      <w:r w:rsidRPr="00410DE9">
        <w:rPr>
          <w:rFonts w:cs="Arial"/>
        </w:rPr>
        <w:t>1.2.2.2. Monetizar el patrimonio inmobiliario del Ayuntamiento, susceptible de ser enajenado.</w:t>
      </w:r>
    </w:p>
    <w:p w14:paraId="21CC47B5" w14:textId="77777777" w:rsidR="00363FFA" w:rsidRPr="00363FFA" w:rsidRDefault="00363FFA" w:rsidP="00B205BA">
      <w:pPr>
        <w:spacing w:after="120" w:line="240" w:lineRule="auto"/>
        <w:rPr>
          <w:rFonts w:cs="Arial"/>
          <w:b/>
          <w:bCs/>
        </w:rPr>
      </w:pPr>
      <w:r w:rsidRPr="00363FFA">
        <w:rPr>
          <w:rFonts w:cs="Arial"/>
          <w:b/>
          <w:bCs/>
        </w:rPr>
        <w:t>Reto 1.3. Implementar mecanismos eficaces para la recuperación de la cartera vencida en desarrollos habitacionales y comerciales, permitiendo la obtención de nuevos recursos con el propósito de ofrecer soluciones de vivienda asequibles a familias de escasos recursos</w:t>
      </w:r>
    </w:p>
    <w:p w14:paraId="34E7ABF1" w14:textId="77777777" w:rsidR="00363FFA" w:rsidRPr="00363FFA" w:rsidRDefault="00363FFA" w:rsidP="00B205BA">
      <w:pPr>
        <w:spacing w:after="120" w:line="240" w:lineRule="auto"/>
        <w:rPr>
          <w:rFonts w:cs="Arial"/>
          <w:b/>
          <w:bCs/>
        </w:rPr>
      </w:pPr>
      <w:r w:rsidRPr="00363FFA">
        <w:rPr>
          <w:rFonts w:cs="Arial"/>
          <w:b/>
          <w:bCs/>
        </w:rPr>
        <w:t>Estrategia 1.3.1. Fomentar programas de construcción de vivienda, así como desarrollos industriales en áreas urbanas y rurales.</w:t>
      </w:r>
    </w:p>
    <w:p w14:paraId="36BC1771" w14:textId="77777777" w:rsidR="00363FFA" w:rsidRPr="00410DE9" w:rsidRDefault="00363FFA" w:rsidP="00B205BA">
      <w:pPr>
        <w:spacing w:after="120" w:line="240" w:lineRule="auto"/>
        <w:rPr>
          <w:rFonts w:cs="Arial"/>
        </w:rPr>
      </w:pPr>
      <w:r w:rsidRPr="00410DE9">
        <w:rPr>
          <w:rFonts w:cs="Arial"/>
        </w:rPr>
        <w:t>Líneas de acción:</w:t>
      </w:r>
    </w:p>
    <w:p w14:paraId="68DC0A30" w14:textId="77777777" w:rsidR="00363FFA" w:rsidRPr="00410DE9" w:rsidRDefault="00363FFA" w:rsidP="00B205BA">
      <w:pPr>
        <w:spacing w:after="120" w:line="240" w:lineRule="auto"/>
        <w:rPr>
          <w:rFonts w:cs="Arial"/>
        </w:rPr>
      </w:pPr>
      <w:r w:rsidRPr="00410DE9">
        <w:rPr>
          <w:rFonts w:cs="Arial"/>
        </w:rPr>
        <w:t>1.3.1.1. Colaborar con el INFONAVIT a través del convenio "Aliados por la Vivienda" para facilitar la recuperación de viviendas para su comercialización</w:t>
      </w:r>
    </w:p>
    <w:p w14:paraId="5C7FBFDB" w14:textId="77777777" w:rsidR="00363FFA" w:rsidRPr="00410DE9" w:rsidRDefault="00363FFA" w:rsidP="00B205BA">
      <w:pPr>
        <w:spacing w:after="120" w:line="240" w:lineRule="auto"/>
        <w:rPr>
          <w:rFonts w:cs="Arial"/>
        </w:rPr>
      </w:pPr>
      <w:r w:rsidRPr="00410DE9">
        <w:rPr>
          <w:rFonts w:cs="Arial"/>
        </w:rPr>
        <w:t>1.3.1.2. Recuperar, rehabilitar y comercializar viviendas en el municipio de Hermosillo a través de los programas institucionales.</w:t>
      </w:r>
    </w:p>
    <w:p w14:paraId="2BF02E65" w14:textId="77777777" w:rsidR="00363FFA" w:rsidRPr="00410DE9" w:rsidRDefault="00363FFA" w:rsidP="00B205BA">
      <w:pPr>
        <w:spacing w:after="120" w:line="240" w:lineRule="auto"/>
        <w:rPr>
          <w:rFonts w:cs="Arial"/>
        </w:rPr>
      </w:pPr>
      <w:r w:rsidRPr="00410DE9">
        <w:rPr>
          <w:rFonts w:cs="Arial"/>
        </w:rPr>
        <w:t>1.3.1.3. Asignar lotes a las familias que reúnan los requisitos documentales necesarios para regular la posesión de su predio.</w:t>
      </w:r>
    </w:p>
    <w:p w14:paraId="38309981" w14:textId="77777777" w:rsidR="00363FFA" w:rsidRPr="00410DE9" w:rsidRDefault="00363FFA" w:rsidP="00B205BA">
      <w:pPr>
        <w:spacing w:after="120" w:line="240" w:lineRule="auto"/>
        <w:rPr>
          <w:rFonts w:cs="Arial"/>
        </w:rPr>
      </w:pPr>
      <w:r w:rsidRPr="00410DE9">
        <w:rPr>
          <w:rFonts w:cs="Arial"/>
        </w:rPr>
        <w:t>1.3.1.4. Otorgar títulos de propiedad a quienes hayan cumplido con los compromisos de liquidación de sus adeudos.</w:t>
      </w:r>
    </w:p>
    <w:p w14:paraId="3B7DC846" w14:textId="77777777" w:rsidR="00363FFA" w:rsidRPr="00363FFA" w:rsidRDefault="00363FFA" w:rsidP="00B205BA">
      <w:pPr>
        <w:spacing w:after="120" w:line="240" w:lineRule="auto"/>
        <w:rPr>
          <w:rFonts w:cs="Arial"/>
          <w:b/>
          <w:bCs/>
        </w:rPr>
      </w:pPr>
      <w:r w:rsidRPr="00363FFA">
        <w:rPr>
          <w:rFonts w:cs="Arial"/>
          <w:b/>
          <w:bCs/>
        </w:rPr>
        <w:t>Estrategia 1.3.2. Fortalecer las finanzas de la entidad a través del abatimiento de la cartera vencida, incremento de la capacidad recaudatoria y comercialización de activos.</w:t>
      </w:r>
    </w:p>
    <w:p w14:paraId="6378FA2C" w14:textId="77777777" w:rsidR="00363FFA" w:rsidRPr="00410DE9" w:rsidRDefault="00363FFA" w:rsidP="00B205BA">
      <w:pPr>
        <w:spacing w:after="120" w:line="240" w:lineRule="auto"/>
        <w:rPr>
          <w:rFonts w:cs="Arial"/>
        </w:rPr>
      </w:pPr>
      <w:r w:rsidRPr="00410DE9">
        <w:rPr>
          <w:rFonts w:cs="Arial"/>
        </w:rPr>
        <w:t>Líneas de acción:</w:t>
      </w:r>
    </w:p>
    <w:p w14:paraId="33225489" w14:textId="77777777" w:rsidR="00363FFA" w:rsidRPr="00410DE9" w:rsidRDefault="00363FFA" w:rsidP="00B205BA">
      <w:pPr>
        <w:spacing w:after="120" w:line="240" w:lineRule="auto"/>
        <w:rPr>
          <w:rFonts w:cs="Arial"/>
        </w:rPr>
      </w:pPr>
      <w:r w:rsidRPr="00410DE9">
        <w:rPr>
          <w:rFonts w:cs="Arial"/>
        </w:rPr>
        <w:lastRenderedPageBreak/>
        <w:t>1.3.2.1. Realizar un diagnóstico de la cartera vencida para la toma de decisiones con el fin de mejorar la estrategia de recaudación.</w:t>
      </w:r>
    </w:p>
    <w:p w14:paraId="4711CA7C" w14:textId="77777777" w:rsidR="00363FFA" w:rsidRPr="00410DE9" w:rsidRDefault="00363FFA" w:rsidP="00B205BA">
      <w:pPr>
        <w:spacing w:after="120" w:line="240" w:lineRule="auto"/>
        <w:rPr>
          <w:rFonts w:cs="Arial"/>
        </w:rPr>
      </w:pPr>
      <w:r w:rsidRPr="00410DE9">
        <w:rPr>
          <w:rFonts w:cs="Arial"/>
        </w:rPr>
        <w:t>1.3.2.2. Realizar campañas informativas dirigidas a la población en general sobre las facilidades de pago disponibles.</w:t>
      </w:r>
    </w:p>
    <w:p w14:paraId="1091D22A" w14:textId="77777777" w:rsidR="00363FFA" w:rsidRPr="00410DE9" w:rsidRDefault="00363FFA" w:rsidP="00B205BA">
      <w:pPr>
        <w:spacing w:after="120" w:line="240" w:lineRule="auto"/>
        <w:rPr>
          <w:rFonts w:cs="Arial"/>
        </w:rPr>
      </w:pPr>
      <w:r w:rsidRPr="00410DE9">
        <w:rPr>
          <w:rFonts w:cs="Arial"/>
        </w:rPr>
        <w:t>1.3.2.3. Gestionar con asignatarios las cuentas saldadas que aún no han iniciado el trámite de titulación.</w:t>
      </w:r>
    </w:p>
    <w:p w14:paraId="453843F0" w14:textId="77777777" w:rsidR="00363FFA" w:rsidRPr="00410DE9" w:rsidRDefault="00363FFA" w:rsidP="00B205BA">
      <w:pPr>
        <w:spacing w:after="120" w:line="240" w:lineRule="auto"/>
        <w:rPr>
          <w:rFonts w:cs="Arial"/>
        </w:rPr>
      </w:pPr>
      <w:r w:rsidRPr="00410DE9">
        <w:rPr>
          <w:rFonts w:cs="Arial"/>
        </w:rPr>
        <w:t>1.3.2.4. Comercializar los activos de Promotora Inmobiliaria y Sindicatura para coadyuvar al fortalecimiento financiero de la dependencia</w:t>
      </w:r>
    </w:p>
    <w:p w14:paraId="1A932E40" w14:textId="77777777" w:rsidR="00363FFA" w:rsidRPr="00363FFA" w:rsidRDefault="00363FFA" w:rsidP="00B205BA">
      <w:pPr>
        <w:spacing w:after="120" w:line="240" w:lineRule="auto"/>
        <w:rPr>
          <w:rFonts w:cs="Arial"/>
          <w:b/>
          <w:bCs/>
        </w:rPr>
      </w:pPr>
      <w:r w:rsidRPr="00363FFA">
        <w:rPr>
          <w:rFonts w:cs="Arial"/>
          <w:b/>
          <w:bCs/>
        </w:rPr>
        <w:t>Reto 1.4. Minimizar el riesgo de incendios en establecimientos comerciales y eventos masivos, además de reducir la cantidad de comercios que operan de manera irregular en materia de protección civil.</w:t>
      </w:r>
    </w:p>
    <w:p w14:paraId="00B6A09E" w14:textId="30045CEC" w:rsidR="00711FD9" w:rsidRPr="00B205BA" w:rsidRDefault="00363FFA" w:rsidP="00B205BA">
      <w:pPr>
        <w:spacing w:after="120" w:line="240" w:lineRule="auto"/>
        <w:rPr>
          <w:rFonts w:cs="Arial"/>
          <w:b/>
          <w:bCs/>
        </w:rPr>
      </w:pPr>
      <w:r w:rsidRPr="00363FFA">
        <w:rPr>
          <w:rFonts w:cs="Arial"/>
          <w:b/>
          <w:bCs/>
        </w:rPr>
        <w:t>Estrategia 1.4.1. Reducir la cantidad de comercios que operan de manera irregular en materia de Protección Civil para minimizar los riesgos de seguridad en establecimientos comerciales y eventos masivos, en conformidad con las leyes y reglamentos vigentes.</w:t>
      </w:r>
    </w:p>
    <w:p w14:paraId="18F97A4C" w14:textId="29DF907C" w:rsidR="00363FFA" w:rsidRPr="00410DE9" w:rsidRDefault="00363FFA" w:rsidP="00B205BA">
      <w:pPr>
        <w:spacing w:after="120" w:line="240" w:lineRule="auto"/>
        <w:rPr>
          <w:rFonts w:cs="Arial"/>
        </w:rPr>
      </w:pPr>
      <w:r w:rsidRPr="00410DE9">
        <w:rPr>
          <w:rFonts w:cs="Arial"/>
        </w:rPr>
        <w:t>Líneas de acción:</w:t>
      </w:r>
    </w:p>
    <w:p w14:paraId="35D57C91" w14:textId="77777777" w:rsidR="00363FFA" w:rsidRPr="00410DE9" w:rsidRDefault="00363FFA" w:rsidP="00B205BA">
      <w:pPr>
        <w:spacing w:after="120" w:line="240" w:lineRule="auto"/>
        <w:rPr>
          <w:rFonts w:cs="Arial"/>
        </w:rPr>
      </w:pPr>
      <w:r w:rsidRPr="00410DE9">
        <w:rPr>
          <w:rFonts w:cs="Arial"/>
        </w:rPr>
        <w:t>1.4.1.1. Dictaminar los dispositivos del sistema contra incendios y protección civil en inmuebles, así como dictaminar y autorizar planos, proyectos de edificación del sistema contra incendios y terminación de obra antes de su ocupación.</w:t>
      </w:r>
    </w:p>
    <w:p w14:paraId="5A18A10A" w14:textId="77777777" w:rsidR="00363FFA" w:rsidRPr="00410DE9" w:rsidRDefault="00363FFA" w:rsidP="00B205BA">
      <w:pPr>
        <w:spacing w:after="120" w:line="240" w:lineRule="auto"/>
        <w:rPr>
          <w:rFonts w:cs="Arial"/>
        </w:rPr>
      </w:pPr>
      <w:r w:rsidRPr="00410DE9">
        <w:rPr>
          <w:rFonts w:cs="Arial"/>
        </w:rPr>
        <w:t>1.4.1.2. Dictaminar los dispositivos contra incendios en lugares donde se realicen espectáculos públicos y privados de concentración masiva y de duración temporal.</w:t>
      </w:r>
    </w:p>
    <w:p w14:paraId="7DE6D8B7" w14:textId="77777777" w:rsidR="00363FFA" w:rsidRPr="00410DE9" w:rsidRDefault="00363FFA" w:rsidP="00B205BA">
      <w:pPr>
        <w:spacing w:after="120" w:line="240" w:lineRule="auto"/>
        <w:rPr>
          <w:rFonts w:cs="Arial"/>
        </w:rPr>
      </w:pPr>
      <w:r w:rsidRPr="00410DE9">
        <w:rPr>
          <w:rFonts w:cs="Arial"/>
        </w:rPr>
        <w:t>1.4.1.3. Notificar en corredores comerciales mediante inspecciones hechas por los servidores públicos de protección civil.</w:t>
      </w:r>
    </w:p>
    <w:p w14:paraId="1C14EDC0" w14:textId="77777777" w:rsidR="00363FFA" w:rsidRPr="00363FFA" w:rsidRDefault="00363FFA" w:rsidP="00B205BA">
      <w:pPr>
        <w:spacing w:after="120" w:line="240" w:lineRule="auto"/>
        <w:rPr>
          <w:rFonts w:cs="Arial"/>
          <w:b/>
          <w:bCs/>
        </w:rPr>
      </w:pPr>
      <w:r w:rsidRPr="00363FFA">
        <w:rPr>
          <w:rFonts w:cs="Arial"/>
          <w:b/>
          <w:bCs/>
        </w:rPr>
        <w:t>Estrategia 1.4.2. Reforzar la colaboración en protección civil para la respuesta a desastres, promoviendo una cultura de protección civil con acciones constantes y atención inmediata.</w:t>
      </w:r>
    </w:p>
    <w:p w14:paraId="69F1AF98" w14:textId="77777777" w:rsidR="00363FFA" w:rsidRPr="00410DE9" w:rsidRDefault="00363FFA" w:rsidP="00B205BA">
      <w:pPr>
        <w:spacing w:after="120" w:line="240" w:lineRule="auto"/>
        <w:rPr>
          <w:rFonts w:cs="Arial"/>
        </w:rPr>
      </w:pPr>
      <w:r w:rsidRPr="00410DE9">
        <w:rPr>
          <w:rFonts w:cs="Arial"/>
        </w:rPr>
        <w:t xml:space="preserve">Líneas de acción: </w:t>
      </w:r>
    </w:p>
    <w:p w14:paraId="77EA5A0B" w14:textId="77777777" w:rsidR="00363FFA" w:rsidRPr="00410DE9" w:rsidRDefault="00363FFA" w:rsidP="00B205BA">
      <w:pPr>
        <w:spacing w:after="120" w:line="240" w:lineRule="auto"/>
        <w:rPr>
          <w:rFonts w:cs="Arial"/>
        </w:rPr>
      </w:pPr>
      <w:r w:rsidRPr="00410DE9">
        <w:rPr>
          <w:rFonts w:cs="Arial"/>
        </w:rPr>
        <w:t>1.4.2.1. Formar a la población en general, a las empresas que lo necesiten y a los empleados del H. Ayuntamiento de Hermosillo en temas de protección civil.</w:t>
      </w:r>
    </w:p>
    <w:p w14:paraId="748D538D" w14:textId="77777777" w:rsidR="00363FFA" w:rsidRPr="00410DE9" w:rsidRDefault="00363FFA" w:rsidP="00B205BA">
      <w:pPr>
        <w:spacing w:after="120" w:line="240" w:lineRule="auto"/>
        <w:rPr>
          <w:rFonts w:cs="Arial"/>
        </w:rPr>
      </w:pPr>
      <w:r w:rsidRPr="00410DE9">
        <w:rPr>
          <w:rFonts w:cs="Arial"/>
        </w:rPr>
        <w:t>1.4.2.2. Fomentar una cultura de protección civil en la población a través de acciones continuas de educación e información sobre los lineamientos y la normativa vigente.</w:t>
      </w:r>
    </w:p>
    <w:p w14:paraId="6CCB364A" w14:textId="77777777" w:rsidR="00363FFA" w:rsidRPr="00363FFA" w:rsidRDefault="00363FFA" w:rsidP="00B205BA">
      <w:pPr>
        <w:spacing w:after="120" w:line="240" w:lineRule="auto"/>
        <w:rPr>
          <w:rFonts w:cs="Arial"/>
          <w:b/>
          <w:bCs/>
        </w:rPr>
      </w:pPr>
      <w:r w:rsidRPr="00363FFA">
        <w:rPr>
          <w:rFonts w:cs="Arial"/>
          <w:b/>
          <w:bCs/>
        </w:rPr>
        <w:t>Reto 1.5. Garantizar a la ciudadanía la posibilidad de comprar productos seguros y confiables de extintores, los cuales cumplan con la normativa vigente.</w:t>
      </w:r>
    </w:p>
    <w:p w14:paraId="4AEEAEA4" w14:textId="77777777" w:rsidR="00363FFA" w:rsidRPr="00363FFA" w:rsidRDefault="00363FFA" w:rsidP="00B205BA">
      <w:pPr>
        <w:spacing w:after="120" w:line="240" w:lineRule="auto"/>
        <w:rPr>
          <w:rFonts w:cs="Arial"/>
          <w:b/>
          <w:bCs/>
        </w:rPr>
      </w:pPr>
      <w:r w:rsidRPr="00363FFA">
        <w:rPr>
          <w:rFonts w:cs="Arial"/>
          <w:b/>
          <w:bCs/>
        </w:rPr>
        <w:t>Estrategia 1.5.1. Realizar acciones para detectar y sancionar a empresas que venden extintores sin el registro correspondiente.</w:t>
      </w:r>
    </w:p>
    <w:p w14:paraId="41AEA9DC" w14:textId="77777777" w:rsidR="00363FFA" w:rsidRPr="00410DE9" w:rsidRDefault="00363FFA" w:rsidP="00B205BA">
      <w:pPr>
        <w:spacing w:after="120" w:line="240" w:lineRule="auto"/>
        <w:rPr>
          <w:rFonts w:cs="Arial"/>
        </w:rPr>
      </w:pPr>
      <w:r w:rsidRPr="00410DE9">
        <w:rPr>
          <w:rFonts w:cs="Arial"/>
        </w:rPr>
        <w:t xml:space="preserve">Líneas de acción: </w:t>
      </w:r>
    </w:p>
    <w:p w14:paraId="64B7466B" w14:textId="77777777" w:rsidR="00363FFA" w:rsidRPr="00410DE9" w:rsidRDefault="00363FFA" w:rsidP="00B205BA">
      <w:pPr>
        <w:spacing w:after="120" w:line="240" w:lineRule="auto"/>
        <w:rPr>
          <w:rFonts w:cs="Arial"/>
        </w:rPr>
      </w:pPr>
      <w:r w:rsidRPr="00410DE9">
        <w:rPr>
          <w:rFonts w:cs="Arial"/>
        </w:rPr>
        <w:t>1.5.1.1. Actualizar el Registro de personas físicas y morales dedicadas a la venta, mantenimiento, carga y recarga de extintores portátiles.</w:t>
      </w:r>
    </w:p>
    <w:p w14:paraId="66156D7B" w14:textId="77777777" w:rsidR="00363FFA" w:rsidRPr="00410DE9" w:rsidRDefault="00363FFA" w:rsidP="00B205BA">
      <w:pPr>
        <w:spacing w:after="120" w:line="240" w:lineRule="auto"/>
        <w:rPr>
          <w:rFonts w:cs="Arial"/>
        </w:rPr>
      </w:pPr>
      <w:r w:rsidRPr="00410DE9">
        <w:rPr>
          <w:rFonts w:cs="Arial"/>
        </w:rPr>
        <w:t>1.5.1.2. Coordinar el Comité Operativo de Emergencias, que incluya a dependencias de los tres niveles de gobierno y asociaciones civiles, con el fin de proteger la integridad física de las personas.</w:t>
      </w:r>
    </w:p>
    <w:p w14:paraId="5F15F620" w14:textId="77777777" w:rsidR="00363FFA" w:rsidRPr="00410DE9" w:rsidRDefault="00363FFA" w:rsidP="00B205BA">
      <w:pPr>
        <w:spacing w:after="120" w:line="240" w:lineRule="auto"/>
        <w:rPr>
          <w:rFonts w:cs="Arial"/>
        </w:rPr>
      </w:pPr>
      <w:r w:rsidRPr="00410DE9">
        <w:rPr>
          <w:rFonts w:cs="Arial"/>
        </w:rPr>
        <w:lastRenderedPageBreak/>
        <w:t>1.5.1.3. Elaborar los programas especiales de protección civil para la prevención y salvaguardar la integridad de los ciudadanos previo a un peligro o riesgo específico derivado de un agente perturbador y/o temporalidad.</w:t>
      </w:r>
    </w:p>
    <w:p w14:paraId="5E1D25E7" w14:textId="39AE7CA1" w:rsidR="00711FD9" w:rsidRPr="00261A27" w:rsidRDefault="00363FFA" w:rsidP="00B205BA">
      <w:pPr>
        <w:spacing w:after="120" w:line="240" w:lineRule="auto"/>
        <w:rPr>
          <w:rFonts w:cs="Arial"/>
          <w:b/>
          <w:bCs/>
        </w:rPr>
      </w:pPr>
      <w:r w:rsidRPr="00363FFA">
        <w:rPr>
          <w:rFonts w:cs="Arial"/>
          <w:b/>
          <w:bCs/>
        </w:rPr>
        <w:t>Estrategia 1.5.2. Analizar los riesgos recurrentes en el municipio de Hermosillo y generar esquemas de comunicación y coordinación para la prevención de pérdidas humanas, materiales y ecológicas causadas por incendios y otras situaciones de emergencia.</w:t>
      </w:r>
    </w:p>
    <w:p w14:paraId="7C204D04" w14:textId="638AC7BA" w:rsidR="00363FFA" w:rsidRPr="00410DE9" w:rsidRDefault="00363FFA" w:rsidP="00B205BA">
      <w:pPr>
        <w:spacing w:after="120" w:line="240" w:lineRule="auto"/>
        <w:rPr>
          <w:rFonts w:cs="Arial"/>
        </w:rPr>
      </w:pPr>
      <w:r w:rsidRPr="00410DE9">
        <w:rPr>
          <w:rFonts w:cs="Arial"/>
        </w:rPr>
        <w:t xml:space="preserve">Líneas de acción: </w:t>
      </w:r>
    </w:p>
    <w:p w14:paraId="7E377AFA" w14:textId="77777777" w:rsidR="00363FFA" w:rsidRPr="00410DE9" w:rsidRDefault="00363FFA" w:rsidP="00B205BA">
      <w:pPr>
        <w:spacing w:after="120" w:line="240" w:lineRule="auto"/>
        <w:rPr>
          <w:rFonts w:cs="Arial"/>
        </w:rPr>
      </w:pPr>
      <w:r w:rsidRPr="00410DE9">
        <w:rPr>
          <w:rFonts w:cs="Arial"/>
        </w:rPr>
        <w:t>1.5.2.1. Responder de manera eficaz a los reportes de contingencias, emergencias y problemas que los ciudadanos presenten.</w:t>
      </w:r>
    </w:p>
    <w:p w14:paraId="3175B1A5" w14:textId="77777777" w:rsidR="00363FFA" w:rsidRPr="00410DE9" w:rsidRDefault="00363FFA" w:rsidP="00B205BA">
      <w:pPr>
        <w:spacing w:after="120" w:line="240" w:lineRule="auto"/>
        <w:rPr>
          <w:rFonts w:cs="Arial"/>
        </w:rPr>
      </w:pPr>
      <w:r w:rsidRPr="00410DE9">
        <w:rPr>
          <w:rFonts w:cs="Arial"/>
        </w:rPr>
        <w:t>1.5.2.2. Coordinar de manera interinstitucional con las dependencias competentes las problemáticas y emergencias denunciadas, buscando mitigar y solucionar las situaciones</w:t>
      </w:r>
    </w:p>
    <w:p w14:paraId="0B2CE548" w14:textId="77777777" w:rsidR="00363FFA" w:rsidRPr="00363FFA" w:rsidRDefault="00363FFA" w:rsidP="00B205BA">
      <w:pPr>
        <w:spacing w:after="120" w:line="240" w:lineRule="auto"/>
        <w:rPr>
          <w:rFonts w:cs="Arial"/>
          <w:b/>
          <w:bCs/>
        </w:rPr>
      </w:pPr>
      <w:r w:rsidRPr="00363FFA">
        <w:rPr>
          <w:rFonts w:cs="Arial"/>
          <w:b/>
          <w:bCs/>
        </w:rPr>
        <w:t>Estrategia 1.5.3. Proporcionar certeza a la sociedad de una atención y actuación expedita del cuerpo de bomberos en situaciones de emergencia, además de implementar un programa de capacitación y difusión para la formación de los ciudadanos sobre la prevención de accidentes.</w:t>
      </w:r>
    </w:p>
    <w:p w14:paraId="5464A291" w14:textId="77777777" w:rsidR="00363FFA" w:rsidRPr="00410DE9" w:rsidRDefault="00363FFA" w:rsidP="00B205BA">
      <w:pPr>
        <w:spacing w:after="120" w:line="240" w:lineRule="auto"/>
        <w:rPr>
          <w:rFonts w:cs="Arial"/>
        </w:rPr>
      </w:pPr>
      <w:r w:rsidRPr="00410DE9">
        <w:rPr>
          <w:rFonts w:cs="Arial"/>
        </w:rPr>
        <w:t>Líneas de acción:</w:t>
      </w:r>
    </w:p>
    <w:p w14:paraId="33BD8359" w14:textId="77777777" w:rsidR="00363FFA" w:rsidRPr="00410DE9" w:rsidRDefault="00363FFA" w:rsidP="00B205BA">
      <w:pPr>
        <w:spacing w:after="120" w:line="240" w:lineRule="auto"/>
        <w:rPr>
          <w:rFonts w:cs="Arial"/>
        </w:rPr>
      </w:pPr>
      <w:r w:rsidRPr="00410DE9">
        <w:rPr>
          <w:rFonts w:cs="Arial"/>
        </w:rPr>
        <w:t>1.5.3.1. Responder en apego a protocolo y tiempos de respuesta establecidos a los servicios de incendios y otras emergencias solicitados por la comunidad en el territorio municipal.</w:t>
      </w:r>
    </w:p>
    <w:p w14:paraId="0864ABAD" w14:textId="77777777" w:rsidR="00363FFA" w:rsidRPr="00410DE9" w:rsidRDefault="00363FFA" w:rsidP="00B205BA">
      <w:pPr>
        <w:spacing w:after="120" w:line="240" w:lineRule="auto"/>
        <w:rPr>
          <w:rFonts w:cs="Arial"/>
        </w:rPr>
      </w:pPr>
      <w:r w:rsidRPr="00410DE9">
        <w:rPr>
          <w:rFonts w:cs="Arial"/>
        </w:rPr>
        <w:t>1.5.3.2. Fomentar una cultura de prevención y autoprotección entre la ciudadanía a través de diversas actividades para tal propósito.</w:t>
      </w:r>
    </w:p>
    <w:p w14:paraId="191AC41F" w14:textId="77777777" w:rsidR="00363FFA" w:rsidRPr="00410DE9" w:rsidRDefault="00363FFA" w:rsidP="00B205BA">
      <w:pPr>
        <w:spacing w:after="120" w:line="240" w:lineRule="auto"/>
        <w:rPr>
          <w:rFonts w:cs="Arial"/>
        </w:rPr>
      </w:pPr>
      <w:r w:rsidRPr="00410DE9">
        <w:rPr>
          <w:rFonts w:cs="Arial"/>
        </w:rPr>
        <w:t>1.5.3.3. Formar al personal de bomberos en combate de incendios, atención a emergencias, así como en temas especializados, organizativos y jurídicos.</w:t>
      </w:r>
    </w:p>
    <w:p w14:paraId="32E29C8C" w14:textId="77777777" w:rsidR="00363FFA" w:rsidRPr="00410DE9" w:rsidRDefault="00363FFA" w:rsidP="00B205BA">
      <w:pPr>
        <w:spacing w:after="120" w:line="240" w:lineRule="auto"/>
        <w:rPr>
          <w:rFonts w:cs="Arial"/>
        </w:rPr>
      </w:pPr>
      <w:r w:rsidRPr="00410DE9">
        <w:rPr>
          <w:rFonts w:cs="Arial"/>
        </w:rPr>
        <w:t>1.5.3.4. Reforzar el equipamiento operativo correspondiente a unidades vehiculares de emergencia en condiciones de servicio, equipadas de herramienta adecuada y suficiente para brindar una atención efectiva en situaciones de emergencia.</w:t>
      </w:r>
    </w:p>
    <w:p w14:paraId="3A9C850B" w14:textId="77777777" w:rsidR="00363FFA" w:rsidRPr="00363FFA" w:rsidRDefault="00363FFA" w:rsidP="00B205BA">
      <w:pPr>
        <w:spacing w:after="120" w:line="240" w:lineRule="auto"/>
        <w:rPr>
          <w:rFonts w:cs="Arial"/>
          <w:b/>
          <w:bCs/>
        </w:rPr>
      </w:pPr>
      <w:r w:rsidRPr="00363FFA">
        <w:rPr>
          <w:rFonts w:cs="Arial"/>
          <w:b/>
          <w:bCs/>
        </w:rPr>
        <w:t>Reto 1.6. Promover el ejercicio efectivo de los derechos humanos de las mujeres y el acceso a una vida libre de violencia a través de espacios seguros donde se proporcione atención especializada y multidisciplinaria a las usuarias con un enfoque de desarrollo integral.</w:t>
      </w:r>
    </w:p>
    <w:p w14:paraId="21A8DD33" w14:textId="77777777" w:rsidR="00363FFA" w:rsidRPr="00363FFA" w:rsidRDefault="00363FFA" w:rsidP="00B205BA">
      <w:pPr>
        <w:spacing w:after="120" w:line="240" w:lineRule="auto"/>
        <w:rPr>
          <w:rFonts w:cs="Arial"/>
          <w:b/>
          <w:bCs/>
        </w:rPr>
      </w:pPr>
      <w:r w:rsidRPr="00363FFA">
        <w:rPr>
          <w:rFonts w:cs="Arial"/>
          <w:b/>
          <w:bCs/>
        </w:rPr>
        <w:t>Estrategia 1.6.1. Fortalecer los mecanismos de protección a mujeres de cualquier tipo de violencia que ponga en riesgo su integridad física y emocional, así como de sus hijas e hijos, todo ello en un marco de respeto a sus derechos humanos.</w:t>
      </w:r>
    </w:p>
    <w:p w14:paraId="663ABE13" w14:textId="77777777" w:rsidR="00363FFA" w:rsidRPr="00410DE9" w:rsidRDefault="00363FFA" w:rsidP="00B205BA">
      <w:pPr>
        <w:spacing w:after="120" w:line="240" w:lineRule="auto"/>
        <w:rPr>
          <w:rFonts w:cs="Arial"/>
        </w:rPr>
      </w:pPr>
      <w:r w:rsidRPr="00410DE9">
        <w:rPr>
          <w:rFonts w:cs="Arial"/>
        </w:rPr>
        <w:t>Líneas de acción:</w:t>
      </w:r>
    </w:p>
    <w:p w14:paraId="769AC2DB" w14:textId="77777777" w:rsidR="00363FFA" w:rsidRPr="00410DE9" w:rsidRDefault="00363FFA" w:rsidP="00B205BA">
      <w:pPr>
        <w:spacing w:after="120" w:line="240" w:lineRule="auto"/>
        <w:rPr>
          <w:rFonts w:cs="Arial"/>
        </w:rPr>
      </w:pPr>
      <w:r w:rsidRPr="00410DE9">
        <w:rPr>
          <w:rFonts w:cs="Arial"/>
        </w:rPr>
        <w:t>1.6.1.1. Otorgar protección integral a mujeres víctimas de violencia extrema, así como a sus hijas e hijos a través del refugio correspondiente.</w:t>
      </w:r>
    </w:p>
    <w:p w14:paraId="2A32313D" w14:textId="77777777" w:rsidR="00363FFA" w:rsidRPr="00410DE9" w:rsidRDefault="00363FFA" w:rsidP="00B205BA">
      <w:pPr>
        <w:spacing w:after="120" w:line="240" w:lineRule="auto"/>
        <w:rPr>
          <w:rFonts w:cs="Arial"/>
        </w:rPr>
      </w:pPr>
      <w:r w:rsidRPr="00410DE9">
        <w:rPr>
          <w:rFonts w:cs="Arial"/>
        </w:rPr>
        <w:t>1.6.1.2. Realizar actividades correspondientes al área de trabajo social.</w:t>
      </w:r>
    </w:p>
    <w:p w14:paraId="6297B75E" w14:textId="77777777" w:rsidR="00363FFA" w:rsidRPr="00410DE9" w:rsidRDefault="00363FFA" w:rsidP="00B205BA">
      <w:pPr>
        <w:spacing w:after="120" w:line="240" w:lineRule="auto"/>
        <w:rPr>
          <w:rFonts w:cs="Arial"/>
        </w:rPr>
      </w:pPr>
      <w:r w:rsidRPr="00410DE9">
        <w:rPr>
          <w:rFonts w:cs="Arial"/>
        </w:rPr>
        <w:t>1.6.1.3. Dar asesoría jurídica y acompañamiento a mujeres usuarias del refugio.</w:t>
      </w:r>
    </w:p>
    <w:p w14:paraId="7162728D" w14:textId="77777777" w:rsidR="00363FFA" w:rsidRPr="00410DE9" w:rsidRDefault="00363FFA" w:rsidP="00B205BA">
      <w:pPr>
        <w:spacing w:after="120" w:line="240" w:lineRule="auto"/>
        <w:rPr>
          <w:rFonts w:cs="Arial"/>
        </w:rPr>
      </w:pPr>
      <w:r w:rsidRPr="00410DE9">
        <w:rPr>
          <w:rFonts w:cs="Arial"/>
        </w:rPr>
        <w:t>1.6.1.4. Prestar atención psicológica especializada.</w:t>
      </w:r>
    </w:p>
    <w:p w14:paraId="68D19085" w14:textId="77777777" w:rsidR="00363FFA" w:rsidRPr="00410DE9" w:rsidRDefault="00363FFA" w:rsidP="00B205BA">
      <w:pPr>
        <w:spacing w:after="120" w:line="240" w:lineRule="auto"/>
        <w:rPr>
          <w:rFonts w:cs="Arial"/>
        </w:rPr>
      </w:pPr>
      <w:r w:rsidRPr="00410DE9">
        <w:rPr>
          <w:rFonts w:cs="Arial"/>
        </w:rPr>
        <w:t>1.6.1.5. Brindar atención psicológica a hijas e hijos de las mujeres que ingresan al refugio.</w:t>
      </w:r>
    </w:p>
    <w:p w14:paraId="4AA21D8D" w14:textId="77777777" w:rsidR="00363FFA" w:rsidRPr="00410DE9" w:rsidRDefault="00363FFA" w:rsidP="00B205BA">
      <w:pPr>
        <w:spacing w:after="120" w:line="240" w:lineRule="auto"/>
        <w:rPr>
          <w:rFonts w:cs="Arial"/>
        </w:rPr>
      </w:pPr>
      <w:r w:rsidRPr="00410DE9">
        <w:rPr>
          <w:rFonts w:cs="Arial"/>
        </w:rPr>
        <w:lastRenderedPageBreak/>
        <w:t>1.6.1.6. Promover la inserción laboral a través de diferentes talleres y cursos.</w:t>
      </w:r>
    </w:p>
    <w:p w14:paraId="48547EE4" w14:textId="77777777" w:rsidR="00363FFA" w:rsidRPr="00410DE9" w:rsidRDefault="00363FFA" w:rsidP="00B205BA">
      <w:pPr>
        <w:spacing w:after="120" w:line="240" w:lineRule="auto"/>
        <w:rPr>
          <w:rFonts w:cs="Arial"/>
        </w:rPr>
      </w:pPr>
      <w:r w:rsidRPr="00410DE9">
        <w:rPr>
          <w:rFonts w:cs="Arial"/>
        </w:rPr>
        <w:t>1.6.1.7. Proporcionar asesorías educativas a las niñas y niños durante su estancia.</w:t>
      </w:r>
    </w:p>
    <w:p w14:paraId="6C94D468" w14:textId="77777777" w:rsidR="00363FFA" w:rsidRPr="00410DE9" w:rsidRDefault="00363FFA" w:rsidP="00B205BA">
      <w:pPr>
        <w:spacing w:after="120" w:line="240" w:lineRule="auto"/>
        <w:rPr>
          <w:rFonts w:cs="Arial"/>
        </w:rPr>
      </w:pPr>
      <w:r w:rsidRPr="00410DE9">
        <w:rPr>
          <w:rFonts w:cs="Arial"/>
        </w:rPr>
        <w:t>1.6.1.8. Otorgar atención médica a través del área de enfermería a mujeres usuarias, sus hijas e hijos, así como referencia y acompañamiento a servicios especializados de salud para su atención integral.</w:t>
      </w:r>
    </w:p>
    <w:p w14:paraId="24A582FC" w14:textId="77777777" w:rsidR="00363FFA" w:rsidRPr="00363FFA" w:rsidRDefault="00363FFA" w:rsidP="00B205BA">
      <w:pPr>
        <w:spacing w:after="120" w:line="240" w:lineRule="auto"/>
        <w:rPr>
          <w:rFonts w:cs="Arial"/>
          <w:b/>
          <w:bCs/>
        </w:rPr>
      </w:pPr>
      <w:r w:rsidRPr="00363FFA">
        <w:rPr>
          <w:rFonts w:cs="Arial"/>
          <w:b/>
          <w:bCs/>
        </w:rPr>
        <w:t>Estrategia 1.6.2. Proveer de atención especializada y multidisciplinaria vía telefónica y presencial a mujeres víctimas de violencia de género y referirlas a la autoridad competente de ser el caso, impartir talleres ocupacionales y pláticas a usuarias del centro de atención, y a diversas instituciones o instancias, talleres y capacitación a las mujeres usuarias para su inserción laboral.</w:t>
      </w:r>
    </w:p>
    <w:p w14:paraId="7C9EB1EB" w14:textId="77777777" w:rsidR="00363FFA" w:rsidRPr="00410DE9" w:rsidRDefault="00363FFA" w:rsidP="00B205BA">
      <w:pPr>
        <w:spacing w:after="120" w:line="240" w:lineRule="auto"/>
        <w:rPr>
          <w:rFonts w:cs="Arial"/>
        </w:rPr>
      </w:pPr>
      <w:r w:rsidRPr="00410DE9">
        <w:rPr>
          <w:rFonts w:cs="Arial"/>
        </w:rPr>
        <w:t>Líneas de acción:</w:t>
      </w:r>
      <w:r w:rsidRPr="00410DE9">
        <w:rPr>
          <w:rFonts w:cs="Arial"/>
        </w:rPr>
        <w:tab/>
      </w:r>
    </w:p>
    <w:p w14:paraId="6F1C834C" w14:textId="77777777" w:rsidR="00363FFA" w:rsidRPr="00410DE9" w:rsidRDefault="00363FFA" w:rsidP="00B205BA">
      <w:pPr>
        <w:spacing w:after="120" w:line="240" w:lineRule="auto"/>
        <w:rPr>
          <w:rFonts w:cs="Arial"/>
        </w:rPr>
      </w:pPr>
      <w:r w:rsidRPr="00410DE9">
        <w:rPr>
          <w:rFonts w:cs="Arial"/>
        </w:rPr>
        <w:t>1.6.2.1. Realizar servicios especializados de trabajo social a mujeres usuarias del centro de atención, y a sus hijas e hijos de ser el caso.</w:t>
      </w:r>
    </w:p>
    <w:p w14:paraId="33E5EF6C" w14:textId="77777777" w:rsidR="00363FFA" w:rsidRPr="00410DE9" w:rsidRDefault="00363FFA" w:rsidP="00B205BA">
      <w:pPr>
        <w:spacing w:after="120" w:line="240" w:lineRule="auto"/>
        <w:rPr>
          <w:rFonts w:cs="Arial"/>
        </w:rPr>
      </w:pPr>
      <w:r w:rsidRPr="00410DE9">
        <w:rPr>
          <w:rFonts w:cs="Arial"/>
        </w:rPr>
        <w:t>1.6.2.2. Otorgar asesoría jurídica especializada, acompañamiento, gestiones, a mujeres incluidas mujeres víctimas de violencia.</w:t>
      </w:r>
    </w:p>
    <w:p w14:paraId="171EE2F8" w14:textId="77777777" w:rsidR="00363FFA" w:rsidRPr="00410DE9" w:rsidRDefault="00363FFA" w:rsidP="00B205BA">
      <w:pPr>
        <w:spacing w:after="120" w:line="240" w:lineRule="auto"/>
        <w:rPr>
          <w:rFonts w:cs="Arial"/>
        </w:rPr>
      </w:pPr>
      <w:r w:rsidRPr="00410DE9">
        <w:rPr>
          <w:rFonts w:cs="Arial"/>
        </w:rPr>
        <w:t>1.6.2.3. Proporcionar atención psicológica a mujeres usuarias, incluidas mujeres víctimas de violencia y a sus hijas e hijos de ser el caso, de manera individual y grupal.</w:t>
      </w:r>
    </w:p>
    <w:p w14:paraId="16F60AAE" w14:textId="77777777" w:rsidR="00363FFA" w:rsidRPr="00410DE9" w:rsidRDefault="00363FFA" w:rsidP="00B205BA">
      <w:pPr>
        <w:spacing w:after="120" w:line="240" w:lineRule="auto"/>
        <w:rPr>
          <w:rFonts w:cs="Arial"/>
        </w:rPr>
      </w:pPr>
      <w:r w:rsidRPr="00410DE9">
        <w:rPr>
          <w:rFonts w:cs="Arial"/>
        </w:rPr>
        <w:t>1.6.2.4. Conformar grupos de auto ayuda para las usuarias.</w:t>
      </w:r>
    </w:p>
    <w:p w14:paraId="78046CBB" w14:textId="77777777" w:rsidR="00363FFA" w:rsidRPr="00410DE9" w:rsidRDefault="00363FFA" w:rsidP="00B205BA">
      <w:pPr>
        <w:spacing w:after="120" w:line="240" w:lineRule="auto"/>
        <w:rPr>
          <w:rFonts w:cs="Arial"/>
        </w:rPr>
      </w:pPr>
      <w:r w:rsidRPr="00410DE9">
        <w:rPr>
          <w:rFonts w:cs="Arial"/>
        </w:rPr>
        <w:t>1.6.2.5. Realizar talleres ocupacionales para las mujeres.</w:t>
      </w:r>
    </w:p>
    <w:p w14:paraId="5CCC32A0" w14:textId="77777777" w:rsidR="00363FFA" w:rsidRPr="00363FFA" w:rsidRDefault="00363FFA" w:rsidP="00B205BA">
      <w:pPr>
        <w:spacing w:after="120" w:line="240" w:lineRule="auto"/>
        <w:rPr>
          <w:rFonts w:cs="Arial"/>
          <w:b/>
          <w:bCs/>
        </w:rPr>
      </w:pPr>
      <w:r w:rsidRPr="00363FFA">
        <w:rPr>
          <w:rFonts w:cs="Arial"/>
          <w:b/>
          <w:bCs/>
        </w:rPr>
        <w:t>Reto 1.7. Fortalecer la presencia y participación política de las mujeres en todos los ámbitos a través de la promoción al reconocimiento social de sus aportaciones y actividades, que fomenten su empoderamiento social, cultural y económico, con el propósito de prevenir cualquier tipo de violencia bajo la perspectiva de género, interculturalidad, la eliminación de estereotipos y cultura de paz.</w:t>
      </w:r>
    </w:p>
    <w:p w14:paraId="20BF0529" w14:textId="77777777" w:rsidR="00363FFA" w:rsidRPr="00363FFA" w:rsidRDefault="00363FFA" w:rsidP="00B205BA">
      <w:pPr>
        <w:spacing w:after="120" w:line="240" w:lineRule="auto"/>
        <w:rPr>
          <w:rFonts w:cs="Arial"/>
          <w:b/>
          <w:bCs/>
        </w:rPr>
      </w:pPr>
      <w:r w:rsidRPr="00363FFA">
        <w:rPr>
          <w:rFonts w:cs="Arial"/>
          <w:b/>
          <w:bCs/>
        </w:rPr>
        <w:t>Estrategia 1.7.1. Fortalecer la presencia e importancia de las mujeres y/o las niñas a través de eventos, contribuir en el empoderamiento de las niñas y mujeres de etnias asentadas en Hermosillo, promover el liderazgo y participación política de las mujeres.</w:t>
      </w:r>
    </w:p>
    <w:p w14:paraId="5B35B1FC" w14:textId="77777777" w:rsidR="00363FFA" w:rsidRPr="00410DE9" w:rsidRDefault="00363FFA" w:rsidP="00B205BA">
      <w:pPr>
        <w:spacing w:after="120" w:line="240" w:lineRule="auto"/>
        <w:rPr>
          <w:rFonts w:cs="Arial"/>
        </w:rPr>
      </w:pPr>
      <w:r w:rsidRPr="00410DE9">
        <w:rPr>
          <w:rFonts w:cs="Arial"/>
        </w:rPr>
        <w:t>Líneas de acción:</w:t>
      </w:r>
    </w:p>
    <w:p w14:paraId="35FA0450" w14:textId="77777777" w:rsidR="00363FFA" w:rsidRPr="00410DE9" w:rsidRDefault="00363FFA" w:rsidP="00B205BA">
      <w:pPr>
        <w:spacing w:after="120" w:line="240" w:lineRule="auto"/>
        <w:rPr>
          <w:rFonts w:cs="Arial"/>
        </w:rPr>
      </w:pPr>
      <w:r w:rsidRPr="00410DE9">
        <w:rPr>
          <w:rFonts w:cs="Arial"/>
        </w:rPr>
        <w:t>1.7.1.1. Realizar eventos de promoción económica y de conmemoración sobre el ejercicio de los derechos humanos con perspectiva de género, e interculturalidad.</w:t>
      </w:r>
    </w:p>
    <w:p w14:paraId="53843CE4" w14:textId="77777777" w:rsidR="00363FFA" w:rsidRPr="00410DE9" w:rsidRDefault="00363FFA" w:rsidP="00B205BA">
      <w:pPr>
        <w:spacing w:after="120" w:line="240" w:lineRule="auto"/>
        <w:rPr>
          <w:rFonts w:cs="Arial"/>
        </w:rPr>
      </w:pPr>
      <w:r w:rsidRPr="00410DE9">
        <w:rPr>
          <w:rFonts w:cs="Arial"/>
        </w:rPr>
        <w:t>1.7.1.2. Llevar a cabo capacitaciones sobre prevención de violencia contra las mujeres y las niñas de las etnias asentadas en Hermosillo.</w:t>
      </w:r>
    </w:p>
    <w:p w14:paraId="1320C9C7" w14:textId="77777777" w:rsidR="00363FFA" w:rsidRPr="00410DE9" w:rsidRDefault="00363FFA" w:rsidP="00B205BA">
      <w:pPr>
        <w:spacing w:after="120" w:line="240" w:lineRule="auto"/>
        <w:rPr>
          <w:rFonts w:cs="Arial"/>
        </w:rPr>
      </w:pPr>
      <w:r w:rsidRPr="00410DE9">
        <w:rPr>
          <w:rFonts w:cs="Arial"/>
        </w:rPr>
        <w:t>1.7.1.3. Proporcionar espacios para expresiones artísticas, con el objetivo de fomentar la reflexión sobre la importancia de las mujeres en la vida pública para una sociedad más igualitaria.</w:t>
      </w:r>
    </w:p>
    <w:p w14:paraId="6BE98DB0" w14:textId="77777777" w:rsidR="00363FFA" w:rsidRPr="00363FFA" w:rsidRDefault="00363FFA" w:rsidP="00B205BA">
      <w:pPr>
        <w:spacing w:after="120" w:line="240" w:lineRule="auto"/>
        <w:rPr>
          <w:rFonts w:cs="Arial"/>
          <w:b/>
          <w:bCs/>
        </w:rPr>
      </w:pPr>
      <w:r w:rsidRPr="00363FFA">
        <w:rPr>
          <w:rFonts w:cs="Arial"/>
          <w:b/>
          <w:bCs/>
        </w:rPr>
        <w:t>Estrategia 1.7.2. Crear espacios de reflexión e impulsar la capacitación sobre la prevención de las violencias hacia las mujeres, protocolos de seguridad, feminicidio y autocuidado.</w:t>
      </w:r>
    </w:p>
    <w:p w14:paraId="79ED9431" w14:textId="77777777" w:rsidR="00363FFA" w:rsidRPr="00410DE9" w:rsidRDefault="00363FFA" w:rsidP="00B205BA">
      <w:pPr>
        <w:spacing w:after="120" w:line="240" w:lineRule="auto"/>
        <w:rPr>
          <w:rFonts w:cs="Arial"/>
        </w:rPr>
      </w:pPr>
      <w:r w:rsidRPr="00410DE9">
        <w:rPr>
          <w:rFonts w:cs="Arial"/>
        </w:rPr>
        <w:t>Líneas de acción:</w:t>
      </w:r>
      <w:r w:rsidRPr="00410DE9">
        <w:rPr>
          <w:rFonts w:cs="Arial"/>
        </w:rPr>
        <w:tab/>
      </w:r>
    </w:p>
    <w:p w14:paraId="2A5B145D" w14:textId="77777777" w:rsidR="00363FFA" w:rsidRPr="00410DE9" w:rsidRDefault="00363FFA" w:rsidP="00B205BA">
      <w:pPr>
        <w:spacing w:after="120" w:line="240" w:lineRule="auto"/>
        <w:rPr>
          <w:rFonts w:cs="Arial"/>
        </w:rPr>
      </w:pPr>
      <w:r w:rsidRPr="00410DE9">
        <w:rPr>
          <w:rFonts w:cs="Arial"/>
        </w:rPr>
        <w:lastRenderedPageBreak/>
        <w:t>1.7.2.1. Brindar programas que fomenten la prevención de la violencia en todas sus modalidades y promuevan el desarrollo humano con perspectiva de género, así como fomentar la igualdad entre mujeres y hombres.</w:t>
      </w:r>
    </w:p>
    <w:p w14:paraId="0328F14E" w14:textId="77777777" w:rsidR="00363FFA" w:rsidRPr="00410DE9" w:rsidRDefault="00363FFA" w:rsidP="00B205BA">
      <w:pPr>
        <w:spacing w:after="120" w:line="240" w:lineRule="auto"/>
        <w:rPr>
          <w:rFonts w:cs="Arial"/>
        </w:rPr>
      </w:pPr>
      <w:r w:rsidRPr="00410DE9">
        <w:rPr>
          <w:rFonts w:cs="Arial"/>
        </w:rPr>
        <w:t>1.7.2.2. Impartir capacitaciones en empresas, dependencias y entidades del municipio de prevención y atención en la violencia laboral y acoso sexual.</w:t>
      </w:r>
    </w:p>
    <w:p w14:paraId="54BDF5AE" w14:textId="77777777" w:rsidR="00363FFA" w:rsidRPr="00410DE9" w:rsidRDefault="00363FFA" w:rsidP="00B205BA">
      <w:pPr>
        <w:spacing w:after="120" w:line="240" w:lineRule="auto"/>
        <w:rPr>
          <w:rFonts w:cs="Arial"/>
        </w:rPr>
      </w:pPr>
      <w:r w:rsidRPr="00410DE9">
        <w:rPr>
          <w:rFonts w:cs="Arial"/>
        </w:rPr>
        <w:t>1.7.2.3. Proporcionar talleres y terapias individuales y grupales de contención emocional dirigidas al personal de la Dirección General de Atención a la Mujer.</w:t>
      </w:r>
    </w:p>
    <w:p w14:paraId="168704D5" w14:textId="77777777" w:rsidR="00363FFA" w:rsidRPr="00410DE9" w:rsidRDefault="00363FFA" w:rsidP="00B205BA">
      <w:pPr>
        <w:spacing w:after="120" w:line="240" w:lineRule="auto"/>
        <w:rPr>
          <w:rFonts w:cs="Arial"/>
        </w:rPr>
      </w:pPr>
      <w:r w:rsidRPr="00410DE9">
        <w:rPr>
          <w:rFonts w:cs="Arial"/>
        </w:rPr>
        <w:t>1.7.2.4. Profesionalizar al personal de la Dirección General de Atención a la Mujer, sobre temas relacionados a la atención a mujeres víctimas de violencia de género.</w:t>
      </w:r>
    </w:p>
    <w:p w14:paraId="54D12A15" w14:textId="77777777" w:rsidR="00363FFA" w:rsidRPr="00363FFA" w:rsidRDefault="00363FFA" w:rsidP="00B205BA">
      <w:pPr>
        <w:spacing w:after="120" w:line="240" w:lineRule="auto"/>
        <w:rPr>
          <w:rFonts w:cs="Arial"/>
          <w:b/>
          <w:bCs/>
        </w:rPr>
      </w:pPr>
      <w:r w:rsidRPr="00363FFA">
        <w:rPr>
          <w:rFonts w:cs="Arial"/>
          <w:b/>
          <w:bCs/>
        </w:rPr>
        <w:t>Estrategia 1.7.3. Realizar actividades de empoderamiento social, cultural y económico en las colonias del municipio de Hermosillo, fomentando la cultura de la denuncia mediante la capacitación y asesoría legal, con el fin de prevenir cualquier tipo de violencia de género.</w:t>
      </w:r>
    </w:p>
    <w:p w14:paraId="77484523" w14:textId="77777777" w:rsidR="00363FFA" w:rsidRPr="00410DE9" w:rsidRDefault="00363FFA" w:rsidP="00B205BA">
      <w:pPr>
        <w:spacing w:after="120" w:line="240" w:lineRule="auto"/>
        <w:rPr>
          <w:rFonts w:cs="Arial"/>
        </w:rPr>
      </w:pPr>
      <w:r w:rsidRPr="00410DE9">
        <w:rPr>
          <w:rFonts w:cs="Arial"/>
        </w:rPr>
        <w:t>Líneas de acción:</w:t>
      </w:r>
    </w:p>
    <w:p w14:paraId="2A9143EE" w14:textId="77777777" w:rsidR="00363FFA" w:rsidRPr="00410DE9" w:rsidRDefault="00363FFA" w:rsidP="00B205BA">
      <w:pPr>
        <w:spacing w:after="120" w:line="240" w:lineRule="auto"/>
        <w:rPr>
          <w:rFonts w:cs="Arial"/>
        </w:rPr>
      </w:pPr>
      <w:r w:rsidRPr="00410DE9">
        <w:rPr>
          <w:rFonts w:cs="Arial"/>
        </w:rPr>
        <w:t>1.7.3.1. Organizar jornadas informativas en colonias del municipio de Hermosillo sobre los temas relacionados a desarrollo humano con perspectiva de género.</w:t>
      </w:r>
    </w:p>
    <w:p w14:paraId="21E7D0D0" w14:textId="77777777" w:rsidR="00363FFA" w:rsidRPr="00410DE9" w:rsidRDefault="00363FFA" w:rsidP="00B205BA">
      <w:pPr>
        <w:spacing w:after="120" w:line="240" w:lineRule="auto"/>
        <w:rPr>
          <w:rFonts w:cs="Arial"/>
        </w:rPr>
      </w:pPr>
      <w:r w:rsidRPr="00410DE9">
        <w:rPr>
          <w:rFonts w:cs="Arial"/>
        </w:rPr>
        <w:t>1.7.3.2. Impartir talleres de empoderamiento social, cultural, político y/o económico para mujeres del municipio.</w:t>
      </w:r>
    </w:p>
    <w:p w14:paraId="55427CC0" w14:textId="77777777" w:rsidR="00363FFA" w:rsidRPr="00410DE9" w:rsidRDefault="00363FFA" w:rsidP="00B205BA">
      <w:pPr>
        <w:spacing w:after="120" w:line="240" w:lineRule="auto"/>
        <w:rPr>
          <w:rFonts w:cs="Arial"/>
        </w:rPr>
      </w:pPr>
      <w:r w:rsidRPr="00410DE9">
        <w:rPr>
          <w:rFonts w:cs="Arial"/>
        </w:rPr>
        <w:t>1.7.3.3. Llevar a cabo actividades sobre prevención y atención en la violencia a niñas, niños y adolescentes.</w:t>
      </w:r>
    </w:p>
    <w:p w14:paraId="72B8ACA3" w14:textId="77777777" w:rsidR="00363FFA" w:rsidRPr="00410DE9" w:rsidRDefault="00363FFA" w:rsidP="00B205BA">
      <w:pPr>
        <w:spacing w:after="120" w:line="240" w:lineRule="auto"/>
        <w:rPr>
          <w:rFonts w:cs="Arial"/>
        </w:rPr>
      </w:pPr>
      <w:r w:rsidRPr="00410DE9">
        <w:rPr>
          <w:rFonts w:cs="Arial"/>
        </w:rPr>
        <w:t>1.7.3.4. Ofrecer capacitaciones a hombres en la comunidad sobre nuevas masculinidades.</w:t>
      </w:r>
    </w:p>
    <w:p w14:paraId="31C3CFB8" w14:textId="77777777" w:rsidR="00363FFA" w:rsidRPr="00363FFA" w:rsidRDefault="00363FFA" w:rsidP="00B205BA">
      <w:pPr>
        <w:spacing w:after="120" w:line="240" w:lineRule="auto"/>
        <w:rPr>
          <w:rFonts w:cs="Arial"/>
          <w:b/>
          <w:bCs/>
        </w:rPr>
      </w:pPr>
      <w:r w:rsidRPr="00363FFA">
        <w:rPr>
          <w:rFonts w:cs="Arial"/>
          <w:b/>
          <w:bCs/>
        </w:rPr>
        <w:t xml:space="preserve">Reto 1.8. Fortalecer las capacidades del cuerpo policiaco y aumentarlo para mantener la seguridad y la prevención del delito en todos los sectores del municipio. </w:t>
      </w:r>
    </w:p>
    <w:p w14:paraId="40048BE7" w14:textId="77777777" w:rsidR="00363FFA" w:rsidRPr="00363FFA" w:rsidRDefault="00363FFA" w:rsidP="00B205BA">
      <w:pPr>
        <w:spacing w:after="120" w:line="240" w:lineRule="auto"/>
        <w:rPr>
          <w:rFonts w:cs="Arial"/>
          <w:b/>
          <w:bCs/>
        </w:rPr>
      </w:pPr>
      <w:r w:rsidRPr="00363FFA">
        <w:rPr>
          <w:rFonts w:cs="Arial"/>
          <w:b/>
          <w:bCs/>
        </w:rPr>
        <w:t>Estrategia 1.8.1. Mejorar la profesionalización y el desarrollo de los policías municipales mediante la implementación de programas de capacitación que apoyen un desempeño efectivo en sus funciones.</w:t>
      </w:r>
    </w:p>
    <w:p w14:paraId="0977F064" w14:textId="77777777" w:rsidR="00363FFA" w:rsidRPr="00410DE9" w:rsidRDefault="00363FFA" w:rsidP="00B205BA">
      <w:pPr>
        <w:spacing w:after="120" w:line="240" w:lineRule="auto"/>
        <w:rPr>
          <w:rFonts w:cs="Arial"/>
        </w:rPr>
      </w:pPr>
      <w:r w:rsidRPr="00410DE9">
        <w:rPr>
          <w:rFonts w:cs="Arial"/>
        </w:rPr>
        <w:t>Líneas de acción:</w:t>
      </w:r>
    </w:p>
    <w:p w14:paraId="594DED24" w14:textId="77777777" w:rsidR="00363FFA" w:rsidRPr="00410DE9" w:rsidRDefault="00363FFA" w:rsidP="00B205BA">
      <w:pPr>
        <w:spacing w:after="120" w:line="240" w:lineRule="auto"/>
        <w:rPr>
          <w:rFonts w:cs="Arial"/>
        </w:rPr>
      </w:pPr>
      <w:r w:rsidRPr="00410DE9">
        <w:rPr>
          <w:rFonts w:cs="Arial"/>
        </w:rPr>
        <w:t>1.8.1.1. Capacitar y actualizar a los elementos en activo en los conocimientos teóricos y tácticos, así como en mejorar sus habilidades para un desempeño eficiente de la función policial.</w:t>
      </w:r>
    </w:p>
    <w:p w14:paraId="1D8F5C7D" w14:textId="77777777" w:rsidR="00363FFA" w:rsidRPr="00410DE9" w:rsidRDefault="00363FFA" w:rsidP="00B205BA">
      <w:pPr>
        <w:spacing w:after="120" w:line="240" w:lineRule="auto"/>
        <w:rPr>
          <w:rFonts w:cs="Arial"/>
        </w:rPr>
      </w:pPr>
      <w:r w:rsidRPr="00410DE9">
        <w:rPr>
          <w:rFonts w:cs="Arial"/>
        </w:rPr>
        <w:t>1.8.1.2. Realizar evaluaciones de control y confianza a los integrantes de la policía municipal.</w:t>
      </w:r>
    </w:p>
    <w:p w14:paraId="1FDBFC28" w14:textId="77777777" w:rsidR="00363FFA" w:rsidRPr="00410DE9" w:rsidRDefault="00363FFA" w:rsidP="00B205BA">
      <w:pPr>
        <w:spacing w:after="120" w:line="240" w:lineRule="auto"/>
        <w:rPr>
          <w:rFonts w:cs="Arial"/>
        </w:rPr>
      </w:pPr>
      <w:r w:rsidRPr="00410DE9">
        <w:rPr>
          <w:rFonts w:cs="Arial"/>
        </w:rPr>
        <w:t>1.8.1.3. Contar con elementos certificados de acuerdo a los lineamientos aplicables.</w:t>
      </w:r>
    </w:p>
    <w:p w14:paraId="55654EB7" w14:textId="77777777" w:rsidR="00363FFA" w:rsidRPr="00410DE9" w:rsidRDefault="00363FFA" w:rsidP="00B205BA">
      <w:pPr>
        <w:spacing w:after="120" w:line="240" w:lineRule="auto"/>
        <w:rPr>
          <w:rFonts w:cs="Arial"/>
        </w:rPr>
      </w:pPr>
      <w:r w:rsidRPr="00410DE9">
        <w:rPr>
          <w:rFonts w:cs="Arial"/>
        </w:rPr>
        <w:t>1.8.1.4. Impulsar la profesionalización del elemento de policía en coordinación con diversas Instancias.</w:t>
      </w:r>
    </w:p>
    <w:p w14:paraId="2A89A78F" w14:textId="77777777" w:rsidR="00363FFA" w:rsidRPr="00410DE9" w:rsidRDefault="00363FFA" w:rsidP="00B205BA">
      <w:pPr>
        <w:spacing w:after="120" w:line="240" w:lineRule="auto"/>
        <w:rPr>
          <w:rFonts w:cs="Arial"/>
        </w:rPr>
      </w:pPr>
      <w:r w:rsidRPr="00410DE9">
        <w:rPr>
          <w:rFonts w:cs="Arial"/>
        </w:rPr>
        <w:t>1.8.1.5. Incentivar a los policías mediante un programa de beneficios o estímulos por desempeño y actuación policial.</w:t>
      </w:r>
    </w:p>
    <w:p w14:paraId="7DEDF40F" w14:textId="77777777" w:rsidR="00363FFA" w:rsidRPr="00410DE9" w:rsidRDefault="00363FFA" w:rsidP="00B205BA">
      <w:pPr>
        <w:spacing w:after="120" w:line="240" w:lineRule="auto"/>
        <w:rPr>
          <w:rFonts w:cs="Arial"/>
        </w:rPr>
      </w:pPr>
      <w:r w:rsidRPr="00410DE9">
        <w:rPr>
          <w:rFonts w:cs="Arial"/>
        </w:rPr>
        <w:t>1.8.1.6. Dotar de un equipamiento policial adecuado y de calidad para desarrollar de forma eficiente su labor ante el ciudadano (uniformes, chalecos, cascos, etc.).</w:t>
      </w:r>
    </w:p>
    <w:p w14:paraId="2CB8DEDC" w14:textId="77777777" w:rsidR="00363FFA" w:rsidRPr="00410DE9" w:rsidRDefault="00363FFA" w:rsidP="00B205BA">
      <w:pPr>
        <w:spacing w:after="120" w:line="240" w:lineRule="auto"/>
        <w:rPr>
          <w:rFonts w:cs="Arial"/>
        </w:rPr>
      </w:pPr>
      <w:r w:rsidRPr="00410DE9">
        <w:rPr>
          <w:rFonts w:cs="Arial"/>
        </w:rPr>
        <w:t>1.8.1.7. Adquirir los vehículos necesarios para el despliegue eficiente de los elementos.</w:t>
      </w:r>
    </w:p>
    <w:p w14:paraId="4B4A57B1" w14:textId="77777777" w:rsidR="00363FFA" w:rsidRPr="00363FFA" w:rsidRDefault="00363FFA" w:rsidP="00B205BA">
      <w:pPr>
        <w:spacing w:after="120" w:line="240" w:lineRule="auto"/>
        <w:rPr>
          <w:rFonts w:cs="Arial"/>
          <w:b/>
          <w:bCs/>
        </w:rPr>
      </w:pPr>
      <w:r w:rsidRPr="00363FFA">
        <w:rPr>
          <w:rFonts w:cs="Arial"/>
          <w:b/>
          <w:bCs/>
        </w:rPr>
        <w:lastRenderedPageBreak/>
        <w:t>Estrategia 1.8.2. Fortalecer la seguridad ciudadana con acciones concretas de prevención en la ciudad, además de efectuar estrategias focalizados a grupos con factores de riesgo y en situación más vulnerable.</w:t>
      </w:r>
    </w:p>
    <w:p w14:paraId="7E12FCDC" w14:textId="77777777" w:rsidR="00363FFA" w:rsidRPr="00410DE9" w:rsidRDefault="00363FFA" w:rsidP="00B205BA">
      <w:pPr>
        <w:spacing w:after="120" w:line="240" w:lineRule="auto"/>
        <w:rPr>
          <w:rFonts w:cs="Arial"/>
        </w:rPr>
      </w:pPr>
      <w:r w:rsidRPr="00410DE9">
        <w:rPr>
          <w:rFonts w:cs="Arial"/>
        </w:rPr>
        <w:t>Líneas de acción:</w:t>
      </w:r>
    </w:p>
    <w:p w14:paraId="397B82C7" w14:textId="77777777" w:rsidR="00363FFA" w:rsidRPr="00410DE9" w:rsidRDefault="00363FFA" w:rsidP="00B205BA">
      <w:pPr>
        <w:spacing w:after="120" w:line="240" w:lineRule="auto"/>
        <w:rPr>
          <w:rFonts w:cs="Arial"/>
        </w:rPr>
      </w:pPr>
      <w:r w:rsidRPr="00410DE9">
        <w:rPr>
          <w:rFonts w:cs="Arial"/>
        </w:rPr>
        <w:t>1.8.2.1. Equipar con cámaras de videovigilancia los puntos estratégicos de la ciudad, con el fin de realizar acciones de monitoreo urbano, previniendo situaciones de riesgo para el ciudadano, y atendiendo oportunamente los eventos de alto impacto.</w:t>
      </w:r>
    </w:p>
    <w:p w14:paraId="5254D3B3" w14:textId="77777777" w:rsidR="00363FFA" w:rsidRPr="00410DE9" w:rsidRDefault="00363FFA" w:rsidP="00B205BA">
      <w:pPr>
        <w:spacing w:after="120" w:line="240" w:lineRule="auto"/>
        <w:rPr>
          <w:rFonts w:cs="Arial"/>
        </w:rPr>
      </w:pPr>
      <w:r w:rsidRPr="00410DE9">
        <w:rPr>
          <w:rFonts w:cs="Arial"/>
        </w:rPr>
        <w:t>1.8.2.2. Brindar vigilancia y prevención mediante la presencia policiaca los 365 días del año en todas las colonias y sectores de la zona urbana y rural del municipio.</w:t>
      </w:r>
    </w:p>
    <w:p w14:paraId="1B4A57D7" w14:textId="77777777" w:rsidR="00363FFA" w:rsidRPr="00410DE9" w:rsidRDefault="00363FFA" w:rsidP="00B205BA">
      <w:pPr>
        <w:spacing w:after="120" w:line="240" w:lineRule="auto"/>
        <w:rPr>
          <w:rFonts w:cs="Arial"/>
        </w:rPr>
      </w:pPr>
      <w:r w:rsidRPr="00410DE9">
        <w:rPr>
          <w:rFonts w:cs="Arial"/>
        </w:rPr>
        <w:t>1.8.2.3. Realizar los operativos especiales necesarios en fechas importantes como semana santa, pascua y navidad.</w:t>
      </w:r>
    </w:p>
    <w:p w14:paraId="0E189678" w14:textId="77777777" w:rsidR="00363FFA" w:rsidRPr="00410DE9" w:rsidRDefault="00363FFA" w:rsidP="00B205BA">
      <w:pPr>
        <w:spacing w:after="120" w:line="240" w:lineRule="auto"/>
        <w:rPr>
          <w:rFonts w:cs="Arial"/>
        </w:rPr>
      </w:pPr>
      <w:r w:rsidRPr="00410DE9">
        <w:rPr>
          <w:rFonts w:cs="Arial"/>
        </w:rPr>
        <w:t>1.8.2.4. Brindar las atenciones necesarias que se deriven de llamadas relacionadas con violencia familiar, de pareja y género.</w:t>
      </w:r>
    </w:p>
    <w:p w14:paraId="60513862" w14:textId="77777777" w:rsidR="00363FFA" w:rsidRPr="00410DE9" w:rsidRDefault="00363FFA" w:rsidP="00B205BA">
      <w:pPr>
        <w:spacing w:after="120" w:line="240" w:lineRule="auto"/>
        <w:rPr>
          <w:rFonts w:cs="Arial"/>
        </w:rPr>
      </w:pPr>
      <w:r w:rsidRPr="00410DE9">
        <w:rPr>
          <w:rFonts w:cs="Arial"/>
        </w:rPr>
        <w:t>1.8.2.5. Proveer a la Fiscalía de los elementos y documentación necesaria para la judicialización de carpetas de investigación.</w:t>
      </w:r>
    </w:p>
    <w:p w14:paraId="26ECE9AF" w14:textId="77777777" w:rsidR="00363FFA" w:rsidRPr="00410DE9" w:rsidRDefault="00363FFA" w:rsidP="00B205BA">
      <w:pPr>
        <w:spacing w:after="120" w:line="240" w:lineRule="auto"/>
        <w:rPr>
          <w:rFonts w:cs="Arial"/>
        </w:rPr>
      </w:pPr>
      <w:r w:rsidRPr="00410DE9">
        <w:rPr>
          <w:rFonts w:cs="Arial"/>
        </w:rPr>
        <w:t xml:space="preserve">1.8.2.6. Impartir el programa DARE en instituciones públicas y privadas, a fin de brindar la mayor cobertura en la prevención del consumo de drogas en jóvenes y niños. </w:t>
      </w:r>
    </w:p>
    <w:p w14:paraId="69CDAF7F" w14:textId="77777777" w:rsidR="00363FFA" w:rsidRPr="00410DE9" w:rsidRDefault="00363FFA" w:rsidP="00B205BA">
      <w:pPr>
        <w:spacing w:after="120" w:line="240" w:lineRule="auto"/>
        <w:rPr>
          <w:rFonts w:cs="Arial"/>
        </w:rPr>
      </w:pPr>
      <w:r w:rsidRPr="00410DE9">
        <w:rPr>
          <w:rFonts w:cs="Arial"/>
        </w:rPr>
        <w:t xml:space="preserve">1.8.2.7. Implementar un programa de contratación del estado de fuerza requerido para lograr la eficiencia del servicio de seguridad.  </w:t>
      </w:r>
    </w:p>
    <w:p w14:paraId="12D27B93" w14:textId="77777777" w:rsidR="00363FFA" w:rsidRPr="00410DE9" w:rsidRDefault="00363FFA" w:rsidP="00B205BA">
      <w:pPr>
        <w:spacing w:after="120" w:line="240" w:lineRule="auto"/>
        <w:rPr>
          <w:rFonts w:cs="Arial"/>
        </w:rPr>
      </w:pPr>
      <w:r w:rsidRPr="00410DE9">
        <w:rPr>
          <w:rFonts w:cs="Arial"/>
        </w:rPr>
        <w:t>1.8.2.8. Llevar a cabo las actividades formativas con los menores que incurran en infracciones administrativas, de conformidad con el reglamento para la prevención y protección de menores de edad.</w:t>
      </w:r>
    </w:p>
    <w:p w14:paraId="2FDB611D" w14:textId="77777777" w:rsidR="00363FFA" w:rsidRPr="00410DE9" w:rsidRDefault="00363FFA" w:rsidP="00B205BA">
      <w:pPr>
        <w:spacing w:after="120" w:line="240" w:lineRule="auto"/>
        <w:rPr>
          <w:rFonts w:cs="Arial"/>
        </w:rPr>
      </w:pPr>
      <w:r w:rsidRPr="00410DE9">
        <w:rPr>
          <w:rFonts w:cs="Arial"/>
        </w:rPr>
        <w:t>1.8.2.9. Desarrollar y operar la Unidad Especializada en la Prevención y Protección de Menores.</w:t>
      </w:r>
    </w:p>
    <w:p w14:paraId="0E295D8B" w14:textId="77777777" w:rsidR="00363FFA" w:rsidRPr="00363FFA" w:rsidRDefault="00363FFA" w:rsidP="00B205BA">
      <w:pPr>
        <w:spacing w:after="120" w:line="240" w:lineRule="auto"/>
        <w:rPr>
          <w:rFonts w:cs="Arial"/>
          <w:b/>
          <w:bCs/>
        </w:rPr>
      </w:pPr>
      <w:r w:rsidRPr="00363FFA">
        <w:rPr>
          <w:rFonts w:cs="Arial"/>
          <w:b/>
          <w:bCs/>
        </w:rPr>
        <w:t>Reto 1.9. Crear formas de cooperación con la sociedad civil y entre instituciones para apoyar a los ciudadanos que han sido víctimas de delitos, así como establecer acuerdos en temas de prevención.</w:t>
      </w:r>
    </w:p>
    <w:p w14:paraId="63F66653" w14:textId="77777777" w:rsidR="00363FFA" w:rsidRPr="00363FFA" w:rsidRDefault="00363FFA" w:rsidP="00B205BA">
      <w:pPr>
        <w:spacing w:after="120" w:line="240" w:lineRule="auto"/>
        <w:rPr>
          <w:rFonts w:cs="Arial"/>
          <w:b/>
          <w:bCs/>
        </w:rPr>
      </w:pPr>
      <w:r w:rsidRPr="00363FFA">
        <w:rPr>
          <w:rFonts w:cs="Arial"/>
          <w:b/>
          <w:bCs/>
        </w:rPr>
        <w:t>Estrategia 1.9.1. Unir esfuerzos entre la sociedad civil y los ciudadanos para abordar y centrarse en las principales problemáticas delictivas mediante programas de prevención del delito.</w:t>
      </w:r>
    </w:p>
    <w:p w14:paraId="7EC06D44" w14:textId="77777777" w:rsidR="00363FFA" w:rsidRPr="00410DE9" w:rsidRDefault="00363FFA" w:rsidP="00B205BA">
      <w:pPr>
        <w:spacing w:after="120" w:line="240" w:lineRule="auto"/>
        <w:rPr>
          <w:rFonts w:cs="Arial"/>
        </w:rPr>
      </w:pPr>
      <w:r w:rsidRPr="00410DE9">
        <w:rPr>
          <w:rFonts w:cs="Arial"/>
        </w:rPr>
        <w:t>Líneas de acción:</w:t>
      </w:r>
    </w:p>
    <w:p w14:paraId="372CD838" w14:textId="77777777" w:rsidR="00363FFA" w:rsidRPr="00410DE9" w:rsidRDefault="00363FFA" w:rsidP="00B205BA">
      <w:pPr>
        <w:spacing w:after="120" w:line="240" w:lineRule="auto"/>
        <w:rPr>
          <w:rFonts w:cs="Arial"/>
        </w:rPr>
      </w:pPr>
      <w:r w:rsidRPr="00410DE9">
        <w:rPr>
          <w:rFonts w:cs="Arial"/>
        </w:rPr>
        <w:t>1.9.1.1. Participar por medio de mesas de seguridad en materia de prevención del delito, con integrantes de los tres niveles de gobierno.</w:t>
      </w:r>
    </w:p>
    <w:p w14:paraId="4E6FA267" w14:textId="77777777" w:rsidR="00363FFA" w:rsidRPr="00410DE9" w:rsidRDefault="00363FFA" w:rsidP="00B205BA">
      <w:pPr>
        <w:spacing w:after="120" w:line="240" w:lineRule="auto"/>
        <w:rPr>
          <w:rFonts w:cs="Arial"/>
        </w:rPr>
      </w:pPr>
      <w:r w:rsidRPr="00410DE9">
        <w:rPr>
          <w:rFonts w:cs="Arial"/>
        </w:rPr>
        <w:t>1.9.1.2. Realizar visitas y supervisión a comercios interactuando de manera directa con el personal con el fin de dar a conocer medidas de seguridad.</w:t>
      </w:r>
    </w:p>
    <w:p w14:paraId="2BB61CE4" w14:textId="77777777" w:rsidR="00363FFA" w:rsidRPr="00410DE9" w:rsidRDefault="00363FFA" w:rsidP="00B205BA">
      <w:pPr>
        <w:spacing w:after="120" w:line="240" w:lineRule="auto"/>
        <w:rPr>
          <w:rFonts w:cs="Arial"/>
        </w:rPr>
      </w:pPr>
      <w:r w:rsidRPr="00410DE9">
        <w:rPr>
          <w:rFonts w:cs="Arial"/>
        </w:rPr>
        <w:t>1.9.1.3. Mantener un modelo de prevención e intervención inteligente en colonias, colaborando de manera interinstitucional con los tres niveles de gobierno.</w:t>
      </w:r>
    </w:p>
    <w:p w14:paraId="047F17A5" w14:textId="77777777" w:rsidR="00363FFA" w:rsidRPr="00410DE9" w:rsidRDefault="00363FFA" w:rsidP="00B205BA">
      <w:pPr>
        <w:spacing w:after="120" w:line="240" w:lineRule="auto"/>
        <w:rPr>
          <w:rFonts w:cs="Arial"/>
        </w:rPr>
      </w:pPr>
      <w:r w:rsidRPr="00410DE9">
        <w:rPr>
          <w:rFonts w:cs="Arial"/>
        </w:rPr>
        <w:t>1.9.1.4. Establecer acuerdos de colaboración con dependencias para atender los temas de movilidad, crecimiento municipal, violencia de género, adicciones, jóvenes, deporte, salud, cultura y educación.</w:t>
      </w:r>
    </w:p>
    <w:p w14:paraId="1ABACCFE" w14:textId="77777777" w:rsidR="00363FFA" w:rsidRPr="00410DE9" w:rsidRDefault="00363FFA" w:rsidP="00B205BA">
      <w:pPr>
        <w:spacing w:after="120" w:line="240" w:lineRule="auto"/>
        <w:rPr>
          <w:rFonts w:cs="Arial"/>
        </w:rPr>
      </w:pPr>
      <w:r w:rsidRPr="00410DE9">
        <w:rPr>
          <w:rFonts w:cs="Arial"/>
        </w:rPr>
        <w:t>1.9.1.5. Atender reportes recibidos por medio del 072, 911 y redes sociales por maltrato animal.</w:t>
      </w:r>
    </w:p>
    <w:p w14:paraId="0B56DAA8" w14:textId="77777777" w:rsidR="00363FFA" w:rsidRPr="00410DE9" w:rsidRDefault="00363FFA" w:rsidP="00B205BA">
      <w:pPr>
        <w:spacing w:after="120" w:line="240" w:lineRule="auto"/>
        <w:rPr>
          <w:rFonts w:cs="Arial"/>
        </w:rPr>
      </w:pPr>
      <w:r w:rsidRPr="00410DE9">
        <w:rPr>
          <w:rFonts w:cs="Arial"/>
        </w:rPr>
        <w:lastRenderedPageBreak/>
        <w:t xml:space="preserve">1.9.1.6. Ejecutar programas de capacitación al interior de la dependencia, instituciones públicas y privadas para la adopción de la igualdad de género en su normativa, programas y proyectos. </w:t>
      </w:r>
    </w:p>
    <w:p w14:paraId="1E0F2338" w14:textId="77777777" w:rsidR="00363FFA" w:rsidRPr="00410DE9" w:rsidRDefault="00363FFA" w:rsidP="00B205BA">
      <w:pPr>
        <w:spacing w:after="120" w:line="240" w:lineRule="auto"/>
        <w:rPr>
          <w:rFonts w:cs="Arial"/>
        </w:rPr>
      </w:pPr>
      <w:r w:rsidRPr="00410DE9">
        <w:rPr>
          <w:rFonts w:cs="Arial"/>
        </w:rPr>
        <w:t>1.9.1.7. Capacitar y sensibilizar en perspectiva de género a personal de las dependencias municipales e instituciones del sector público y privado para que el trato entre el personal y la atención a la ciudadanía se realice con perspectiva en igualdad de género.</w:t>
      </w:r>
    </w:p>
    <w:p w14:paraId="45C6DA0F" w14:textId="77777777" w:rsidR="00363FFA" w:rsidRPr="00410DE9" w:rsidRDefault="00363FFA" w:rsidP="00B205BA">
      <w:pPr>
        <w:spacing w:after="120" w:line="240" w:lineRule="auto"/>
        <w:rPr>
          <w:rFonts w:cs="Arial"/>
        </w:rPr>
      </w:pPr>
      <w:r w:rsidRPr="00410DE9">
        <w:rPr>
          <w:rFonts w:cs="Arial"/>
        </w:rPr>
        <w:t>1.9.1.8. Ofrecer esquemas de capacitación para la profesionalización de la función policial como primeros respondientes en la atención a víctimas de violencia de género.</w:t>
      </w:r>
    </w:p>
    <w:p w14:paraId="78A84C8F" w14:textId="77777777" w:rsidR="00363FFA" w:rsidRPr="00363FFA" w:rsidRDefault="00363FFA" w:rsidP="00B205BA">
      <w:pPr>
        <w:spacing w:after="120" w:line="240" w:lineRule="auto"/>
        <w:rPr>
          <w:rFonts w:cs="Arial"/>
          <w:b/>
          <w:bCs/>
        </w:rPr>
      </w:pPr>
      <w:r w:rsidRPr="00363FFA">
        <w:rPr>
          <w:rFonts w:cs="Arial"/>
          <w:b/>
          <w:bCs/>
        </w:rPr>
        <w:t>Estrategia 1.9.2. Fortalecer la integración de la prevención del delito en diferentes áreas y sectores.</w:t>
      </w:r>
    </w:p>
    <w:p w14:paraId="6B8E055B" w14:textId="77777777" w:rsidR="00363FFA" w:rsidRPr="00410DE9" w:rsidRDefault="00363FFA" w:rsidP="00B205BA">
      <w:pPr>
        <w:spacing w:after="120" w:line="240" w:lineRule="auto"/>
        <w:rPr>
          <w:rFonts w:cs="Arial"/>
        </w:rPr>
      </w:pPr>
      <w:r w:rsidRPr="00410DE9">
        <w:rPr>
          <w:rFonts w:cs="Arial"/>
        </w:rPr>
        <w:t>Líneas de acción:</w:t>
      </w:r>
    </w:p>
    <w:p w14:paraId="42705431" w14:textId="77777777" w:rsidR="00363FFA" w:rsidRPr="00410DE9" w:rsidRDefault="00363FFA" w:rsidP="00B205BA">
      <w:pPr>
        <w:spacing w:after="120" w:line="240" w:lineRule="auto"/>
        <w:rPr>
          <w:rFonts w:cs="Arial"/>
        </w:rPr>
      </w:pPr>
      <w:r w:rsidRPr="00410DE9">
        <w:rPr>
          <w:rFonts w:cs="Arial"/>
        </w:rPr>
        <w:t>1.9.2.1. Brindar las atenciones y servicios por parte de los grupos especializados.</w:t>
      </w:r>
    </w:p>
    <w:p w14:paraId="6A5AB770" w14:textId="77777777" w:rsidR="00363FFA" w:rsidRPr="00410DE9" w:rsidRDefault="00363FFA" w:rsidP="00B205BA">
      <w:pPr>
        <w:spacing w:after="120" w:line="240" w:lineRule="auto"/>
        <w:rPr>
          <w:rFonts w:cs="Arial"/>
        </w:rPr>
      </w:pPr>
      <w:r w:rsidRPr="00410DE9">
        <w:rPr>
          <w:rFonts w:cs="Arial"/>
        </w:rPr>
        <w:t>1.9.2.2. Proporcionar atención a las víctimas de violencia familiar, contra la mujer y de género a través de un modelo transversal e institucional.</w:t>
      </w:r>
    </w:p>
    <w:p w14:paraId="353C2326" w14:textId="77777777" w:rsidR="00363FFA" w:rsidRPr="00363FFA" w:rsidRDefault="00363FFA" w:rsidP="00B205BA">
      <w:pPr>
        <w:spacing w:after="120" w:line="240" w:lineRule="auto"/>
        <w:rPr>
          <w:rFonts w:cs="Arial"/>
          <w:b/>
          <w:bCs/>
        </w:rPr>
      </w:pPr>
      <w:r w:rsidRPr="00363FFA">
        <w:rPr>
          <w:rFonts w:cs="Arial"/>
          <w:b/>
          <w:bCs/>
        </w:rPr>
        <w:t>Estrategia 1.9.3. Participar en la vinculación con el ciudadano por medio de reuniones vecinales, para llevar a cabo las acciones necesarias en relación a sus solicitudes.</w:t>
      </w:r>
    </w:p>
    <w:p w14:paraId="5F1D2C04" w14:textId="77777777" w:rsidR="00363FFA" w:rsidRPr="00410DE9" w:rsidRDefault="00363FFA" w:rsidP="00B205BA">
      <w:pPr>
        <w:spacing w:after="120" w:line="240" w:lineRule="auto"/>
        <w:rPr>
          <w:rFonts w:cs="Arial"/>
        </w:rPr>
      </w:pPr>
      <w:r w:rsidRPr="00410DE9">
        <w:rPr>
          <w:rFonts w:cs="Arial"/>
        </w:rPr>
        <w:t>Líneas de acción:</w:t>
      </w:r>
    </w:p>
    <w:p w14:paraId="7D2E6CAB" w14:textId="77777777" w:rsidR="00363FFA" w:rsidRPr="00410DE9" w:rsidRDefault="00363FFA" w:rsidP="00B205BA">
      <w:pPr>
        <w:spacing w:after="120" w:line="240" w:lineRule="auto"/>
        <w:rPr>
          <w:rFonts w:cs="Arial"/>
        </w:rPr>
      </w:pPr>
      <w:r w:rsidRPr="00410DE9">
        <w:rPr>
          <w:rFonts w:cs="Arial"/>
        </w:rPr>
        <w:t>1.9.3.1. Implementar un programa de atención directa que escuche la problemática del ciudadano en las colonias por medio de los Centros de Respuesta Inmediata.</w:t>
      </w:r>
    </w:p>
    <w:p w14:paraId="790BC671" w14:textId="77777777" w:rsidR="00363FFA" w:rsidRPr="00410DE9" w:rsidRDefault="00363FFA" w:rsidP="00B205BA">
      <w:pPr>
        <w:spacing w:after="120" w:line="240" w:lineRule="auto"/>
        <w:rPr>
          <w:rFonts w:cs="Arial"/>
        </w:rPr>
      </w:pPr>
      <w:r w:rsidRPr="00410DE9">
        <w:rPr>
          <w:rFonts w:cs="Arial"/>
        </w:rPr>
        <w:t>1.9.3.2. Aplicar modelo de atención con el ciudadano retroalimentando las necesidades en materia de seguridad pública.</w:t>
      </w:r>
    </w:p>
    <w:p w14:paraId="53C8D3A9" w14:textId="77777777" w:rsidR="00363FFA" w:rsidRPr="00410DE9" w:rsidRDefault="00363FFA" w:rsidP="00B205BA">
      <w:pPr>
        <w:spacing w:after="120" w:line="240" w:lineRule="auto"/>
        <w:rPr>
          <w:rFonts w:cs="Arial"/>
        </w:rPr>
      </w:pPr>
      <w:r w:rsidRPr="00410DE9">
        <w:rPr>
          <w:rFonts w:cs="Arial"/>
        </w:rPr>
        <w:t>1.9.3.3. Diseñar las acciones necesarias para fortalecer el tejido social y el empoderamiento de la sociedad, con estrategias específicas de materia de equidad de género.</w:t>
      </w:r>
    </w:p>
    <w:p w14:paraId="5A6CE8EA" w14:textId="77777777" w:rsidR="00363FFA" w:rsidRPr="00410DE9" w:rsidRDefault="00363FFA" w:rsidP="00B205BA">
      <w:pPr>
        <w:spacing w:after="120" w:line="240" w:lineRule="auto"/>
        <w:rPr>
          <w:rFonts w:cs="Arial"/>
        </w:rPr>
      </w:pPr>
      <w:r w:rsidRPr="00410DE9">
        <w:rPr>
          <w:rFonts w:cs="Arial"/>
        </w:rPr>
        <w:t>1.9.3.4. Aprovechar las tecnologías digitales y de la comunicación para mantener un contacto permanente y en tiempo real entre la policía y el sector empresarial y cámaras de comercio.</w:t>
      </w:r>
    </w:p>
    <w:p w14:paraId="1F302FC7" w14:textId="77777777" w:rsidR="00363FFA" w:rsidRPr="00363FFA" w:rsidRDefault="00363FFA" w:rsidP="00B205BA">
      <w:pPr>
        <w:spacing w:after="120" w:line="240" w:lineRule="auto"/>
        <w:rPr>
          <w:rFonts w:cs="Arial"/>
          <w:b/>
          <w:bCs/>
        </w:rPr>
      </w:pPr>
      <w:r w:rsidRPr="00363FFA">
        <w:rPr>
          <w:rFonts w:cs="Arial"/>
          <w:b/>
          <w:bCs/>
        </w:rPr>
        <w:t xml:space="preserve">Estrategia 1.9.4. Construir un entorno más pacífico y justo para todos los ciudadanos con respeto a los derechos humanos. </w:t>
      </w:r>
    </w:p>
    <w:p w14:paraId="16A5A5CF" w14:textId="77777777" w:rsidR="00363FFA" w:rsidRPr="00410DE9" w:rsidRDefault="00363FFA" w:rsidP="00B205BA">
      <w:pPr>
        <w:spacing w:after="120" w:line="240" w:lineRule="auto"/>
        <w:rPr>
          <w:rFonts w:cs="Arial"/>
        </w:rPr>
      </w:pPr>
      <w:r w:rsidRPr="00410DE9">
        <w:rPr>
          <w:rFonts w:cs="Arial"/>
        </w:rPr>
        <w:t>Líneas de acción:</w:t>
      </w:r>
      <w:r w:rsidRPr="00410DE9">
        <w:rPr>
          <w:rFonts w:cs="Arial"/>
        </w:rPr>
        <w:tab/>
      </w:r>
    </w:p>
    <w:p w14:paraId="6BD6B8BC" w14:textId="77777777" w:rsidR="00363FFA" w:rsidRPr="00410DE9" w:rsidRDefault="00363FFA" w:rsidP="00B205BA">
      <w:pPr>
        <w:spacing w:after="120" w:line="240" w:lineRule="auto"/>
        <w:rPr>
          <w:rFonts w:cs="Arial"/>
        </w:rPr>
      </w:pPr>
      <w:r w:rsidRPr="00410DE9">
        <w:rPr>
          <w:rFonts w:cs="Arial"/>
        </w:rPr>
        <w:t>1.9.4.1. Ofrecer formación a diversas asociaciones, fundaciones y al público en general para informar sobre el nuevo Modelo de Justicia Cívica.</w:t>
      </w:r>
    </w:p>
    <w:p w14:paraId="2779E987" w14:textId="77777777" w:rsidR="00363FFA" w:rsidRPr="00410DE9" w:rsidRDefault="00363FFA" w:rsidP="00B205BA">
      <w:pPr>
        <w:spacing w:after="120" w:line="240" w:lineRule="auto"/>
        <w:rPr>
          <w:rFonts w:cs="Arial"/>
        </w:rPr>
      </w:pPr>
      <w:r w:rsidRPr="00410DE9">
        <w:rPr>
          <w:rFonts w:cs="Arial"/>
        </w:rPr>
        <w:t>1.9.4.2. Compartir el nuevo Modelo de Justicia Cívica a través de medios visuales, digitales, televisión y radio.</w:t>
      </w:r>
    </w:p>
    <w:p w14:paraId="0B00A2CF" w14:textId="77777777" w:rsidR="00363FFA" w:rsidRPr="00410DE9" w:rsidRDefault="00363FFA" w:rsidP="00B205BA">
      <w:pPr>
        <w:spacing w:after="120" w:line="240" w:lineRule="auto"/>
        <w:rPr>
          <w:rFonts w:cs="Arial"/>
        </w:rPr>
      </w:pPr>
      <w:r w:rsidRPr="00410DE9">
        <w:rPr>
          <w:rFonts w:cs="Arial"/>
        </w:rPr>
        <w:t>1.9.4.3. Atender a los presuntos infractores enviados por Seguridad Pública Municipal, asegurando la transparencia en las acciones de los policías municipales y jueces cívicos, siempre respetando los derechos humanos.</w:t>
      </w:r>
    </w:p>
    <w:p w14:paraId="32728C9B" w14:textId="77777777" w:rsidR="00363FFA" w:rsidRPr="00410DE9" w:rsidRDefault="00363FFA" w:rsidP="00B205BA">
      <w:pPr>
        <w:spacing w:after="120" w:line="240" w:lineRule="auto"/>
        <w:rPr>
          <w:rFonts w:cs="Arial"/>
        </w:rPr>
      </w:pPr>
      <w:r w:rsidRPr="00410DE9">
        <w:rPr>
          <w:rFonts w:cs="Arial"/>
        </w:rPr>
        <w:t>1.9.4.4. Expedir certificados por parte de médicos legistas a solicitud de los jueces calificadores.</w:t>
      </w:r>
    </w:p>
    <w:p w14:paraId="6F88F2FE" w14:textId="77777777" w:rsidR="00363FFA" w:rsidRPr="00363FFA" w:rsidRDefault="00363FFA" w:rsidP="00B205BA">
      <w:pPr>
        <w:spacing w:after="120" w:line="240" w:lineRule="auto"/>
        <w:rPr>
          <w:rFonts w:cs="Arial"/>
          <w:b/>
          <w:bCs/>
        </w:rPr>
      </w:pPr>
      <w:r w:rsidRPr="00363FFA">
        <w:rPr>
          <w:rFonts w:cs="Arial"/>
          <w:b/>
          <w:bCs/>
        </w:rPr>
        <w:t xml:space="preserve">Reto 1.10. Promover la formación de una red vial con una mejor movilidad y seguridad generando mecanismos de inteligencia para el análisis de incidencia delictiva y problemas viales. </w:t>
      </w:r>
    </w:p>
    <w:p w14:paraId="73DEEE8F" w14:textId="77777777" w:rsidR="00363FFA" w:rsidRPr="00363FFA" w:rsidRDefault="00363FFA" w:rsidP="00B205BA">
      <w:pPr>
        <w:spacing w:after="120" w:line="240" w:lineRule="auto"/>
        <w:rPr>
          <w:rFonts w:cs="Arial"/>
          <w:b/>
          <w:bCs/>
        </w:rPr>
      </w:pPr>
      <w:r w:rsidRPr="00363FFA">
        <w:rPr>
          <w:rFonts w:cs="Arial"/>
          <w:b/>
          <w:bCs/>
        </w:rPr>
        <w:lastRenderedPageBreak/>
        <w:t>Estrategia 1.10.1. Desarrollar estrategias en materia de cultura vial para que la ciudadanía de cumplimiento al reglamento de tránsito.</w:t>
      </w:r>
    </w:p>
    <w:p w14:paraId="4A72E08E" w14:textId="77777777" w:rsidR="00363FFA" w:rsidRPr="00410DE9" w:rsidRDefault="00363FFA" w:rsidP="00B205BA">
      <w:pPr>
        <w:spacing w:after="120" w:line="240" w:lineRule="auto"/>
        <w:rPr>
          <w:rFonts w:cs="Arial"/>
        </w:rPr>
      </w:pPr>
      <w:r w:rsidRPr="00410DE9">
        <w:rPr>
          <w:rFonts w:cs="Arial"/>
        </w:rPr>
        <w:t>Líneas de acción:</w:t>
      </w:r>
      <w:r w:rsidRPr="00410DE9">
        <w:rPr>
          <w:rFonts w:cs="Arial"/>
        </w:rPr>
        <w:tab/>
      </w:r>
    </w:p>
    <w:p w14:paraId="341D8420" w14:textId="77777777" w:rsidR="00363FFA" w:rsidRPr="00410DE9" w:rsidRDefault="00363FFA" w:rsidP="00B205BA">
      <w:pPr>
        <w:spacing w:after="120" w:line="240" w:lineRule="auto"/>
        <w:rPr>
          <w:rFonts w:cs="Arial"/>
        </w:rPr>
      </w:pPr>
      <w:r w:rsidRPr="00410DE9">
        <w:rPr>
          <w:rFonts w:cs="Arial"/>
        </w:rPr>
        <w:t>1.10.1.1. Implementar y ejecutar un programa permanente de vigilancia y supervisión vial en cruceros peatonales, zonas escolares, parques y puntos de interés público.</w:t>
      </w:r>
    </w:p>
    <w:p w14:paraId="6B627F9D" w14:textId="77777777" w:rsidR="00363FFA" w:rsidRPr="00410DE9" w:rsidRDefault="00363FFA" w:rsidP="00B205BA">
      <w:pPr>
        <w:spacing w:after="120" w:line="240" w:lineRule="auto"/>
        <w:rPr>
          <w:rFonts w:cs="Arial"/>
        </w:rPr>
      </w:pPr>
      <w:r w:rsidRPr="00410DE9">
        <w:rPr>
          <w:rFonts w:cs="Arial"/>
        </w:rPr>
        <w:t>1.10.1.2. Contribuir a la disminución de accidentes vehiculares mediante la instalación de filtros preventivos en coordinación con organizaciones de la sociedad civil, con la finalidad de que la ciudadanía sea responsable al conducir un vehículo.</w:t>
      </w:r>
    </w:p>
    <w:p w14:paraId="3CC68885" w14:textId="77777777" w:rsidR="00363FFA" w:rsidRPr="00410DE9" w:rsidRDefault="00363FFA" w:rsidP="00B205BA">
      <w:pPr>
        <w:spacing w:after="120" w:line="240" w:lineRule="auto"/>
        <w:rPr>
          <w:rFonts w:cs="Arial"/>
        </w:rPr>
      </w:pPr>
      <w:r w:rsidRPr="00410DE9">
        <w:rPr>
          <w:rFonts w:cs="Arial"/>
        </w:rPr>
        <w:t>1.10.1.3. Brindar a la ciudadanía los talleres de teoría vial que incluyen temas de ley y Reglamento de Tránsito para el Municipio de Hermosillo, así como las técnicas de conducción a la defensiva.</w:t>
      </w:r>
    </w:p>
    <w:p w14:paraId="2770321B" w14:textId="77777777" w:rsidR="00363FFA" w:rsidRPr="00410DE9" w:rsidRDefault="00363FFA" w:rsidP="00B205BA">
      <w:pPr>
        <w:spacing w:after="120" w:line="240" w:lineRule="auto"/>
        <w:rPr>
          <w:rFonts w:cs="Arial"/>
        </w:rPr>
      </w:pPr>
      <w:r w:rsidRPr="00410DE9">
        <w:rPr>
          <w:rFonts w:cs="Arial"/>
        </w:rPr>
        <w:t>1.10.1.4. Atender trámite de solicitudes de licencia de conducir para su validación.</w:t>
      </w:r>
    </w:p>
    <w:p w14:paraId="163EFCD8" w14:textId="77777777" w:rsidR="00363FFA" w:rsidRPr="00410DE9" w:rsidRDefault="00363FFA" w:rsidP="00B205BA">
      <w:pPr>
        <w:spacing w:after="120" w:line="240" w:lineRule="auto"/>
        <w:rPr>
          <w:rFonts w:cs="Arial"/>
        </w:rPr>
      </w:pPr>
      <w:r w:rsidRPr="00410DE9">
        <w:rPr>
          <w:rFonts w:cs="Arial"/>
        </w:rPr>
        <w:t>1.10.1.5. Mantener actualizados los registros de los cruces con mayor incidencia de incidentes viales a fin de focalizar las acciones sobre prevención de accidentes y cultura vial.</w:t>
      </w:r>
    </w:p>
    <w:p w14:paraId="0976A571" w14:textId="77777777" w:rsidR="00363FFA" w:rsidRPr="00363FFA" w:rsidRDefault="00363FFA" w:rsidP="00B205BA">
      <w:pPr>
        <w:spacing w:after="120" w:line="240" w:lineRule="auto"/>
        <w:rPr>
          <w:rFonts w:cs="Arial"/>
          <w:b/>
          <w:bCs/>
        </w:rPr>
      </w:pPr>
      <w:r w:rsidRPr="00363FFA">
        <w:rPr>
          <w:rFonts w:cs="Arial"/>
          <w:b/>
          <w:bCs/>
        </w:rPr>
        <w:t>Estrategia 1.10.2. Analizar las bases de datos para la prevención y despliegue operativo.</w:t>
      </w:r>
    </w:p>
    <w:p w14:paraId="27B591A8" w14:textId="77777777" w:rsidR="00363FFA" w:rsidRPr="00410DE9" w:rsidRDefault="00363FFA" w:rsidP="00B205BA">
      <w:pPr>
        <w:spacing w:after="120" w:line="240" w:lineRule="auto"/>
        <w:rPr>
          <w:rFonts w:cs="Arial"/>
        </w:rPr>
      </w:pPr>
      <w:r w:rsidRPr="00410DE9">
        <w:rPr>
          <w:rFonts w:cs="Arial"/>
        </w:rPr>
        <w:t>Líneas de acción:</w:t>
      </w:r>
    </w:p>
    <w:p w14:paraId="7BA196F2" w14:textId="77777777" w:rsidR="00363FFA" w:rsidRPr="00410DE9" w:rsidRDefault="00363FFA" w:rsidP="00B205BA">
      <w:pPr>
        <w:spacing w:after="120" w:line="240" w:lineRule="auto"/>
        <w:rPr>
          <w:rFonts w:cs="Arial"/>
        </w:rPr>
      </w:pPr>
      <w:r w:rsidRPr="00410DE9">
        <w:rPr>
          <w:rFonts w:cs="Arial"/>
        </w:rPr>
        <w:t>1.10.2.1. Proveer de informes estadísticos, diagnósticos, mapas delictivos a través de la Unidad de Análisis e Inteligencia.</w:t>
      </w:r>
    </w:p>
    <w:p w14:paraId="0128B59C" w14:textId="77777777" w:rsidR="00363FFA" w:rsidRPr="00410DE9" w:rsidRDefault="00363FFA" w:rsidP="00B205BA">
      <w:pPr>
        <w:spacing w:after="120" w:line="240" w:lineRule="auto"/>
        <w:rPr>
          <w:rFonts w:cs="Arial"/>
        </w:rPr>
      </w:pPr>
      <w:r w:rsidRPr="00410DE9">
        <w:rPr>
          <w:rFonts w:cs="Arial"/>
        </w:rPr>
        <w:t>1.10.2.2. Actualizar diariamente el tablero de control por cada una de las zonas, para que permita establecer los objetivos diarios de operación y prevención en las infracciones administrativas, las intervenciones en delitos y accidentes para un seguimiento puntual de estos.</w:t>
      </w:r>
    </w:p>
    <w:p w14:paraId="11CBC02C" w14:textId="77777777" w:rsidR="00363FFA" w:rsidRPr="00410DE9" w:rsidRDefault="00363FFA" w:rsidP="00B205BA">
      <w:pPr>
        <w:spacing w:after="120" w:line="240" w:lineRule="auto"/>
        <w:rPr>
          <w:rFonts w:cs="Arial"/>
        </w:rPr>
      </w:pPr>
      <w:r w:rsidRPr="00410DE9">
        <w:rPr>
          <w:rFonts w:cs="Arial"/>
        </w:rPr>
        <w:t>1.10.2.3. Promover la plataforma pública de información relacionada a faltas administrativas, probables delitos y hechos de tránsito para informar a la ciudadanía sobre el trabajo de la policía municipal.</w:t>
      </w:r>
    </w:p>
    <w:p w14:paraId="509808B0" w14:textId="77777777" w:rsidR="00363FFA" w:rsidRPr="00410DE9" w:rsidRDefault="00363FFA" w:rsidP="00B205BA">
      <w:pPr>
        <w:spacing w:after="120" w:line="240" w:lineRule="auto"/>
        <w:rPr>
          <w:rFonts w:cs="Arial"/>
        </w:rPr>
      </w:pPr>
      <w:r w:rsidRPr="00410DE9">
        <w:rPr>
          <w:rFonts w:cs="Arial"/>
        </w:rPr>
        <w:t>1.10.2.4. Generar productos de información derivados de las llamadas al 911 para colaborar con la Secretaría de Seguridad Pública del Estado.</w:t>
      </w:r>
    </w:p>
    <w:p w14:paraId="73922FD3" w14:textId="77777777" w:rsidR="00363FFA" w:rsidRPr="00410DE9" w:rsidRDefault="00363FFA" w:rsidP="00B205BA">
      <w:pPr>
        <w:spacing w:after="120" w:line="240" w:lineRule="auto"/>
        <w:rPr>
          <w:rFonts w:cs="Arial"/>
        </w:rPr>
      </w:pPr>
      <w:r w:rsidRPr="00410DE9">
        <w:rPr>
          <w:rFonts w:cs="Arial"/>
        </w:rPr>
        <w:t>1.10.2.5. Mantener actualizados los datos georreferenciados que permiten identificar patrones de comportamiento criminal y tendencias en los factores criminógenos generada por la Unidad de Análisis e Inteligencia.</w:t>
      </w:r>
    </w:p>
    <w:p w14:paraId="4A4198C1" w14:textId="77777777" w:rsidR="00363FFA" w:rsidRPr="00363FFA" w:rsidRDefault="00363FFA" w:rsidP="00B205BA">
      <w:pPr>
        <w:spacing w:after="120" w:line="240" w:lineRule="auto"/>
        <w:rPr>
          <w:rFonts w:cs="Arial"/>
          <w:b/>
          <w:bCs/>
        </w:rPr>
      </w:pPr>
      <w:r w:rsidRPr="00363FFA">
        <w:rPr>
          <w:rFonts w:cs="Arial"/>
          <w:b/>
          <w:bCs/>
        </w:rPr>
        <w:t>Reto 1.11. Crear una ciudad eficiente y sostenible, utilizando la tecnología para responder de manera proactiva a las necesidades de los ciudadanos, generando un entorno seguro y accesible que promueva el bienestar general de la comunidad y contribuya a una mejor calidad de vida.</w:t>
      </w:r>
    </w:p>
    <w:p w14:paraId="518DFB8E" w14:textId="77777777" w:rsidR="00363FFA" w:rsidRPr="00363FFA" w:rsidRDefault="00363FFA" w:rsidP="00B205BA">
      <w:pPr>
        <w:spacing w:after="120" w:line="240" w:lineRule="auto"/>
        <w:rPr>
          <w:rFonts w:cs="Arial"/>
          <w:b/>
          <w:bCs/>
        </w:rPr>
      </w:pPr>
      <w:r w:rsidRPr="00363FFA">
        <w:rPr>
          <w:rFonts w:cs="Arial"/>
          <w:b/>
          <w:bCs/>
        </w:rPr>
        <w:t>Estrategia 1.11.1. Implementar un sistema de gestión de tráfico inteligente que permita la sincronización automática de semáforos gestionado con inteligencia artificial para una movilidad segura.</w:t>
      </w:r>
    </w:p>
    <w:p w14:paraId="4EF84F73" w14:textId="77777777" w:rsidR="00363FFA" w:rsidRPr="00410DE9" w:rsidRDefault="00363FFA" w:rsidP="00B205BA">
      <w:pPr>
        <w:spacing w:after="120" w:line="240" w:lineRule="auto"/>
        <w:rPr>
          <w:rFonts w:cs="Arial"/>
        </w:rPr>
      </w:pPr>
      <w:r w:rsidRPr="00410DE9">
        <w:rPr>
          <w:rFonts w:cs="Arial"/>
        </w:rPr>
        <w:t>Líneas de acción:</w:t>
      </w:r>
      <w:r w:rsidRPr="00410DE9">
        <w:rPr>
          <w:rFonts w:cs="Arial"/>
        </w:rPr>
        <w:tab/>
      </w:r>
    </w:p>
    <w:p w14:paraId="270CD8F4" w14:textId="77777777" w:rsidR="00363FFA" w:rsidRPr="00410DE9" w:rsidRDefault="00363FFA" w:rsidP="00B205BA">
      <w:pPr>
        <w:spacing w:after="120" w:line="240" w:lineRule="auto"/>
        <w:rPr>
          <w:rFonts w:cs="Arial"/>
        </w:rPr>
      </w:pPr>
      <w:r w:rsidRPr="00410DE9">
        <w:rPr>
          <w:rFonts w:cs="Arial"/>
        </w:rPr>
        <w:t>1.11.1.1. Diseñar e implementar los protocolos de actuación para el monitoreo preventivo inteligente de los Postes de Monitoreo Inteligente (PMI).</w:t>
      </w:r>
    </w:p>
    <w:p w14:paraId="32EBCAE1" w14:textId="77777777" w:rsidR="00363FFA" w:rsidRPr="00410DE9" w:rsidRDefault="00363FFA" w:rsidP="00B205BA">
      <w:pPr>
        <w:spacing w:after="120" w:line="240" w:lineRule="auto"/>
        <w:rPr>
          <w:rFonts w:cs="Arial"/>
        </w:rPr>
      </w:pPr>
      <w:r w:rsidRPr="00410DE9">
        <w:rPr>
          <w:rFonts w:cs="Arial"/>
        </w:rPr>
        <w:lastRenderedPageBreak/>
        <w:t>1.11.1.2. Ejecutar la instalación de la conectividad híbrida para el monitoreo inteligente de semáforos.</w:t>
      </w:r>
    </w:p>
    <w:p w14:paraId="1AD2E318" w14:textId="77777777" w:rsidR="00363FFA" w:rsidRPr="00410DE9" w:rsidRDefault="00363FFA" w:rsidP="00B205BA">
      <w:pPr>
        <w:spacing w:after="120" w:line="240" w:lineRule="auto"/>
        <w:rPr>
          <w:rFonts w:cs="Arial"/>
        </w:rPr>
      </w:pPr>
      <w:r w:rsidRPr="00410DE9">
        <w:rPr>
          <w:rFonts w:cs="Arial"/>
        </w:rPr>
        <w:t>1.11.1.3. Diseñar y monitorear rutas para vehículos de emergencia que permitan la atención oportuna a situaciones de alto riesgo.</w:t>
      </w:r>
    </w:p>
    <w:p w14:paraId="275EE2E4" w14:textId="77777777" w:rsidR="00363FFA" w:rsidRPr="00410DE9" w:rsidRDefault="00363FFA" w:rsidP="00B205BA">
      <w:pPr>
        <w:spacing w:after="120" w:line="240" w:lineRule="auto"/>
        <w:rPr>
          <w:rFonts w:cs="Arial"/>
        </w:rPr>
      </w:pPr>
      <w:r w:rsidRPr="00410DE9">
        <w:rPr>
          <w:rFonts w:cs="Arial"/>
        </w:rPr>
        <w:t>1.11.1.4. Diseñar e implementar los protocolos para la operatividad del sistema de gestión de tráfico inteligente.</w:t>
      </w:r>
    </w:p>
    <w:p w14:paraId="7E331021" w14:textId="77777777" w:rsidR="00363FFA" w:rsidRPr="00363FFA" w:rsidRDefault="00363FFA" w:rsidP="00B205BA">
      <w:pPr>
        <w:spacing w:after="120" w:line="240" w:lineRule="auto"/>
        <w:rPr>
          <w:rFonts w:cs="Arial"/>
          <w:b/>
          <w:bCs/>
        </w:rPr>
      </w:pPr>
      <w:r w:rsidRPr="00363FFA">
        <w:rPr>
          <w:rFonts w:cs="Arial"/>
          <w:b/>
          <w:bCs/>
        </w:rPr>
        <w:t xml:space="preserve">Estrategia 1.11.2. Asegurar el uso eficiente de los recursos materiales, humanos e informáticos de la Administración Pública Municipal con el objetivo de brindar un mejor servicio público a la ciudadanía del municipio. </w:t>
      </w:r>
    </w:p>
    <w:p w14:paraId="07FEB0E3" w14:textId="77777777" w:rsidR="00363FFA" w:rsidRPr="00410DE9" w:rsidRDefault="00363FFA" w:rsidP="00B205BA">
      <w:pPr>
        <w:spacing w:after="120" w:line="240" w:lineRule="auto"/>
        <w:rPr>
          <w:rFonts w:cs="Arial"/>
        </w:rPr>
      </w:pPr>
      <w:r w:rsidRPr="00410DE9">
        <w:rPr>
          <w:rFonts w:cs="Arial"/>
        </w:rPr>
        <w:t>Líneas de acción:</w:t>
      </w:r>
      <w:r w:rsidRPr="00410DE9">
        <w:rPr>
          <w:rFonts w:cs="Arial"/>
        </w:rPr>
        <w:tab/>
      </w:r>
    </w:p>
    <w:p w14:paraId="50D4A159" w14:textId="77777777" w:rsidR="00363FFA" w:rsidRPr="00410DE9" w:rsidRDefault="00363FFA" w:rsidP="00B205BA">
      <w:pPr>
        <w:spacing w:after="120" w:line="240" w:lineRule="auto"/>
        <w:rPr>
          <w:rFonts w:cs="Arial"/>
        </w:rPr>
      </w:pPr>
      <w:r w:rsidRPr="00410DE9">
        <w:rPr>
          <w:rFonts w:cs="Arial"/>
        </w:rPr>
        <w:t>1.11.2.1. Desarrollar una aplicación digital que provea de información sobre la calidad de aire a los ciudadanos.</w:t>
      </w:r>
    </w:p>
    <w:p w14:paraId="083EA59B" w14:textId="77777777" w:rsidR="00363FFA" w:rsidRPr="00410DE9" w:rsidRDefault="00363FFA" w:rsidP="00B205BA">
      <w:pPr>
        <w:spacing w:after="120" w:line="240" w:lineRule="auto"/>
        <w:rPr>
          <w:rFonts w:cs="Arial"/>
        </w:rPr>
      </w:pPr>
      <w:r w:rsidRPr="00410DE9">
        <w:rPr>
          <w:rFonts w:cs="Arial"/>
        </w:rPr>
        <w:t>1.11.2.2. Diseñar, desarrollar e implementar una plataforma que integre los servicios municipales digitales, así como el monitoreo en tiempo real de los distintos insumos de las dependencias.</w:t>
      </w:r>
    </w:p>
    <w:p w14:paraId="6663EFB7" w14:textId="77777777" w:rsidR="00363FFA" w:rsidRPr="00410DE9" w:rsidRDefault="00363FFA" w:rsidP="00B205BA">
      <w:pPr>
        <w:spacing w:after="120" w:line="240" w:lineRule="auto"/>
        <w:rPr>
          <w:rFonts w:cs="Arial"/>
        </w:rPr>
      </w:pPr>
      <w:r w:rsidRPr="00410DE9">
        <w:rPr>
          <w:rFonts w:cs="Arial"/>
        </w:rPr>
        <w:t>1.11.2.3. Proveer información oportuna a las dependencias integradas para la toma de decisiones en tiempo real.</w:t>
      </w:r>
    </w:p>
    <w:p w14:paraId="22F03977" w14:textId="77777777" w:rsidR="00363FFA" w:rsidRPr="00410DE9" w:rsidRDefault="00363FFA" w:rsidP="00B205BA">
      <w:pPr>
        <w:spacing w:after="120" w:line="240" w:lineRule="auto"/>
        <w:rPr>
          <w:rFonts w:cs="Arial"/>
        </w:rPr>
      </w:pPr>
      <w:r w:rsidRPr="00410DE9">
        <w:rPr>
          <w:rFonts w:cs="Arial"/>
        </w:rPr>
        <w:t>1.11.2.4. Diseñar e implementar los protocolos de coordinación conjunta interinstitucional que permitan eficientar y armonizar los procesos.</w:t>
      </w:r>
    </w:p>
    <w:p w14:paraId="56A96085" w14:textId="77777777" w:rsidR="00363FFA" w:rsidRDefault="00363FFA" w:rsidP="00B205BA">
      <w:pPr>
        <w:spacing w:after="120" w:line="240" w:lineRule="auto"/>
        <w:rPr>
          <w:rFonts w:cs="Arial"/>
          <w:b/>
          <w:sz w:val="32"/>
          <w:szCs w:val="32"/>
        </w:rPr>
      </w:pPr>
    </w:p>
    <w:p w14:paraId="0554C9ED" w14:textId="77777777" w:rsidR="008905CC" w:rsidRDefault="008905CC" w:rsidP="00B205BA">
      <w:pPr>
        <w:spacing w:after="120" w:line="240" w:lineRule="auto"/>
        <w:rPr>
          <w:rFonts w:cs="Arial"/>
          <w:b/>
          <w:sz w:val="32"/>
          <w:szCs w:val="32"/>
        </w:rPr>
      </w:pPr>
    </w:p>
    <w:p w14:paraId="243FCB14" w14:textId="77777777" w:rsidR="00985D4F" w:rsidRDefault="00985D4F" w:rsidP="00B205BA">
      <w:pPr>
        <w:spacing w:after="120" w:line="240" w:lineRule="auto"/>
        <w:rPr>
          <w:rFonts w:cs="Arial"/>
          <w:b/>
          <w:sz w:val="32"/>
          <w:szCs w:val="32"/>
        </w:rPr>
      </w:pPr>
    </w:p>
    <w:p w14:paraId="48EACFEF" w14:textId="77777777" w:rsidR="00985D4F" w:rsidRDefault="00985D4F" w:rsidP="00B205BA">
      <w:pPr>
        <w:spacing w:after="120" w:line="240" w:lineRule="auto"/>
        <w:rPr>
          <w:rFonts w:cs="Arial"/>
          <w:b/>
          <w:sz w:val="32"/>
          <w:szCs w:val="32"/>
        </w:rPr>
      </w:pPr>
    </w:p>
    <w:p w14:paraId="445EB07A" w14:textId="77777777" w:rsidR="00985D4F" w:rsidRDefault="00985D4F" w:rsidP="00B205BA">
      <w:pPr>
        <w:spacing w:after="120" w:line="240" w:lineRule="auto"/>
        <w:rPr>
          <w:rFonts w:cs="Arial"/>
          <w:b/>
          <w:sz w:val="32"/>
          <w:szCs w:val="32"/>
        </w:rPr>
      </w:pPr>
    </w:p>
    <w:p w14:paraId="457243D4" w14:textId="77777777" w:rsidR="00985D4F" w:rsidRDefault="00985D4F" w:rsidP="00B205BA">
      <w:pPr>
        <w:spacing w:after="120" w:line="240" w:lineRule="auto"/>
        <w:rPr>
          <w:rFonts w:cs="Arial"/>
          <w:b/>
          <w:sz w:val="32"/>
          <w:szCs w:val="32"/>
        </w:rPr>
      </w:pPr>
    </w:p>
    <w:p w14:paraId="60522165" w14:textId="77777777" w:rsidR="008905CC" w:rsidRDefault="008905CC" w:rsidP="00B205BA">
      <w:pPr>
        <w:spacing w:after="120" w:line="240" w:lineRule="auto"/>
        <w:rPr>
          <w:rFonts w:cs="Arial"/>
          <w:b/>
          <w:sz w:val="32"/>
          <w:szCs w:val="32"/>
        </w:rPr>
      </w:pPr>
    </w:p>
    <w:p w14:paraId="0080A612" w14:textId="77777777" w:rsidR="008905CC" w:rsidRDefault="008905CC" w:rsidP="00B205BA">
      <w:pPr>
        <w:spacing w:after="120" w:line="240" w:lineRule="auto"/>
        <w:rPr>
          <w:rFonts w:cs="Arial"/>
          <w:b/>
          <w:sz w:val="32"/>
          <w:szCs w:val="32"/>
        </w:rPr>
      </w:pPr>
    </w:p>
    <w:p w14:paraId="70D5C095" w14:textId="77777777" w:rsidR="008905CC" w:rsidRDefault="008905CC" w:rsidP="00B205BA">
      <w:pPr>
        <w:spacing w:after="120" w:line="240" w:lineRule="auto"/>
        <w:rPr>
          <w:rFonts w:cs="Arial"/>
          <w:b/>
          <w:sz w:val="32"/>
          <w:szCs w:val="32"/>
        </w:rPr>
      </w:pPr>
    </w:p>
    <w:p w14:paraId="0ABB95E1" w14:textId="77777777" w:rsidR="00363FFA" w:rsidRDefault="00363FFA" w:rsidP="00B205BA">
      <w:pPr>
        <w:spacing w:after="120" w:line="240" w:lineRule="auto"/>
        <w:jc w:val="center"/>
        <w:rPr>
          <w:rFonts w:cs="Arial"/>
          <w:b/>
          <w:sz w:val="32"/>
          <w:szCs w:val="32"/>
        </w:rPr>
      </w:pPr>
    </w:p>
    <w:p w14:paraId="746D6807" w14:textId="77777777" w:rsidR="00363FFA" w:rsidRDefault="00363FFA" w:rsidP="00B205BA">
      <w:pPr>
        <w:spacing w:after="120" w:line="240" w:lineRule="auto"/>
        <w:jc w:val="center"/>
        <w:rPr>
          <w:rFonts w:cs="Arial"/>
          <w:b/>
          <w:sz w:val="32"/>
          <w:szCs w:val="32"/>
        </w:rPr>
      </w:pPr>
    </w:p>
    <w:p w14:paraId="4C9DB66D" w14:textId="77777777" w:rsidR="00363FFA" w:rsidRDefault="00363FFA" w:rsidP="00B205BA">
      <w:pPr>
        <w:spacing w:after="120" w:line="240" w:lineRule="auto"/>
        <w:jc w:val="center"/>
        <w:rPr>
          <w:rFonts w:cs="Arial"/>
          <w:b/>
          <w:sz w:val="32"/>
          <w:szCs w:val="32"/>
        </w:rPr>
      </w:pPr>
    </w:p>
    <w:p w14:paraId="2C4AE332" w14:textId="77777777" w:rsidR="00363FFA" w:rsidRDefault="00363FFA" w:rsidP="00B205BA">
      <w:pPr>
        <w:spacing w:after="120" w:line="240" w:lineRule="auto"/>
        <w:jc w:val="center"/>
        <w:rPr>
          <w:rFonts w:cs="Arial"/>
          <w:b/>
          <w:sz w:val="32"/>
          <w:szCs w:val="32"/>
        </w:rPr>
      </w:pPr>
    </w:p>
    <w:p w14:paraId="615D6822" w14:textId="77777777" w:rsidR="00363FFA" w:rsidRDefault="00363FFA" w:rsidP="00B205BA">
      <w:pPr>
        <w:spacing w:after="120" w:line="240" w:lineRule="auto"/>
        <w:jc w:val="center"/>
        <w:rPr>
          <w:rFonts w:cs="Arial"/>
          <w:b/>
          <w:sz w:val="32"/>
          <w:szCs w:val="32"/>
        </w:rPr>
      </w:pPr>
    </w:p>
    <w:p w14:paraId="1B8C9100" w14:textId="77777777" w:rsidR="00363FFA" w:rsidRDefault="00363FFA" w:rsidP="00B205BA">
      <w:pPr>
        <w:spacing w:after="120" w:line="240" w:lineRule="auto"/>
        <w:jc w:val="center"/>
        <w:rPr>
          <w:rFonts w:cs="Arial"/>
          <w:b/>
          <w:sz w:val="32"/>
          <w:szCs w:val="32"/>
        </w:rPr>
      </w:pPr>
    </w:p>
    <w:p w14:paraId="6A5F86FB" w14:textId="77777777" w:rsidR="00363FFA" w:rsidRDefault="00363FFA" w:rsidP="00B205BA">
      <w:pPr>
        <w:spacing w:after="120" w:line="240" w:lineRule="auto"/>
        <w:jc w:val="center"/>
        <w:rPr>
          <w:rFonts w:cs="Arial"/>
          <w:b/>
          <w:sz w:val="32"/>
          <w:szCs w:val="32"/>
        </w:rPr>
      </w:pPr>
    </w:p>
    <w:p w14:paraId="00205BAA" w14:textId="77777777" w:rsidR="00363FFA" w:rsidRDefault="00363FFA" w:rsidP="00B205BA">
      <w:pPr>
        <w:spacing w:after="120" w:line="240" w:lineRule="auto"/>
        <w:jc w:val="center"/>
        <w:rPr>
          <w:rFonts w:cs="Arial"/>
          <w:b/>
          <w:sz w:val="32"/>
          <w:szCs w:val="32"/>
        </w:rPr>
      </w:pPr>
    </w:p>
    <w:p w14:paraId="20959AA5" w14:textId="77777777" w:rsidR="006048AE" w:rsidRDefault="006048AE" w:rsidP="00A033CE">
      <w:pPr>
        <w:spacing w:after="120" w:line="240" w:lineRule="auto"/>
        <w:rPr>
          <w:rFonts w:cs="Arial"/>
          <w:b/>
          <w:sz w:val="32"/>
          <w:szCs w:val="32"/>
        </w:rPr>
      </w:pPr>
    </w:p>
    <w:p w14:paraId="74367B9A" w14:textId="75F00D11" w:rsidR="006048AE" w:rsidRDefault="006048AE" w:rsidP="00B205BA">
      <w:pPr>
        <w:spacing w:after="120" w:line="240" w:lineRule="auto"/>
        <w:jc w:val="center"/>
        <w:rPr>
          <w:rFonts w:cs="Arial"/>
          <w:b/>
          <w:sz w:val="32"/>
          <w:szCs w:val="32"/>
        </w:rPr>
      </w:pPr>
    </w:p>
    <w:p w14:paraId="6174156B" w14:textId="77777777" w:rsidR="00261A27" w:rsidRDefault="00261A27" w:rsidP="00A033CE">
      <w:pPr>
        <w:spacing w:after="120" w:line="240" w:lineRule="auto"/>
        <w:rPr>
          <w:rFonts w:cs="Arial"/>
          <w:b/>
          <w:sz w:val="32"/>
          <w:szCs w:val="32"/>
        </w:rPr>
      </w:pPr>
    </w:p>
    <w:p w14:paraId="0B2663BC" w14:textId="77777777" w:rsidR="006048AE" w:rsidRDefault="006048AE" w:rsidP="00B205BA">
      <w:pPr>
        <w:pStyle w:val="Ttulo2"/>
        <w:spacing w:after="120" w:line="240" w:lineRule="auto"/>
      </w:pPr>
    </w:p>
    <w:p w14:paraId="31F3B72D" w14:textId="5FF79725" w:rsidR="00A93423" w:rsidRDefault="00A93423" w:rsidP="00A033CE">
      <w:pPr>
        <w:pStyle w:val="Ttulo2"/>
      </w:pPr>
      <w:bookmarkStart w:id="11" w:name="_Toc187396120"/>
      <w:r w:rsidRPr="00A033CE">
        <w:t>Frente 2. Hermosillo Sostenible</w:t>
      </w:r>
      <w:r w:rsidR="006048AE" w:rsidRPr="00A033CE">
        <w:t xml:space="preserve"> e Innovador</w:t>
      </w:r>
      <w:bookmarkEnd w:id="11"/>
    </w:p>
    <w:p w14:paraId="7917D6A7" w14:textId="77777777" w:rsidR="00A033CE" w:rsidRPr="00A033CE" w:rsidRDefault="00A033CE" w:rsidP="00A033CE">
      <w:pPr>
        <w:rPr>
          <w:lang w:val="es-MX" w:bidi="ar-SA"/>
        </w:rPr>
      </w:pPr>
    </w:p>
    <w:p w14:paraId="0DBB9B67" w14:textId="05572C68" w:rsidR="00A93423" w:rsidRPr="00A033CE" w:rsidRDefault="006048AE" w:rsidP="00A033CE">
      <w:pPr>
        <w:rPr>
          <w:b/>
          <w:bCs/>
          <w:sz w:val="36"/>
          <w:szCs w:val="36"/>
        </w:rPr>
      </w:pPr>
      <w:r w:rsidRPr="00A033CE">
        <w:rPr>
          <w:b/>
          <w:bCs/>
          <w:sz w:val="36"/>
          <w:szCs w:val="36"/>
        </w:rPr>
        <w:t>“Planeación e infraestructura urbana resiliente y movilidad sostenible, con servicios públicos eficientes y de calidad”</w:t>
      </w:r>
    </w:p>
    <w:p w14:paraId="12657664" w14:textId="77777777" w:rsidR="00A93423" w:rsidRPr="00985D4F" w:rsidRDefault="00A93423" w:rsidP="00B205BA">
      <w:pPr>
        <w:spacing w:after="120" w:line="240" w:lineRule="auto"/>
        <w:rPr>
          <w:rFonts w:cs="Arial"/>
          <w:b/>
          <w:sz w:val="28"/>
          <w:szCs w:val="28"/>
        </w:rPr>
      </w:pPr>
    </w:p>
    <w:p w14:paraId="26373BC9" w14:textId="77777777" w:rsidR="00A93423" w:rsidRPr="00D503D0" w:rsidRDefault="00A93423" w:rsidP="00B205BA">
      <w:pPr>
        <w:spacing w:after="120" w:line="240" w:lineRule="auto"/>
        <w:rPr>
          <w:rFonts w:cs="Arial"/>
          <w:b/>
          <w:sz w:val="24"/>
          <w:szCs w:val="24"/>
        </w:rPr>
      </w:pPr>
    </w:p>
    <w:p w14:paraId="2FFD54C1" w14:textId="25817D19" w:rsidR="00A93423" w:rsidRDefault="00A93423" w:rsidP="00B205BA">
      <w:pPr>
        <w:spacing w:after="120" w:line="240" w:lineRule="auto"/>
        <w:rPr>
          <w:rFonts w:cs="Arial"/>
          <w:b/>
          <w:sz w:val="24"/>
          <w:szCs w:val="24"/>
        </w:rPr>
      </w:pPr>
    </w:p>
    <w:p w14:paraId="73A8EEA9" w14:textId="32D8CDA5" w:rsidR="00E96867" w:rsidRDefault="00E96867" w:rsidP="00B205BA">
      <w:pPr>
        <w:spacing w:after="120" w:line="240" w:lineRule="auto"/>
        <w:rPr>
          <w:rFonts w:cs="Arial"/>
          <w:b/>
          <w:sz w:val="24"/>
          <w:szCs w:val="24"/>
        </w:rPr>
      </w:pPr>
    </w:p>
    <w:p w14:paraId="4255FD58" w14:textId="77E500F7" w:rsidR="00E96867" w:rsidRDefault="00E96867" w:rsidP="00B205BA">
      <w:pPr>
        <w:spacing w:after="120" w:line="240" w:lineRule="auto"/>
        <w:rPr>
          <w:rFonts w:cs="Arial"/>
          <w:b/>
          <w:sz w:val="24"/>
          <w:szCs w:val="24"/>
        </w:rPr>
      </w:pPr>
    </w:p>
    <w:p w14:paraId="2763086E" w14:textId="1D4731D0" w:rsidR="00E96867" w:rsidRDefault="00E96867" w:rsidP="00B205BA">
      <w:pPr>
        <w:spacing w:after="120" w:line="240" w:lineRule="auto"/>
        <w:rPr>
          <w:rFonts w:cs="Arial"/>
          <w:b/>
          <w:sz w:val="24"/>
          <w:szCs w:val="24"/>
        </w:rPr>
      </w:pPr>
    </w:p>
    <w:p w14:paraId="4F4EC7D6" w14:textId="1C553D54" w:rsidR="00E96867" w:rsidRDefault="00E96867" w:rsidP="00B205BA">
      <w:pPr>
        <w:spacing w:after="120" w:line="240" w:lineRule="auto"/>
        <w:rPr>
          <w:rFonts w:cs="Arial"/>
          <w:b/>
          <w:sz w:val="24"/>
          <w:szCs w:val="24"/>
        </w:rPr>
      </w:pPr>
    </w:p>
    <w:p w14:paraId="0D1E782A" w14:textId="64F4A305" w:rsidR="00E96867" w:rsidRDefault="00E96867" w:rsidP="00B205BA">
      <w:pPr>
        <w:spacing w:after="120" w:line="240" w:lineRule="auto"/>
        <w:rPr>
          <w:rFonts w:cs="Arial"/>
          <w:b/>
          <w:sz w:val="24"/>
          <w:szCs w:val="24"/>
        </w:rPr>
      </w:pPr>
    </w:p>
    <w:p w14:paraId="181EE6C3" w14:textId="7487888D" w:rsidR="00E96867" w:rsidRDefault="00E96867" w:rsidP="00B205BA">
      <w:pPr>
        <w:spacing w:after="120" w:line="240" w:lineRule="auto"/>
        <w:rPr>
          <w:rFonts w:cs="Arial"/>
          <w:b/>
          <w:sz w:val="24"/>
          <w:szCs w:val="24"/>
        </w:rPr>
      </w:pPr>
    </w:p>
    <w:p w14:paraId="0E8E6E87" w14:textId="0932FAB3" w:rsidR="00E96867" w:rsidRDefault="00E96867" w:rsidP="00B205BA">
      <w:pPr>
        <w:spacing w:after="120" w:line="240" w:lineRule="auto"/>
        <w:rPr>
          <w:rFonts w:cs="Arial"/>
          <w:b/>
          <w:sz w:val="24"/>
          <w:szCs w:val="24"/>
        </w:rPr>
      </w:pPr>
    </w:p>
    <w:p w14:paraId="03C86DB6" w14:textId="3B2599F0" w:rsidR="00E96867" w:rsidRDefault="00E96867" w:rsidP="00B205BA">
      <w:pPr>
        <w:spacing w:after="120" w:line="240" w:lineRule="auto"/>
        <w:rPr>
          <w:rFonts w:cs="Arial"/>
          <w:b/>
          <w:sz w:val="24"/>
          <w:szCs w:val="24"/>
        </w:rPr>
      </w:pPr>
    </w:p>
    <w:p w14:paraId="2C8F5638" w14:textId="11EB6781" w:rsidR="00E96867" w:rsidRDefault="00E96867" w:rsidP="00B205BA">
      <w:pPr>
        <w:spacing w:after="120" w:line="240" w:lineRule="auto"/>
        <w:rPr>
          <w:rFonts w:cs="Arial"/>
          <w:b/>
          <w:sz w:val="24"/>
          <w:szCs w:val="24"/>
        </w:rPr>
      </w:pPr>
    </w:p>
    <w:p w14:paraId="2581D913" w14:textId="01718473" w:rsidR="00494679" w:rsidRDefault="00494679" w:rsidP="00B205BA">
      <w:pPr>
        <w:spacing w:after="120" w:line="240" w:lineRule="auto"/>
        <w:rPr>
          <w:rFonts w:cs="Arial"/>
          <w:b/>
          <w:sz w:val="24"/>
          <w:szCs w:val="24"/>
        </w:rPr>
      </w:pPr>
    </w:p>
    <w:p w14:paraId="71D14530" w14:textId="77777777" w:rsidR="00A033CE" w:rsidRDefault="00A033CE" w:rsidP="00B205BA">
      <w:pPr>
        <w:spacing w:after="120" w:line="240" w:lineRule="auto"/>
        <w:rPr>
          <w:rFonts w:cs="Arial"/>
          <w:b/>
          <w:sz w:val="24"/>
          <w:szCs w:val="24"/>
        </w:rPr>
      </w:pPr>
    </w:p>
    <w:p w14:paraId="76452AC6" w14:textId="77777777" w:rsidR="00985D4F" w:rsidRPr="00D503D0" w:rsidRDefault="00985D4F" w:rsidP="00B205BA">
      <w:pPr>
        <w:spacing w:after="120" w:line="240" w:lineRule="auto"/>
        <w:rPr>
          <w:rFonts w:cs="Arial"/>
          <w:b/>
          <w:sz w:val="24"/>
          <w:szCs w:val="24"/>
        </w:rPr>
      </w:pPr>
    </w:p>
    <w:p w14:paraId="579B72B0" w14:textId="114FCADB" w:rsidR="006004FD" w:rsidRPr="00A033CE" w:rsidRDefault="006004FD" w:rsidP="00B205BA">
      <w:pPr>
        <w:pStyle w:val="NormalWeb"/>
        <w:spacing w:before="0" w:beforeAutospacing="0" w:after="120" w:afterAutospacing="0"/>
        <w:jc w:val="both"/>
        <w:rPr>
          <w:rFonts w:ascii="Arial" w:hAnsi="Arial" w:cs="Arial"/>
          <w:b/>
          <w:bCs/>
          <w:color w:val="000000"/>
          <w:sz w:val="28"/>
          <w:szCs w:val="28"/>
        </w:rPr>
      </w:pPr>
      <w:bookmarkStart w:id="12" w:name="_Hlk182478086"/>
      <w:bookmarkEnd w:id="12"/>
      <w:r w:rsidRPr="00A033CE">
        <w:rPr>
          <w:rFonts w:ascii="Arial" w:hAnsi="Arial" w:cs="Arial"/>
          <w:b/>
          <w:bCs/>
          <w:color w:val="000000"/>
          <w:sz w:val="28"/>
          <w:szCs w:val="28"/>
        </w:rPr>
        <w:lastRenderedPageBreak/>
        <w:t>Análisis situacional</w:t>
      </w:r>
      <w:r w:rsidR="00B205BA" w:rsidRPr="00A033CE">
        <w:rPr>
          <w:rFonts w:ascii="Arial" w:hAnsi="Arial" w:cs="Arial"/>
          <w:b/>
          <w:bCs/>
          <w:color w:val="000000"/>
          <w:sz w:val="28"/>
          <w:szCs w:val="28"/>
        </w:rPr>
        <w:t>.</w:t>
      </w:r>
    </w:p>
    <w:p w14:paraId="1C217C07" w14:textId="623E3679" w:rsidR="00EC118C" w:rsidRDefault="00EC118C" w:rsidP="00B205BA">
      <w:pPr>
        <w:pStyle w:val="NormalWeb"/>
        <w:spacing w:before="0" w:beforeAutospacing="0" w:after="120" w:afterAutospacing="0"/>
        <w:jc w:val="both"/>
        <w:rPr>
          <w:rFonts w:ascii="Arial" w:hAnsi="Arial" w:cs="Arial"/>
          <w:color w:val="000000"/>
          <w:sz w:val="22"/>
          <w:szCs w:val="22"/>
        </w:rPr>
      </w:pPr>
      <w:r>
        <w:rPr>
          <w:rFonts w:ascii="Arial" w:hAnsi="Arial" w:cs="Arial"/>
          <w:color w:val="000000"/>
          <w:sz w:val="22"/>
          <w:szCs w:val="22"/>
        </w:rPr>
        <w:t xml:space="preserve">El municipio de Hermosillo se localiza al noroeste del estado de Sonora, con una superficie territorial de 14 880 </w:t>
      </w:r>
      <w:r w:rsidRPr="004754A1">
        <w:rPr>
          <w:rFonts w:ascii="Arial" w:hAnsi="Arial" w:cs="Arial"/>
          <w:color w:val="000000"/>
          <w:sz w:val="22"/>
          <w:szCs w:val="22"/>
        </w:rPr>
        <w:t xml:space="preserve">km² de suelo continental y </w:t>
      </w:r>
      <w:r>
        <w:rPr>
          <w:rFonts w:ascii="Arial" w:hAnsi="Arial" w:cs="Arial"/>
          <w:color w:val="000000"/>
          <w:sz w:val="22"/>
          <w:szCs w:val="22"/>
        </w:rPr>
        <w:t>2046</w:t>
      </w:r>
      <w:r w:rsidRPr="004754A1">
        <w:rPr>
          <w:rFonts w:ascii="Arial" w:hAnsi="Arial" w:cs="Arial"/>
          <w:color w:val="000000"/>
          <w:sz w:val="22"/>
          <w:szCs w:val="22"/>
        </w:rPr>
        <w:t xml:space="preserve"> km² de</w:t>
      </w:r>
      <w:r>
        <w:rPr>
          <w:rFonts w:ascii="Arial" w:hAnsi="Arial" w:cs="Arial"/>
          <w:color w:val="000000"/>
          <w:sz w:val="22"/>
          <w:szCs w:val="22"/>
        </w:rPr>
        <w:t xml:space="preserve"> superficie insular (Isla del Tiburón)</w:t>
      </w:r>
      <w:r>
        <w:rPr>
          <w:rFonts w:ascii="Arial" w:hAnsi="Arial" w:cs="Arial"/>
          <w:color w:val="000000"/>
        </w:rPr>
        <w:t xml:space="preserve">, </w:t>
      </w:r>
      <w:r w:rsidRPr="00B4359D">
        <w:rPr>
          <w:rFonts w:ascii="Arial" w:hAnsi="Arial" w:cs="Arial"/>
          <w:color w:val="000000"/>
          <w:sz w:val="22"/>
        </w:rPr>
        <w:t xml:space="preserve">por </w:t>
      </w:r>
      <w:r>
        <w:rPr>
          <w:rFonts w:ascii="Arial" w:hAnsi="Arial" w:cs="Arial"/>
          <w:color w:val="000000"/>
          <w:sz w:val="22"/>
        </w:rPr>
        <w:t>lo que es considerado</w:t>
      </w:r>
      <w:r>
        <w:rPr>
          <w:rFonts w:ascii="Arial" w:hAnsi="Arial" w:cs="Arial"/>
          <w:color w:val="000000"/>
          <w:sz w:val="22"/>
          <w:szCs w:val="22"/>
        </w:rPr>
        <w:t xml:space="preserve"> el octavo municipio con mayor extensión en México. </w:t>
      </w:r>
      <w:r w:rsidRPr="00EC118C">
        <w:rPr>
          <w:rFonts w:ascii="Arial" w:hAnsi="Arial" w:cs="Arial"/>
          <w:color w:val="000000"/>
          <w:sz w:val="22"/>
          <w:szCs w:val="22"/>
        </w:rPr>
        <w:t>En 2015, fue categorizado</w:t>
      </w:r>
      <w:r>
        <w:rPr>
          <w:rFonts w:ascii="Arial" w:hAnsi="Arial" w:cs="Arial"/>
          <w:color w:val="000000"/>
          <w:sz w:val="22"/>
          <w:szCs w:val="22"/>
        </w:rPr>
        <w:t xml:space="preserve"> como Zona Metropolitana</w:t>
      </w:r>
      <w:r>
        <w:rPr>
          <w:rFonts w:ascii="Arial" w:hAnsi="Arial" w:cs="Arial"/>
          <w:b/>
          <w:bCs/>
          <w:color w:val="000000"/>
          <w:sz w:val="22"/>
          <w:szCs w:val="22"/>
        </w:rPr>
        <w:t xml:space="preserve"> </w:t>
      </w:r>
      <w:r>
        <w:rPr>
          <w:rFonts w:ascii="Arial" w:hAnsi="Arial" w:cs="Arial"/>
          <w:color w:val="000000"/>
          <w:sz w:val="22"/>
          <w:szCs w:val="22"/>
        </w:rPr>
        <w:t>por su importancia regional; para 2024, se determinó dentro del Sistema Urbano Nacional que el territorio municipal en su totalidad es considerado Municipio Metropolitano.</w:t>
      </w:r>
    </w:p>
    <w:p w14:paraId="4B9FE44C" w14:textId="77777777" w:rsidR="00EC118C" w:rsidRPr="0052777B" w:rsidRDefault="00EC118C" w:rsidP="00B205BA">
      <w:pPr>
        <w:spacing w:after="120" w:line="240" w:lineRule="auto"/>
        <w:rPr>
          <w:rFonts w:cs="Arial"/>
        </w:rPr>
      </w:pPr>
      <w:r w:rsidRPr="0052777B">
        <w:rPr>
          <w:rFonts w:cs="Arial"/>
        </w:rPr>
        <w:t xml:space="preserve">De acuerdo con el Censo de Población y Vivienda 2020 del </w:t>
      </w:r>
      <w:r>
        <w:rPr>
          <w:rFonts w:cs="Arial"/>
        </w:rPr>
        <w:t>Instituto Nacional de Estadística y Geografía (</w:t>
      </w:r>
      <w:r w:rsidRPr="0052777B">
        <w:rPr>
          <w:rFonts w:cs="Arial"/>
        </w:rPr>
        <w:t>INEGI</w:t>
      </w:r>
      <w:r>
        <w:rPr>
          <w:rFonts w:cs="Arial"/>
        </w:rPr>
        <w:t>)</w:t>
      </w:r>
      <w:r>
        <w:rPr>
          <w:rStyle w:val="Refdenotaalpie"/>
          <w:rFonts w:cs="Arial"/>
        </w:rPr>
        <w:footnoteReference w:id="26"/>
      </w:r>
      <w:r w:rsidRPr="0052777B">
        <w:rPr>
          <w:rFonts w:cs="Arial"/>
        </w:rPr>
        <w:t xml:space="preserve">, </w:t>
      </w:r>
      <w:r>
        <w:rPr>
          <w:rFonts w:cs="Arial"/>
        </w:rPr>
        <w:t>el municipio de Hermosillo tiene una población total de 936 263 habitantes distribuidos en</w:t>
      </w:r>
      <w:r w:rsidRPr="0052777B">
        <w:rPr>
          <w:rFonts w:cs="Arial"/>
        </w:rPr>
        <w:t xml:space="preserve"> </w:t>
      </w:r>
      <w:r>
        <w:rPr>
          <w:rFonts w:cs="Arial"/>
        </w:rPr>
        <w:t>1022</w:t>
      </w:r>
      <w:r w:rsidRPr="0052777B">
        <w:rPr>
          <w:rFonts w:cs="Arial"/>
        </w:rPr>
        <w:t xml:space="preserve"> localidades</w:t>
      </w:r>
      <w:r>
        <w:rPr>
          <w:rFonts w:cs="Arial"/>
        </w:rPr>
        <w:t xml:space="preserve">, de las cuales, la ciudad de Hermosillo y las localidades de Miguel Alemán, Bahía de Kino </w:t>
      </w:r>
      <w:r w:rsidRPr="0052777B">
        <w:rPr>
          <w:rFonts w:cs="Arial"/>
        </w:rPr>
        <w:t xml:space="preserve">y San Pedro El Saucito </w:t>
      </w:r>
      <w:r>
        <w:rPr>
          <w:rFonts w:cs="Arial"/>
        </w:rPr>
        <w:t>concentran</w:t>
      </w:r>
      <w:r w:rsidRPr="0052777B">
        <w:rPr>
          <w:rFonts w:cs="Arial"/>
        </w:rPr>
        <w:t xml:space="preserve"> 97</w:t>
      </w:r>
      <w:r>
        <w:rPr>
          <w:rFonts w:cs="Arial"/>
        </w:rPr>
        <w:t xml:space="preserve"> </w:t>
      </w:r>
      <w:r w:rsidRPr="0052777B">
        <w:rPr>
          <w:rFonts w:cs="Arial"/>
        </w:rPr>
        <w:t>% de la población del municipio</w:t>
      </w:r>
      <w:r>
        <w:rPr>
          <w:rFonts w:cs="Arial"/>
        </w:rPr>
        <w:t>.</w:t>
      </w:r>
    </w:p>
    <w:p w14:paraId="50060396" w14:textId="77777777" w:rsidR="00EC118C" w:rsidRDefault="00EC118C" w:rsidP="00B205BA">
      <w:pPr>
        <w:spacing w:after="120" w:line="240" w:lineRule="auto"/>
        <w:rPr>
          <w:rFonts w:cs="Arial"/>
        </w:rPr>
      </w:pPr>
      <w:r w:rsidRPr="0052777B">
        <w:rPr>
          <w:rFonts w:cs="Arial"/>
        </w:rPr>
        <w:t xml:space="preserve">La información </w:t>
      </w:r>
      <w:r w:rsidRPr="00B90309">
        <w:rPr>
          <w:rFonts w:cs="Arial"/>
        </w:rPr>
        <w:t xml:space="preserve">de </w:t>
      </w:r>
      <w:r w:rsidRPr="0052777B">
        <w:rPr>
          <w:rFonts w:cs="Arial"/>
        </w:rPr>
        <w:t>los censos 2000, 2005, 2010 y 2020</w:t>
      </w:r>
      <w:r w:rsidRPr="00B90309">
        <w:rPr>
          <w:rFonts w:cs="Arial"/>
        </w:rPr>
        <w:t xml:space="preserve"> </w:t>
      </w:r>
      <w:r w:rsidRPr="0052777B">
        <w:rPr>
          <w:rFonts w:cs="Arial"/>
        </w:rPr>
        <w:t>sobre las localidades de Hermosillo revela una notable concentración de la población en pocas zonas urbanas</w:t>
      </w:r>
      <w:r>
        <w:rPr>
          <w:rFonts w:cs="Arial"/>
        </w:rPr>
        <w:t>,</w:t>
      </w:r>
      <w:r w:rsidRPr="00B90309">
        <w:rPr>
          <w:rFonts w:cs="Arial"/>
        </w:rPr>
        <w:t xml:space="preserve"> </w:t>
      </w:r>
      <w:r>
        <w:rPr>
          <w:rFonts w:cs="Arial"/>
        </w:rPr>
        <w:t>así como</w:t>
      </w:r>
      <w:r w:rsidRPr="00B90309">
        <w:rPr>
          <w:rFonts w:cs="Arial"/>
        </w:rPr>
        <w:t xml:space="preserve"> una</w:t>
      </w:r>
      <w:r w:rsidRPr="0052777B">
        <w:rPr>
          <w:rFonts w:cs="Arial"/>
        </w:rPr>
        <w:t xml:space="preserve"> disminución de las localidades rurales habitadas</w:t>
      </w:r>
      <w:r>
        <w:rPr>
          <w:rFonts w:cs="Arial"/>
        </w:rPr>
        <w:t>. Esto</w:t>
      </w:r>
      <w:r w:rsidRPr="0052777B">
        <w:rPr>
          <w:rFonts w:cs="Arial"/>
        </w:rPr>
        <w:t xml:space="preserve"> podría </w:t>
      </w:r>
      <w:r>
        <w:rPr>
          <w:rFonts w:cs="Arial"/>
        </w:rPr>
        <w:t>ser causa de</w:t>
      </w:r>
      <w:r w:rsidRPr="0052777B">
        <w:rPr>
          <w:rFonts w:cs="Arial"/>
        </w:rPr>
        <w:t xml:space="preserve"> disparidades en el acceso a servicios básicos y en la calidad de vida entre las zonas rurales y urbanas. </w:t>
      </w:r>
    </w:p>
    <w:p w14:paraId="11C47261" w14:textId="480794ED" w:rsidR="00EC118C" w:rsidRPr="004754A1" w:rsidRDefault="00EC118C" w:rsidP="00B205BA">
      <w:pPr>
        <w:spacing w:after="120" w:line="240" w:lineRule="auto"/>
        <w:rPr>
          <w:rFonts w:cs="Arial"/>
        </w:rPr>
      </w:pPr>
      <w:r w:rsidRPr="004754A1">
        <w:rPr>
          <w:rFonts w:cs="Arial"/>
        </w:rPr>
        <w:t>El acelerado crecimiento de Hermosillo entre</w:t>
      </w:r>
      <w:r>
        <w:rPr>
          <w:rFonts w:cs="Arial"/>
        </w:rPr>
        <w:t xml:space="preserve"> los años</w:t>
      </w:r>
      <w:r w:rsidRPr="004754A1">
        <w:rPr>
          <w:rFonts w:cs="Arial"/>
        </w:rPr>
        <w:t xml:space="preserve"> 2000 y 2020 </w:t>
      </w:r>
      <w:r>
        <w:rPr>
          <w:rFonts w:cs="Arial"/>
        </w:rPr>
        <w:t>permite apreciar</w:t>
      </w:r>
      <w:r w:rsidRPr="004754A1">
        <w:rPr>
          <w:rFonts w:cs="Arial"/>
        </w:rPr>
        <w:t xml:space="preserve"> un proceso de urbanización y expansión económica caracterizado por una alta tasa de migración interna, </w:t>
      </w:r>
      <w:r w:rsidR="00F760B0">
        <w:rPr>
          <w:rFonts w:cs="Arial"/>
        </w:rPr>
        <w:t>principalmente</w:t>
      </w:r>
      <w:r w:rsidRPr="004754A1">
        <w:rPr>
          <w:rFonts w:cs="Arial"/>
        </w:rPr>
        <w:t xml:space="preserve"> desde las comunidades rurales hacia el centro urbano. </w:t>
      </w:r>
      <w:r>
        <w:rPr>
          <w:rFonts w:cs="Arial"/>
        </w:rPr>
        <w:t>Este</w:t>
      </w:r>
      <w:r w:rsidRPr="004754A1">
        <w:rPr>
          <w:rFonts w:cs="Arial"/>
        </w:rPr>
        <w:t xml:space="preserve"> </w:t>
      </w:r>
      <w:r>
        <w:rPr>
          <w:rFonts w:cs="Arial"/>
        </w:rPr>
        <w:t>fenómeno genera</w:t>
      </w:r>
      <w:r w:rsidRPr="004754A1">
        <w:rPr>
          <w:rFonts w:cs="Arial"/>
        </w:rPr>
        <w:t xml:space="preserve"> presiones en la infraestructura urbana, especialmente en acceso </w:t>
      </w:r>
      <w:r>
        <w:rPr>
          <w:rFonts w:cs="Arial"/>
        </w:rPr>
        <w:t>al</w:t>
      </w:r>
      <w:r w:rsidRPr="004754A1">
        <w:rPr>
          <w:rFonts w:cs="Arial"/>
        </w:rPr>
        <w:t xml:space="preserve"> agua, vivienda, transporte y servicios públicos.</w:t>
      </w:r>
    </w:p>
    <w:p w14:paraId="3864A165" w14:textId="77777777" w:rsidR="00EC118C" w:rsidRPr="004754A1" w:rsidRDefault="00EC118C" w:rsidP="00B205BA">
      <w:pPr>
        <w:spacing w:after="120" w:line="240" w:lineRule="auto"/>
        <w:rPr>
          <w:rFonts w:cs="Arial"/>
        </w:rPr>
      </w:pPr>
      <w:r w:rsidRPr="00272629">
        <w:rPr>
          <w:rFonts w:cs="Arial"/>
        </w:rPr>
        <w:t>Aunado a ello, la pandemia de COVID-19 tuvo un impac</w:t>
      </w:r>
      <w:r w:rsidRPr="004912B2">
        <w:rPr>
          <w:rFonts w:cs="Arial"/>
        </w:rPr>
        <w:t>to significativo en las dinámicas demográficas de Hermosillo, provocando cambios en su estructura y replanteando las prioridades de planificación urbana y de servicios públicos para hacer frente a la crisis sanitaria y económica.</w:t>
      </w:r>
    </w:p>
    <w:p w14:paraId="07907557" w14:textId="77777777" w:rsidR="00EC118C" w:rsidRPr="004754A1" w:rsidRDefault="00EC118C" w:rsidP="00B205BA">
      <w:pPr>
        <w:spacing w:after="120" w:line="240" w:lineRule="auto"/>
        <w:rPr>
          <w:rFonts w:cs="Arial"/>
        </w:rPr>
      </w:pPr>
      <w:r>
        <w:rPr>
          <w:rFonts w:cs="Arial"/>
        </w:rPr>
        <w:t>Ello</w:t>
      </w:r>
      <w:r w:rsidRPr="004754A1">
        <w:rPr>
          <w:rFonts w:cs="Arial"/>
        </w:rPr>
        <w:t xml:space="preserve"> exigió al Gobierno Municipal un ajuste </w:t>
      </w:r>
      <w:r>
        <w:rPr>
          <w:rFonts w:cs="Arial"/>
        </w:rPr>
        <w:t>en</w:t>
      </w:r>
      <w:r w:rsidRPr="004754A1">
        <w:rPr>
          <w:rFonts w:cs="Arial"/>
        </w:rPr>
        <w:t xml:space="preserve"> </w:t>
      </w:r>
      <w:r>
        <w:rPr>
          <w:rFonts w:cs="Arial"/>
        </w:rPr>
        <w:t>sus</w:t>
      </w:r>
      <w:r w:rsidRPr="004754A1">
        <w:rPr>
          <w:rFonts w:cs="Arial"/>
        </w:rPr>
        <w:t xml:space="preserve"> políticas públicas para adaptarse a las nuevas dinámicas de movilidad y demanda de servicios</w:t>
      </w:r>
      <w:r>
        <w:rPr>
          <w:rFonts w:cs="Arial"/>
        </w:rPr>
        <w:t>. A causa de esto,</w:t>
      </w:r>
      <w:r w:rsidRPr="004754A1">
        <w:rPr>
          <w:rFonts w:cs="Arial"/>
        </w:rPr>
        <w:t xml:space="preserve"> 2021 y 2022 fueron años de recuperación, </w:t>
      </w:r>
      <w:r>
        <w:rPr>
          <w:rFonts w:cs="Arial"/>
        </w:rPr>
        <w:t xml:space="preserve">lo </w:t>
      </w:r>
      <w:r w:rsidRPr="004754A1">
        <w:rPr>
          <w:rFonts w:cs="Arial"/>
        </w:rPr>
        <w:t xml:space="preserve">que </w:t>
      </w:r>
      <w:r>
        <w:rPr>
          <w:rFonts w:cs="Arial"/>
        </w:rPr>
        <w:t>implicó</w:t>
      </w:r>
      <w:r w:rsidRPr="004754A1">
        <w:rPr>
          <w:rFonts w:cs="Arial"/>
        </w:rPr>
        <w:t xml:space="preserve"> </w:t>
      </w:r>
      <w:r>
        <w:rPr>
          <w:rFonts w:cs="Arial"/>
        </w:rPr>
        <w:t>la</w:t>
      </w:r>
      <w:r w:rsidRPr="004754A1">
        <w:rPr>
          <w:rFonts w:cs="Arial"/>
        </w:rPr>
        <w:t xml:space="preserve"> reorganización de recursos y una planificación urbana orientada a satisfacer las crecientes demandas de infraestructura, servicios públicos y desarrollo social en un entorno de resiliencia.</w:t>
      </w:r>
    </w:p>
    <w:p w14:paraId="4BF22F52" w14:textId="77777777" w:rsidR="00EC118C" w:rsidRDefault="00EC118C" w:rsidP="00B205BA">
      <w:pPr>
        <w:spacing w:after="120" w:line="240" w:lineRule="auto"/>
        <w:rPr>
          <w:rFonts w:cs="Arial"/>
        </w:rPr>
      </w:pPr>
      <w:r>
        <w:rPr>
          <w:rFonts w:cs="Arial"/>
        </w:rPr>
        <w:t>Durante la</w:t>
      </w:r>
      <w:r w:rsidRPr="004754A1">
        <w:rPr>
          <w:rFonts w:cs="Arial"/>
        </w:rPr>
        <w:t xml:space="preserve"> administración</w:t>
      </w:r>
      <w:r>
        <w:rPr>
          <w:rFonts w:cs="Arial"/>
        </w:rPr>
        <w:t xml:space="preserve"> municipal 2021-2024</w:t>
      </w:r>
      <w:r w:rsidRPr="004754A1">
        <w:rPr>
          <w:rFonts w:cs="Arial"/>
        </w:rPr>
        <w:t xml:space="preserve">, se </w:t>
      </w:r>
      <w:r>
        <w:rPr>
          <w:rFonts w:cs="Arial"/>
        </w:rPr>
        <w:t>destacó</w:t>
      </w:r>
      <w:r w:rsidRPr="004754A1">
        <w:rPr>
          <w:rFonts w:cs="Arial"/>
        </w:rPr>
        <w:t xml:space="preserve"> el crecimiento tanto en términos territoriales como poblacionales, </w:t>
      </w:r>
      <w:r>
        <w:rPr>
          <w:rFonts w:cs="Arial"/>
        </w:rPr>
        <w:t>lo que subrayó</w:t>
      </w:r>
      <w:r w:rsidRPr="004754A1">
        <w:rPr>
          <w:rFonts w:cs="Arial"/>
        </w:rPr>
        <w:t xml:space="preserve"> el fenómeno de la disparidad entre áreas urbanas y rurales que ha caracterizado al municipio </w:t>
      </w:r>
      <w:r>
        <w:rPr>
          <w:rFonts w:cs="Arial"/>
        </w:rPr>
        <w:t xml:space="preserve">durante </w:t>
      </w:r>
      <w:r w:rsidRPr="004754A1">
        <w:rPr>
          <w:rFonts w:cs="Arial"/>
        </w:rPr>
        <w:t>las últimas dos décadas.</w:t>
      </w:r>
    </w:p>
    <w:p w14:paraId="250E36C8" w14:textId="77777777" w:rsidR="00EC118C" w:rsidRPr="004754A1" w:rsidRDefault="00EC118C" w:rsidP="00B205BA">
      <w:pPr>
        <w:spacing w:after="120" w:line="240" w:lineRule="auto"/>
        <w:rPr>
          <w:rFonts w:cs="Arial"/>
        </w:rPr>
      </w:pPr>
      <w:r w:rsidRPr="004754A1">
        <w:rPr>
          <w:rFonts w:cs="Arial"/>
        </w:rPr>
        <w:t xml:space="preserve">Esto plantea un reto </w:t>
      </w:r>
      <w:r>
        <w:rPr>
          <w:rFonts w:cs="Arial"/>
        </w:rPr>
        <w:t xml:space="preserve">importante </w:t>
      </w:r>
      <w:r w:rsidRPr="004754A1">
        <w:rPr>
          <w:rFonts w:cs="Arial"/>
        </w:rPr>
        <w:t xml:space="preserve">en términos de equidad en el acceso a servicios y en la distribución de recursos, ya que las áreas rurales pueden ver </w:t>
      </w:r>
      <w:r>
        <w:rPr>
          <w:rFonts w:cs="Arial"/>
        </w:rPr>
        <w:t>reducida su</w:t>
      </w:r>
      <w:r w:rsidRPr="004754A1">
        <w:rPr>
          <w:rFonts w:cs="Arial"/>
        </w:rPr>
        <w:t xml:space="preserve"> disponibilidad de servicios básicos debido a la dispersión de la población y </w:t>
      </w:r>
      <w:r>
        <w:rPr>
          <w:rFonts w:cs="Arial"/>
        </w:rPr>
        <w:t xml:space="preserve">a </w:t>
      </w:r>
      <w:r w:rsidRPr="004754A1">
        <w:rPr>
          <w:rFonts w:cs="Arial"/>
        </w:rPr>
        <w:t xml:space="preserve">la baja densidad en esos lugares, lo que plantea un </w:t>
      </w:r>
      <w:r>
        <w:rPr>
          <w:rFonts w:cs="Arial"/>
        </w:rPr>
        <w:t>desafío</w:t>
      </w:r>
      <w:r w:rsidRPr="004754A1">
        <w:rPr>
          <w:rFonts w:cs="Arial"/>
        </w:rPr>
        <w:t xml:space="preserve"> para la planificación urbana y de infraestructura.</w:t>
      </w:r>
    </w:p>
    <w:p w14:paraId="2D584FE7" w14:textId="77777777" w:rsidR="00EC118C" w:rsidRPr="0052777B" w:rsidRDefault="00EC118C" w:rsidP="00B205BA">
      <w:pPr>
        <w:spacing w:after="120" w:line="240" w:lineRule="auto"/>
        <w:rPr>
          <w:rFonts w:cs="Arial"/>
        </w:rPr>
      </w:pPr>
      <w:r>
        <w:rPr>
          <w:rFonts w:cs="Arial"/>
        </w:rPr>
        <w:t>En los</w:t>
      </w:r>
      <w:r w:rsidRPr="004754A1">
        <w:rPr>
          <w:rFonts w:cs="Arial"/>
        </w:rPr>
        <w:t xml:space="preserve"> próximos años</w:t>
      </w:r>
      <w:r>
        <w:rPr>
          <w:rFonts w:cs="Arial"/>
        </w:rPr>
        <w:t>,</w:t>
      </w:r>
      <w:r w:rsidRPr="004754A1">
        <w:rPr>
          <w:rFonts w:cs="Arial"/>
        </w:rPr>
        <w:t xml:space="preserve"> Hermosillo se enfrentará al importante </w:t>
      </w:r>
      <w:r>
        <w:rPr>
          <w:rFonts w:cs="Arial"/>
        </w:rPr>
        <w:t>reto</w:t>
      </w:r>
      <w:r w:rsidRPr="004754A1">
        <w:rPr>
          <w:rFonts w:cs="Arial"/>
        </w:rPr>
        <w:t xml:space="preserve"> de la equidad territorial y </w:t>
      </w:r>
      <w:r>
        <w:rPr>
          <w:rFonts w:cs="Arial"/>
        </w:rPr>
        <w:t xml:space="preserve">la </w:t>
      </w:r>
      <w:r w:rsidRPr="004754A1">
        <w:rPr>
          <w:rFonts w:cs="Arial"/>
        </w:rPr>
        <w:t>sostenibilidad urbana</w:t>
      </w:r>
      <w:r>
        <w:rPr>
          <w:rFonts w:cs="Arial"/>
        </w:rPr>
        <w:t>. Ante esto,</w:t>
      </w:r>
      <w:r w:rsidRPr="004754A1">
        <w:rPr>
          <w:rFonts w:cs="Arial"/>
        </w:rPr>
        <w:t xml:space="preserve"> es esencial una planificación eficaz con enfoque dual (urbano-rural) para abordar las necesidades y retos específicos de cada área</w:t>
      </w:r>
      <w:r>
        <w:rPr>
          <w:rFonts w:cs="Arial"/>
        </w:rPr>
        <w:t>.</w:t>
      </w:r>
      <w:r w:rsidRPr="004754A1">
        <w:rPr>
          <w:rFonts w:cs="Arial"/>
        </w:rPr>
        <w:t xml:space="preserve"> </w:t>
      </w:r>
      <w:r>
        <w:rPr>
          <w:rFonts w:cs="Arial"/>
        </w:rPr>
        <w:t>Esto garantizaría</w:t>
      </w:r>
      <w:r w:rsidRPr="004754A1">
        <w:rPr>
          <w:rFonts w:cs="Arial"/>
        </w:rPr>
        <w:t xml:space="preserve"> un desarrollo equitativo y sostenible para todo el municipio, donde la </w:t>
      </w:r>
      <w:r w:rsidRPr="004754A1">
        <w:rPr>
          <w:rFonts w:cs="Arial"/>
        </w:rPr>
        <w:lastRenderedPageBreak/>
        <w:t xml:space="preserve">urbanización continúa siendo </w:t>
      </w:r>
      <w:r>
        <w:rPr>
          <w:rFonts w:cs="Arial"/>
        </w:rPr>
        <w:t>uno de los factores</w:t>
      </w:r>
      <w:r w:rsidRPr="004754A1">
        <w:rPr>
          <w:rFonts w:cs="Arial"/>
        </w:rPr>
        <w:t xml:space="preserve"> más importantes para </w:t>
      </w:r>
      <w:r>
        <w:rPr>
          <w:rFonts w:cs="Arial"/>
        </w:rPr>
        <w:t>avanzar hacia los objetivos de</w:t>
      </w:r>
      <w:r w:rsidRPr="004754A1">
        <w:rPr>
          <w:rFonts w:cs="Arial"/>
        </w:rPr>
        <w:t xml:space="preserve"> la Agenda 2030.</w:t>
      </w:r>
    </w:p>
    <w:p w14:paraId="188472F2" w14:textId="2071FAA4" w:rsidR="00261A27" w:rsidRDefault="00EC118C" w:rsidP="00B205BA">
      <w:pPr>
        <w:spacing w:after="120" w:line="240" w:lineRule="auto"/>
        <w:rPr>
          <w:rFonts w:cs="Arial"/>
          <w:b/>
          <w:bCs/>
        </w:rPr>
      </w:pPr>
      <w:r w:rsidRPr="00394848">
        <w:rPr>
          <w:rFonts w:cs="Arial"/>
          <w:b/>
          <w:bCs/>
        </w:rPr>
        <w:t>Planeación del desarrollo urbano</w:t>
      </w:r>
      <w:r w:rsidR="00261A27">
        <w:rPr>
          <w:rFonts w:cs="Arial"/>
          <w:b/>
          <w:bCs/>
        </w:rPr>
        <w:t>.</w:t>
      </w:r>
    </w:p>
    <w:p w14:paraId="5F9C04A1" w14:textId="77777777" w:rsidR="00734FFB" w:rsidRDefault="00EC118C" w:rsidP="00734FFB">
      <w:pPr>
        <w:spacing w:after="120" w:line="240" w:lineRule="auto"/>
        <w:rPr>
          <w:rFonts w:cs="Arial"/>
          <w:color w:val="000000"/>
        </w:rPr>
      </w:pPr>
      <w:r w:rsidRPr="00394848">
        <w:rPr>
          <w:rFonts w:cs="Arial"/>
          <w:color w:val="000000"/>
        </w:rPr>
        <w:t>Entre los aspectos a analizar se encuentra la funcionalidad territorial de los asentamientos, donde destacan factores como la concentración de población, la movilidad, la aptitud territorial, el consumo de suelo y la disponibilidad de recursos naturales para la provisión de servicios ambientales y la conservación del capital natural.</w:t>
      </w:r>
    </w:p>
    <w:p w14:paraId="62CB5DE0" w14:textId="799B8DCE" w:rsidR="00EC118C" w:rsidRDefault="00EC118C" w:rsidP="00734FFB">
      <w:pPr>
        <w:spacing w:after="120" w:line="240" w:lineRule="auto"/>
        <w:rPr>
          <w:rFonts w:cs="Arial"/>
          <w:color w:val="000000"/>
        </w:rPr>
      </w:pPr>
      <w:r w:rsidRPr="00394848">
        <w:rPr>
          <w:rFonts w:cs="Arial"/>
          <w:color w:val="000000"/>
        </w:rPr>
        <w:t xml:space="preserve">El primer paso en </w:t>
      </w:r>
      <w:r>
        <w:rPr>
          <w:rFonts w:cs="Arial"/>
          <w:color w:val="000000"/>
        </w:rPr>
        <w:t>este</w:t>
      </w:r>
      <w:r w:rsidRPr="00394848">
        <w:rPr>
          <w:rFonts w:cs="Arial"/>
          <w:color w:val="000000"/>
        </w:rPr>
        <w:t xml:space="preserve"> análisis consiste en dimensionar la relación entre la proporción y el crecimiento de la población con la expansión del suelo urbanizado. Para ello, se han identificado tres centros de población urbanos dentro del municipio, los cuales concentran </w:t>
      </w:r>
      <w:r>
        <w:rPr>
          <w:rFonts w:cs="Arial"/>
          <w:color w:val="000000"/>
        </w:rPr>
        <w:t xml:space="preserve">actualmente </w:t>
      </w:r>
      <w:r w:rsidRPr="00394848">
        <w:rPr>
          <w:rFonts w:cs="Arial"/>
          <w:color w:val="000000"/>
        </w:rPr>
        <w:t>97.3</w:t>
      </w:r>
      <w:r>
        <w:rPr>
          <w:rFonts w:cs="Arial"/>
          <w:color w:val="000000"/>
        </w:rPr>
        <w:t xml:space="preserve"> </w:t>
      </w:r>
      <w:r w:rsidRPr="00394848">
        <w:rPr>
          <w:rFonts w:cs="Arial"/>
          <w:color w:val="000000"/>
        </w:rPr>
        <w:t>% de la población total. Un centro de población no está determinado únicamente por un tipo de asentamiento, como una localidad, sino que abarca un área de influencia en términos de actividades urbanas. Estos centros de población pueden estar integrados por varias localidades y, en ellos, pueden coexistir actividades productivas agropecuarias, forestales y zonas destinadas a la conservación.</w:t>
      </w:r>
    </w:p>
    <w:p w14:paraId="7A67AE46" w14:textId="4FA91635" w:rsidR="00EC118C" w:rsidRDefault="00EC118C" w:rsidP="00B205BA">
      <w:pPr>
        <w:pStyle w:val="NormalWeb"/>
        <w:spacing w:before="0" w:beforeAutospacing="0" w:after="120" w:afterAutospacing="0"/>
        <w:jc w:val="both"/>
        <w:rPr>
          <w:rFonts w:ascii="Arial" w:hAnsi="Arial" w:cs="Arial"/>
          <w:sz w:val="22"/>
          <w:szCs w:val="22"/>
        </w:rPr>
      </w:pPr>
      <w:r>
        <w:rPr>
          <w:rFonts w:ascii="Arial" w:hAnsi="Arial" w:cs="Arial"/>
          <w:sz w:val="22"/>
          <w:szCs w:val="22"/>
        </w:rPr>
        <w:t>E</w:t>
      </w:r>
      <w:r w:rsidRPr="00CB7E87">
        <w:rPr>
          <w:rFonts w:ascii="Arial" w:hAnsi="Arial" w:cs="Arial"/>
          <w:sz w:val="22"/>
          <w:szCs w:val="22"/>
        </w:rPr>
        <w:t xml:space="preserve">l crecimiento poblacional y </w:t>
      </w:r>
      <w:r>
        <w:rPr>
          <w:rFonts w:ascii="Arial" w:hAnsi="Arial" w:cs="Arial"/>
          <w:sz w:val="22"/>
          <w:szCs w:val="22"/>
        </w:rPr>
        <w:t xml:space="preserve">la expansión </w:t>
      </w:r>
      <w:r w:rsidRPr="00CB7E87">
        <w:rPr>
          <w:rFonts w:ascii="Arial" w:hAnsi="Arial" w:cs="Arial"/>
          <w:sz w:val="22"/>
          <w:szCs w:val="22"/>
        </w:rPr>
        <w:t>de suelo urbano esperado para los tres centros de población urban</w:t>
      </w:r>
      <w:r>
        <w:rPr>
          <w:rFonts w:ascii="Arial" w:hAnsi="Arial" w:cs="Arial"/>
          <w:sz w:val="22"/>
          <w:szCs w:val="22"/>
        </w:rPr>
        <w:t>a</w:t>
      </w:r>
      <w:r w:rsidRPr="00CB7E87">
        <w:rPr>
          <w:rFonts w:ascii="Arial" w:hAnsi="Arial" w:cs="Arial"/>
          <w:sz w:val="22"/>
          <w:szCs w:val="22"/>
        </w:rPr>
        <w:t xml:space="preserve"> del </w:t>
      </w:r>
      <w:r>
        <w:rPr>
          <w:rFonts w:ascii="Arial" w:hAnsi="Arial" w:cs="Arial"/>
          <w:sz w:val="22"/>
          <w:szCs w:val="22"/>
        </w:rPr>
        <w:t>m</w:t>
      </w:r>
      <w:r w:rsidRPr="00CB7E87">
        <w:rPr>
          <w:rFonts w:ascii="Arial" w:hAnsi="Arial" w:cs="Arial"/>
          <w:sz w:val="22"/>
          <w:szCs w:val="22"/>
        </w:rPr>
        <w:t xml:space="preserve">unicipio </w:t>
      </w:r>
      <w:r>
        <w:rPr>
          <w:rFonts w:ascii="Arial" w:hAnsi="Arial" w:cs="Arial"/>
          <w:sz w:val="22"/>
          <w:szCs w:val="22"/>
        </w:rPr>
        <w:t>se</w:t>
      </w:r>
      <w:r w:rsidRPr="00CB7E87">
        <w:rPr>
          <w:rFonts w:ascii="Arial" w:hAnsi="Arial" w:cs="Arial"/>
          <w:sz w:val="22"/>
          <w:szCs w:val="22"/>
        </w:rPr>
        <w:t xml:space="preserve"> </w:t>
      </w:r>
      <w:r>
        <w:rPr>
          <w:rFonts w:ascii="Arial" w:hAnsi="Arial" w:cs="Arial"/>
          <w:sz w:val="22"/>
          <w:szCs w:val="22"/>
        </w:rPr>
        <w:t xml:space="preserve">estima a partir de la </w:t>
      </w:r>
      <w:r w:rsidRPr="00CB7E87">
        <w:rPr>
          <w:rFonts w:ascii="Arial" w:hAnsi="Arial" w:cs="Arial"/>
          <w:sz w:val="22"/>
          <w:szCs w:val="22"/>
        </w:rPr>
        <w:t>considera</w:t>
      </w:r>
      <w:r>
        <w:rPr>
          <w:rFonts w:ascii="Arial" w:hAnsi="Arial" w:cs="Arial"/>
          <w:sz w:val="22"/>
          <w:szCs w:val="22"/>
        </w:rPr>
        <w:t>ción de</w:t>
      </w:r>
      <w:r w:rsidRPr="00CB7E87">
        <w:rPr>
          <w:rFonts w:ascii="Arial" w:hAnsi="Arial" w:cs="Arial"/>
          <w:sz w:val="22"/>
          <w:szCs w:val="22"/>
        </w:rPr>
        <w:t xml:space="preserve"> las características urbanas </w:t>
      </w:r>
      <w:r>
        <w:rPr>
          <w:rFonts w:ascii="Arial" w:hAnsi="Arial" w:cs="Arial"/>
          <w:sz w:val="22"/>
          <w:szCs w:val="22"/>
        </w:rPr>
        <w:t>y</w:t>
      </w:r>
      <w:r w:rsidRPr="00CB7E87">
        <w:rPr>
          <w:rFonts w:ascii="Arial" w:hAnsi="Arial" w:cs="Arial"/>
          <w:sz w:val="22"/>
          <w:szCs w:val="22"/>
        </w:rPr>
        <w:t xml:space="preserve"> demográficas de cada uno de est</w:t>
      </w:r>
      <w:r>
        <w:rPr>
          <w:rFonts w:ascii="Arial" w:hAnsi="Arial" w:cs="Arial"/>
          <w:sz w:val="22"/>
          <w:szCs w:val="22"/>
        </w:rPr>
        <w:t xml:space="preserve">os centros. El análisis de dichos elementos conforma el escenario tendencial que se presenta </w:t>
      </w:r>
      <w:r w:rsidRPr="00D95324">
        <w:rPr>
          <w:rFonts w:ascii="Arial" w:hAnsi="Arial" w:cs="Arial"/>
          <w:sz w:val="22"/>
          <w:szCs w:val="22"/>
        </w:rPr>
        <w:t xml:space="preserve">en la tabla </w:t>
      </w:r>
      <w:r>
        <w:rPr>
          <w:rFonts w:ascii="Arial" w:hAnsi="Arial" w:cs="Arial"/>
          <w:sz w:val="22"/>
          <w:szCs w:val="22"/>
        </w:rPr>
        <w:t>1.</w:t>
      </w:r>
    </w:p>
    <w:p w14:paraId="7695B175" w14:textId="77777777" w:rsidR="00EC118C" w:rsidRDefault="00EC118C" w:rsidP="00B205BA">
      <w:pPr>
        <w:pStyle w:val="NormalWeb"/>
        <w:spacing w:before="0" w:beforeAutospacing="0" w:after="120" w:afterAutospacing="0"/>
        <w:jc w:val="center"/>
        <w:rPr>
          <w:rFonts w:ascii="Arial" w:hAnsi="Arial" w:cs="Arial"/>
          <w:sz w:val="20"/>
          <w:szCs w:val="20"/>
        </w:rPr>
      </w:pPr>
    </w:p>
    <w:tbl>
      <w:tblPr>
        <w:tblStyle w:val="Tablaconcuadrculaclara"/>
        <w:tblW w:w="0" w:type="auto"/>
        <w:tblLook w:val="04A0" w:firstRow="1" w:lastRow="0" w:firstColumn="1" w:lastColumn="0" w:noHBand="0" w:noVBand="1"/>
      </w:tblPr>
      <w:tblGrid>
        <w:gridCol w:w="1555"/>
        <w:gridCol w:w="3118"/>
        <w:gridCol w:w="1281"/>
        <w:gridCol w:w="1412"/>
        <w:gridCol w:w="1129"/>
      </w:tblGrid>
      <w:tr w:rsidR="00EC118C" w:rsidRPr="0008583F" w14:paraId="28E6F20F" w14:textId="77777777" w:rsidTr="000635AB">
        <w:tc>
          <w:tcPr>
            <w:tcW w:w="8495" w:type="dxa"/>
            <w:gridSpan w:val="5"/>
            <w:shd w:val="clear" w:color="auto" w:fill="ED7D31" w:themeFill="accent2"/>
          </w:tcPr>
          <w:p w14:paraId="67C5C36C" w14:textId="2C8EC26D" w:rsidR="00EC118C" w:rsidRPr="0008583F" w:rsidRDefault="00EC118C" w:rsidP="00B205BA">
            <w:pPr>
              <w:pStyle w:val="NormalWeb"/>
              <w:spacing w:before="0" w:beforeAutospacing="0" w:after="120" w:afterAutospacing="0"/>
              <w:jc w:val="center"/>
              <w:rPr>
                <w:rFonts w:ascii="Arial" w:hAnsi="Arial" w:cs="Arial"/>
                <w:b/>
                <w:bCs/>
                <w:sz w:val="18"/>
                <w:szCs w:val="18"/>
              </w:rPr>
            </w:pPr>
            <w:r w:rsidRPr="00455A2B">
              <w:rPr>
                <w:rFonts w:ascii="Arial" w:hAnsi="Arial" w:cs="Arial"/>
                <w:b/>
                <w:bCs/>
                <w:color w:val="FFFFFF" w:themeColor="background1"/>
                <w:sz w:val="18"/>
                <w:szCs w:val="18"/>
              </w:rPr>
              <w:t>TABLA</w:t>
            </w:r>
            <w:r>
              <w:rPr>
                <w:rFonts w:ascii="Arial" w:hAnsi="Arial" w:cs="Arial"/>
                <w:b/>
                <w:bCs/>
                <w:color w:val="FFFFFF" w:themeColor="background1"/>
                <w:sz w:val="18"/>
                <w:szCs w:val="18"/>
              </w:rPr>
              <w:t xml:space="preserve"> 1</w:t>
            </w:r>
            <w:r w:rsidRPr="00455A2B">
              <w:rPr>
                <w:rFonts w:ascii="Arial" w:hAnsi="Arial" w:cs="Arial"/>
                <w:b/>
                <w:bCs/>
                <w:color w:val="FFFFFF" w:themeColor="background1"/>
                <w:sz w:val="18"/>
                <w:szCs w:val="18"/>
              </w:rPr>
              <w:t>. ESCENARIO TENDENCIAL DE CRECIMIENTO POBLACIONAL Y DE DEMANDA DE SUELO</w:t>
            </w:r>
            <w:r w:rsidR="0086730D">
              <w:rPr>
                <w:rFonts w:ascii="Arial" w:hAnsi="Arial" w:cs="Arial"/>
                <w:b/>
                <w:bCs/>
                <w:color w:val="FFFFFF" w:themeColor="background1"/>
                <w:sz w:val="18"/>
                <w:szCs w:val="18"/>
              </w:rPr>
              <w:t>.</w:t>
            </w:r>
          </w:p>
        </w:tc>
      </w:tr>
      <w:tr w:rsidR="00EC118C" w:rsidRPr="0008583F" w14:paraId="47701424" w14:textId="77777777" w:rsidTr="000635AB">
        <w:tc>
          <w:tcPr>
            <w:tcW w:w="4673" w:type="dxa"/>
            <w:gridSpan w:val="2"/>
          </w:tcPr>
          <w:p w14:paraId="3EE0EB89" w14:textId="77777777" w:rsidR="00EC118C" w:rsidRPr="0008583F" w:rsidRDefault="00EC118C" w:rsidP="00B205BA">
            <w:pPr>
              <w:pStyle w:val="NormalWeb"/>
              <w:spacing w:before="0" w:beforeAutospacing="0" w:after="120" w:afterAutospacing="0"/>
              <w:rPr>
                <w:rFonts w:ascii="Arial" w:hAnsi="Arial" w:cs="Arial"/>
                <w:sz w:val="18"/>
                <w:szCs w:val="18"/>
              </w:rPr>
            </w:pPr>
            <w:r w:rsidRPr="0008583F">
              <w:rPr>
                <w:rFonts w:ascii="Arial" w:hAnsi="Arial" w:cs="Arial"/>
                <w:sz w:val="18"/>
                <w:szCs w:val="18"/>
              </w:rPr>
              <w:t xml:space="preserve">Centro de </w:t>
            </w:r>
            <w:r>
              <w:rPr>
                <w:rFonts w:ascii="Arial" w:hAnsi="Arial" w:cs="Arial"/>
                <w:sz w:val="18"/>
                <w:szCs w:val="18"/>
              </w:rPr>
              <w:t>p</w:t>
            </w:r>
            <w:r w:rsidRPr="0008583F">
              <w:rPr>
                <w:rFonts w:ascii="Arial" w:hAnsi="Arial" w:cs="Arial"/>
                <w:sz w:val="18"/>
                <w:szCs w:val="18"/>
              </w:rPr>
              <w:t>oblación</w:t>
            </w:r>
          </w:p>
        </w:tc>
        <w:tc>
          <w:tcPr>
            <w:tcW w:w="1281" w:type="dxa"/>
            <w:shd w:val="clear" w:color="auto" w:fill="767171" w:themeFill="background2" w:themeFillShade="80"/>
          </w:tcPr>
          <w:p w14:paraId="55B8C88D" w14:textId="77777777" w:rsidR="00EC118C" w:rsidRPr="00455A2B" w:rsidRDefault="00EC118C" w:rsidP="00B205BA">
            <w:pPr>
              <w:pStyle w:val="NormalWeb"/>
              <w:spacing w:before="0" w:beforeAutospacing="0" w:after="120" w:afterAutospacing="0"/>
              <w:jc w:val="center"/>
              <w:rPr>
                <w:rFonts w:ascii="Arial" w:hAnsi="Arial" w:cs="Arial"/>
                <w:color w:val="FFFFFF" w:themeColor="background1"/>
                <w:sz w:val="18"/>
                <w:szCs w:val="18"/>
              </w:rPr>
            </w:pPr>
            <w:r w:rsidRPr="00455A2B">
              <w:rPr>
                <w:rFonts w:ascii="Arial" w:hAnsi="Arial" w:cs="Arial"/>
                <w:color w:val="FFFFFF" w:themeColor="background1"/>
                <w:sz w:val="18"/>
                <w:szCs w:val="18"/>
              </w:rPr>
              <w:t>Hermosillo</w:t>
            </w:r>
          </w:p>
        </w:tc>
        <w:tc>
          <w:tcPr>
            <w:tcW w:w="1412" w:type="dxa"/>
            <w:shd w:val="clear" w:color="auto" w:fill="767171" w:themeFill="background2" w:themeFillShade="80"/>
          </w:tcPr>
          <w:p w14:paraId="2CF2A4A3" w14:textId="77777777" w:rsidR="00EC118C" w:rsidRPr="00455A2B" w:rsidRDefault="00EC118C" w:rsidP="00B205BA">
            <w:pPr>
              <w:pStyle w:val="NormalWeb"/>
              <w:spacing w:before="0" w:beforeAutospacing="0" w:after="120" w:afterAutospacing="0"/>
              <w:jc w:val="center"/>
              <w:rPr>
                <w:rFonts w:ascii="Arial" w:hAnsi="Arial" w:cs="Arial"/>
                <w:color w:val="FFFFFF" w:themeColor="background1"/>
                <w:sz w:val="18"/>
                <w:szCs w:val="18"/>
              </w:rPr>
            </w:pPr>
            <w:r w:rsidRPr="00455A2B">
              <w:rPr>
                <w:rFonts w:ascii="Arial" w:hAnsi="Arial" w:cs="Arial"/>
                <w:color w:val="FFFFFF" w:themeColor="background1"/>
                <w:sz w:val="18"/>
                <w:szCs w:val="18"/>
              </w:rPr>
              <w:t>Miguel Alemán</w:t>
            </w:r>
          </w:p>
        </w:tc>
        <w:tc>
          <w:tcPr>
            <w:tcW w:w="1129" w:type="dxa"/>
            <w:shd w:val="clear" w:color="auto" w:fill="767171" w:themeFill="background2" w:themeFillShade="80"/>
          </w:tcPr>
          <w:p w14:paraId="73A2CBC4" w14:textId="77777777" w:rsidR="00EC118C" w:rsidRPr="00455A2B" w:rsidRDefault="00EC118C" w:rsidP="00B205BA">
            <w:pPr>
              <w:pStyle w:val="NormalWeb"/>
              <w:spacing w:before="0" w:beforeAutospacing="0" w:after="120" w:afterAutospacing="0"/>
              <w:jc w:val="center"/>
              <w:rPr>
                <w:rFonts w:ascii="Arial" w:hAnsi="Arial" w:cs="Arial"/>
                <w:color w:val="FFFFFF" w:themeColor="background1"/>
                <w:sz w:val="18"/>
                <w:szCs w:val="18"/>
              </w:rPr>
            </w:pPr>
            <w:r w:rsidRPr="00455A2B">
              <w:rPr>
                <w:rFonts w:ascii="Arial" w:hAnsi="Arial" w:cs="Arial"/>
                <w:color w:val="FFFFFF" w:themeColor="background1"/>
                <w:sz w:val="18"/>
                <w:szCs w:val="18"/>
              </w:rPr>
              <w:t>Bahía Kino</w:t>
            </w:r>
          </w:p>
        </w:tc>
      </w:tr>
      <w:tr w:rsidR="00EC118C" w:rsidRPr="0008583F" w14:paraId="1D34310E" w14:textId="77777777" w:rsidTr="000635AB">
        <w:tc>
          <w:tcPr>
            <w:tcW w:w="1555" w:type="dxa"/>
            <w:vMerge w:val="restart"/>
          </w:tcPr>
          <w:p w14:paraId="31C17F52"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Características actuales</w:t>
            </w:r>
          </w:p>
        </w:tc>
        <w:tc>
          <w:tcPr>
            <w:tcW w:w="3118" w:type="dxa"/>
            <w:vAlign w:val="center"/>
          </w:tcPr>
          <w:p w14:paraId="673E4940" w14:textId="77777777" w:rsidR="00EC118C" w:rsidRPr="0008583F" w:rsidRDefault="00EC118C" w:rsidP="00B205BA">
            <w:pPr>
              <w:pStyle w:val="NormalWeb"/>
              <w:spacing w:before="0" w:beforeAutospacing="0" w:after="120" w:afterAutospacing="0"/>
              <w:rPr>
                <w:rFonts w:ascii="Arial" w:hAnsi="Arial" w:cs="Arial"/>
                <w:sz w:val="18"/>
                <w:szCs w:val="18"/>
              </w:rPr>
            </w:pPr>
            <w:r w:rsidRPr="0008583F">
              <w:rPr>
                <w:rFonts w:ascii="Arial" w:hAnsi="Arial" w:cs="Arial"/>
                <w:sz w:val="18"/>
                <w:szCs w:val="18"/>
              </w:rPr>
              <w:t>Población total 2020 (habitantes)</w:t>
            </w:r>
          </w:p>
        </w:tc>
        <w:tc>
          <w:tcPr>
            <w:tcW w:w="1281" w:type="dxa"/>
            <w:shd w:val="clear" w:color="auto" w:fill="F2F2F2" w:themeFill="background1" w:themeFillShade="F2"/>
            <w:vAlign w:val="center"/>
          </w:tcPr>
          <w:p w14:paraId="5B8CFBA2"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863</w:t>
            </w:r>
            <w:r>
              <w:rPr>
                <w:rFonts w:ascii="Arial" w:hAnsi="Arial" w:cs="Arial"/>
                <w:sz w:val="18"/>
                <w:szCs w:val="18"/>
              </w:rPr>
              <w:t xml:space="preserve"> </w:t>
            </w:r>
            <w:r w:rsidRPr="0008583F">
              <w:rPr>
                <w:rFonts w:ascii="Arial" w:hAnsi="Arial" w:cs="Arial"/>
                <w:sz w:val="18"/>
                <w:szCs w:val="18"/>
              </w:rPr>
              <w:t>505</w:t>
            </w:r>
          </w:p>
        </w:tc>
        <w:tc>
          <w:tcPr>
            <w:tcW w:w="1412" w:type="dxa"/>
            <w:vAlign w:val="center"/>
          </w:tcPr>
          <w:p w14:paraId="4A9E5875"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39</w:t>
            </w:r>
            <w:r>
              <w:rPr>
                <w:rFonts w:ascii="Arial" w:hAnsi="Arial" w:cs="Arial"/>
                <w:sz w:val="18"/>
                <w:szCs w:val="18"/>
              </w:rPr>
              <w:t xml:space="preserve"> </w:t>
            </w:r>
            <w:r w:rsidRPr="0008583F">
              <w:rPr>
                <w:rFonts w:ascii="Arial" w:hAnsi="Arial" w:cs="Arial"/>
                <w:sz w:val="18"/>
                <w:szCs w:val="18"/>
              </w:rPr>
              <w:t>474</w:t>
            </w:r>
          </w:p>
        </w:tc>
        <w:tc>
          <w:tcPr>
            <w:tcW w:w="1129" w:type="dxa"/>
            <w:shd w:val="clear" w:color="auto" w:fill="F2F2F2" w:themeFill="background1" w:themeFillShade="F2"/>
            <w:vAlign w:val="center"/>
          </w:tcPr>
          <w:p w14:paraId="37B45BD8"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6</w:t>
            </w:r>
            <w:r>
              <w:rPr>
                <w:rFonts w:ascii="Arial" w:hAnsi="Arial" w:cs="Arial"/>
                <w:sz w:val="18"/>
                <w:szCs w:val="18"/>
              </w:rPr>
              <w:t xml:space="preserve"> </w:t>
            </w:r>
            <w:r w:rsidRPr="0008583F">
              <w:rPr>
                <w:rFonts w:ascii="Arial" w:hAnsi="Arial" w:cs="Arial"/>
                <w:sz w:val="18"/>
                <w:szCs w:val="18"/>
              </w:rPr>
              <w:t>454</w:t>
            </w:r>
          </w:p>
        </w:tc>
      </w:tr>
      <w:tr w:rsidR="00EC118C" w:rsidRPr="0008583F" w14:paraId="34D64116" w14:textId="77777777" w:rsidTr="000635AB">
        <w:tc>
          <w:tcPr>
            <w:tcW w:w="1555" w:type="dxa"/>
            <w:vMerge/>
          </w:tcPr>
          <w:p w14:paraId="764AB9C7" w14:textId="77777777" w:rsidR="00EC118C" w:rsidRPr="0008583F" w:rsidRDefault="00EC118C" w:rsidP="00B205BA">
            <w:pPr>
              <w:pStyle w:val="NormalWeb"/>
              <w:spacing w:before="0" w:beforeAutospacing="0" w:after="120" w:afterAutospacing="0"/>
              <w:jc w:val="center"/>
              <w:rPr>
                <w:rFonts w:ascii="Arial" w:hAnsi="Arial" w:cs="Arial"/>
                <w:sz w:val="18"/>
                <w:szCs w:val="18"/>
              </w:rPr>
            </w:pPr>
          </w:p>
        </w:tc>
        <w:tc>
          <w:tcPr>
            <w:tcW w:w="3118" w:type="dxa"/>
            <w:vAlign w:val="center"/>
          </w:tcPr>
          <w:p w14:paraId="2BC60360" w14:textId="77777777" w:rsidR="00EC118C" w:rsidRPr="0008583F" w:rsidRDefault="00EC118C" w:rsidP="00B205BA">
            <w:pPr>
              <w:pStyle w:val="NormalWeb"/>
              <w:spacing w:before="0" w:beforeAutospacing="0" w:after="120" w:afterAutospacing="0"/>
              <w:rPr>
                <w:rFonts w:ascii="Arial" w:hAnsi="Arial" w:cs="Arial"/>
                <w:sz w:val="18"/>
                <w:szCs w:val="18"/>
              </w:rPr>
            </w:pPr>
            <w:r w:rsidRPr="0008583F">
              <w:rPr>
                <w:rFonts w:ascii="Arial" w:hAnsi="Arial" w:cs="Arial"/>
                <w:sz w:val="18"/>
                <w:szCs w:val="18"/>
              </w:rPr>
              <w:t xml:space="preserve">Huella </w:t>
            </w:r>
            <w:r>
              <w:rPr>
                <w:rFonts w:ascii="Arial" w:hAnsi="Arial" w:cs="Arial"/>
                <w:sz w:val="18"/>
                <w:szCs w:val="18"/>
              </w:rPr>
              <w:t>u</w:t>
            </w:r>
            <w:r w:rsidRPr="0008583F">
              <w:rPr>
                <w:rFonts w:ascii="Arial" w:hAnsi="Arial" w:cs="Arial"/>
                <w:sz w:val="18"/>
                <w:szCs w:val="18"/>
              </w:rPr>
              <w:t>rbana (hectáreas)</w:t>
            </w:r>
          </w:p>
        </w:tc>
        <w:tc>
          <w:tcPr>
            <w:tcW w:w="1281" w:type="dxa"/>
            <w:shd w:val="clear" w:color="auto" w:fill="F2F2F2" w:themeFill="background1" w:themeFillShade="F2"/>
            <w:vAlign w:val="center"/>
          </w:tcPr>
          <w:p w14:paraId="667C4BEB" w14:textId="77777777" w:rsidR="00EC118C" w:rsidRPr="00EC118C" w:rsidRDefault="00EC118C" w:rsidP="00B205BA">
            <w:pPr>
              <w:pStyle w:val="NormalWeb"/>
              <w:spacing w:before="0" w:beforeAutospacing="0" w:after="120" w:afterAutospacing="0"/>
              <w:jc w:val="center"/>
              <w:rPr>
                <w:rFonts w:ascii="Arial" w:hAnsi="Arial" w:cs="Arial"/>
                <w:sz w:val="18"/>
                <w:szCs w:val="18"/>
              </w:rPr>
            </w:pPr>
            <w:r w:rsidRPr="00EC118C">
              <w:rPr>
                <w:rFonts w:ascii="Arial" w:hAnsi="Arial" w:cs="Arial"/>
                <w:sz w:val="18"/>
                <w:szCs w:val="18"/>
              </w:rPr>
              <w:t>154 000</w:t>
            </w:r>
          </w:p>
        </w:tc>
        <w:tc>
          <w:tcPr>
            <w:tcW w:w="1412" w:type="dxa"/>
            <w:vAlign w:val="center"/>
          </w:tcPr>
          <w:p w14:paraId="4979729A"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642</w:t>
            </w:r>
          </w:p>
        </w:tc>
        <w:tc>
          <w:tcPr>
            <w:tcW w:w="1129" w:type="dxa"/>
            <w:shd w:val="clear" w:color="auto" w:fill="F2F2F2" w:themeFill="background1" w:themeFillShade="F2"/>
            <w:vAlign w:val="center"/>
          </w:tcPr>
          <w:p w14:paraId="532E5DED"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289</w:t>
            </w:r>
          </w:p>
        </w:tc>
      </w:tr>
      <w:tr w:rsidR="00EC118C" w:rsidRPr="0008583F" w14:paraId="08A0357C" w14:textId="77777777" w:rsidTr="000635AB">
        <w:tc>
          <w:tcPr>
            <w:tcW w:w="1555" w:type="dxa"/>
            <w:vMerge/>
          </w:tcPr>
          <w:p w14:paraId="1A8BC9BA" w14:textId="77777777" w:rsidR="00EC118C" w:rsidRPr="0008583F" w:rsidRDefault="00EC118C" w:rsidP="00B205BA">
            <w:pPr>
              <w:pStyle w:val="NormalWeb"/>
              <w:spacing w:before="0" w:beforeAutospacing="0" w:after="120" w:afterAutospacing="0"/>
              <w:jc w:val="center"/>
              <w:rPr>
                <w:rFonts w:ascii="Arial" w:hAnsi="Arial" w:cs="Arial"/>
                <w:sz w:val="18"/>
                <w:szCs w:val="18"/>
              </w:rPr>
            </w:pPr>
          </w:p>
        </w:tc>
        <w:tc>
          <w:tcPr>
            <w:tcW w:w="3118" w:type="dxa"/>
            <w:vAlign w:val="center"/>
          </w:tcPr>
          <w:p w14:paraId="7FC6AB26" w14:textId="77777777" w:rsidR="00EC118C" w:rsidRPr="0008583F" w:rsidRDefault="00EC118C" w:rsidP="00B205BA">
            <w:pPr>
              <w:pStyle w:val="NormalWeb"/>
              <w:spacing w:before="0" w:beforeAutospacing="0" w:after="120" w:afterAutospacing="0"/>
              <w:rPr>
                <w:rFonts w:ascii="Arial" w:hAnsi="Arial" w:cs="Arial"/>
                <w:sz w:val="18"/>
                <w:szCs w:val="18"/>
              </w:rPr>
            </w:pPr>
            <w:r w:rsidRPr="0008583F">
              <w:rPr>
                <w:rFonts w:ascii="Arial" w:hAnsi="Arial" w:cs="Arial"/>
                <w:sz w:val="18"/>
                <w:szCs w:val="18"/>
              </w:rPr>
              <w:t>Densidad de población (hab/ha)</w:t>
            </w:r>
          </w:p>
        </w:tc>
        <w:tc>
          <w:tcPr>
            <w:tcW w:w="1281" w:type="dxa"/>
            <w:shd w:val="clear" w:color="auto" w:fill="F2F2F2" w:themeFill="background1" w:themeFillShade="F2"/>
            <w:vAlign w:val="center"/>
          </w:tcPr>
          <w:p w14:paraId="03A0D50F" w14:textId="77777777" w:rsidR="00EC118C" w:rsidRPr="00EC118C" w:rsidRDefault="00EC118C" w:rsidP="00B205BA">
            <w:pPr>
              <w:pStyle w:val="NormalWeb"/>
              <w:spacing w:before="0" w:beforeAutospacing="0" w:after="120" w:afterAutospacing="0"/>
              <w:jc w:val="center"/>
              <w:rPr>
                <w:rFonts w:ascii="Arial" w:hAnsi="Arial" w:cs="Arial"/>
                <w:sz w:val="18"/>
                <w:szCs w:val="18"/>
              </w:rPr>
            </w:pPr>
            <w:r w:rsidRPr="00EC118C">
              <w:rPr>
                <w:rFonts w:ascii="Arial" w:hAnsi="Arial" w:cs="Arial"/>
                <w:sz w:val="18"/>
                <w:szCs w:val="18"/>
              </w:rPr>
              <w:t>54.6</w:t>
            </w:r>
          </w:p>
        </w:tc>
        <w:tc>
          <w:tcPr>
            <w:tcW w:w="1412" w:type="dxa"/>
            <w:vAlign w:val="center"/>
          </w:tcPr>
          <w:p w14:paraId="4C1A447D"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61.7</w:t>
            </w:r>
          </w:p>
        </w:tc>
        <w:tc>
          <w:tcPr>
            <w:tcW w:w="1129" w:type="dxa"/>
            <w:shd w:val="clear" w:color="auto" w:fill="F2F2F2" w:themeFill="background1" w:themeFillShade="F2"/>
            <w:vAlign w:val="center"/>
          </w:tcPr>
          <w:p w14:paraId="26C2576A"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22.3</w:t>
            </w:r>
          </w:p>
        </w:tc>
      </w:tr>
      <w:tr w:rsidR="00EC118C" w:rsidRPr="0008583F" w14:paraId="470D9A1F" w14:textId="77777777" w:rsidTr="000635AB">
        <w:tc>
          <w:tcPr>
            <w:tcW w:w="1555" w:type="dxa"/>
            <w:vMerge w:val="restart"/>
          </w:tcPr>
          <w:p w14:paraId="05307D77"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Estimaciones de crecimiento poblacional</w:t>
            </w:r>
          </w:p>
        </w:tc>
        <w:tc>
          <w:tcPr>
            <w:tcW w:w="3118" w:type="dxa"/>
            <w:vAlign w:val="center"/>
          </w:tcPr>
          <w:p w14:paraId="3049E02D" w14:textId="77777777" w:rsidR="00EC118C" w:rsidRPr="0008583F" w:rsidRDefault="00EC118C" w:rsidP="00B205BA">
            <w:pPr>
              <w:pStyle w:val="NormalWeb"/>
              <w:spacing w:before="0" w:beforeAutospacing="0" w:after="120" w:afterAutospacing="0"/>
              <w:rPr>
                <w:rFonts w:ascii="Arial" w:hAnsi="Arial" w:cs="Arial"/>
                <w:sz w:val="18"/>
                <w:szCs w:val="18"/>
              </w:rPr>
            </w:pPr>
            <w:r w:rsidRPr="0008583F">
              <w:rPr>
                <w:rFonts w:ascii="Arial" w:hAnsi="Arial" w:cs="Arial"/>
                <w:sz w:val="18"/>
                <w:szCs w:val="18"/>
              </w:rPr>
              <w:t>Población total estimada 2031 (hab)</w:t>
            </w:r>
          </w:p>
        </w:tc>
        <w:tc>
          <w:tcPr>
            <w:tcW w:w="1281" w:type="dxa"/>
            <w:shd w:val="clear" w:color="auto" w:fill="F2F2F2" w:themeFill="background1" w:themeFillShade="F2"/>
            <w:vAlign w:val="center"/>
          </w:tcPr>
          <w:p w14:paraId="1D29DCB1" w14:textId="77777777" w:rsidR="00EC118C" w:rsidRPr="00EC118C" w:rsidRDefault="00EC118C" w:rsidP="00B205BA">
            <w:pPr>
              <w:pStyle w:val="NormalWeb"/>
              <w:spacing w:before="0" w:beforeAutospacing="0" w:after="120" w:afterAutospacing="0"/>
              <w:jc w:val="center"/>
              <w:rPr>
                <w:rFonts w:ascii="Arial" w:hAnsi="Arial" w:cs="Arial"/>
                <w:sz w:val="18"/>
                <w:szCs w:val="18"/>
              </w:rPr>
            </w:pPr>
            <w:r w:rsidRPr="00EC118C">
              <w:rPr>
                <w:rFonts w:ascii="Arial" w:hAnsi="Arial" w:cs="Arial"/>
                <w:sz w:val="18"/>
                <w:szCs w:val="18"/>
              </w:rPr>
              <w:t>1 149 938</w:t>
            </w:r>
          </w:p>
        </w:tc>
        <w:tc>
          <w:tcPr>
            <w:tcW w:w="1412" w:type="dxa"/>
            <w:vAlign w:val="center"/>
          </w:tcPr>
          <w:p w14:paraId="6A042A92"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Pr>
                <w:rFonts w:ascii="Arial" w:hAnsi="Arial" w:cs="Arial"/>
                <w:sz w:val="18"/>
                <w:szCs w:val="18"/>
              </w:rPr>
              <w:t>49 091</w:t>
            </w:r>
          </w:p>
        </w:tc>
        <w:tc>
          <w:tcPr>
            <w:tcW w:w="1129" w:type="dxa"/>
            <w:shd w:val="clear" w:color="auto" w:fill="F2F2F2" w:themeFill="background1" w:themeFillShade="F2"/>
            <w:vAlign w:val="center"/>
          </w:tcPr>
          <w:p w14:paraId="3CE20CB0"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Pr>
                <w:rFonts w:ascii="Arial" w:hAnsi="Arial" w:cs="Arial"/>
                <w:sz w:val="18"/>
                <w:szCs w:val="18"/>
              </w:rPr>
              <w:t>7714</w:t>
            </w:r>
          </w:p>
        </w:tc>
      </w:tr>
      <w:tr w:rsidR="00EC118C" w:rsidRPr="0008583F" w14:paraId="703B31D6" w14:textId="77777777" w:rsidTr="000635AB">
        <w:trPr>
          <w:trHeight w:val="170"/>
        </w:trPr>
        <w:tc>
          <w:tcPr>
            <w:tcW w:w="1555" w:type="dxa"/>
            <w:vMerge/>
          </w:tcPr>
          <w:p w14:paraId="6FDE7D76" w14:textId="77777777" w:rsidR="00EC118C" w:rsidRPr="0008583F" w:rsidRDefault="00EC118C" w:rsidP="00B205BA">
            <w:pPr>
              <w:pStyle w:val="NormalWeb"/>
              <w:spacing w:before="0" w:beforeAutospacing="0" w:after="120" w:afterAutospacing="0"/>
              <w:jc w:val="center"/>
              <w:rPr>
                <w:rFonts w:ascii="Arial" w:hAnsi="Arial" w:cs="Arial"/>
                <w:sz w:val="18"/>
                <w:szCs w:val="18"/>
              </w:rPr>
            </w:pPr>
          </w:p>
        </w:tc>
        <w:tc>
          <w:tcPr>
            <w:tcW w:w="3118" w:type="dxa"/>
            <w:vAlign w:val="center"/>
          </w:tcPr>
          <w:p w14:paraId="45800EC7" w14:textId="77777777" w:rsidR="00EC118C" w:rsidRPr="0008583F" w:rsidRDefault="00EC118C" w:rsidP="00B205BA">
            <w:pPr>
              <w:pStyle w:val="NormalWeb"/>
              <w:spacing w:before="0" w:beforeAutospacing="0" w:after="120" w:afterAutospacing="0"/>
              <w:rPr>
                <w:rFonts w:ascii="Arial" w:hAnsi="Arial" w:cs="Arial"/>
                <w:sz w:val="18"/>
                <w:szCs w:val="18"/>
              </w:rPr>
            </w:pPr>
            <w:r w:rsidRPr="0008583F">
              <w:rPr>
                <w:rFonts w:ascii="Arial" w:hAnsi="Arial" w:cs="Arial"/>
                <w:sz w:val="18"/>
                <w:szCs w:val="18"/>
              </w:rPr>
              <w:t>Población total estimada 2051 (hab)</w:t>
            </w:r>
          </w:p>
        </w:tc>
        <w:tc>
          <w:tcPr>
            <w:tcW w:w="1281" w:type="dxa"/>
            <w:shd w:val="clear" w:color="auto" w:fill="F2F2F2" w:themeFill="background1" w:themeFillShade="F2"/>
            <w:vAlign w:val="center"/>
          </w:tcPr>
          <w:p w14:paraId="5CC3CC52" w14:textId="77777777" w:rsidR="00EC118C" w:rsidRPr="00EC118C" w:rsidRDefault="00EC118C" w:rsidP="00B205BA">
            <w:pPr>
              <w:pStyle w:val="NormalWeb"/>
              <w:spacing w:before="0" w:beforeAutospacing="0" w:after="120" w:afterAutospacing="0"/>
              <w:jc w:val="center"/>
              <w:rPr>
                <w:rFonts w:ascii="Arial" w:hAnsi="Arial" w:cs="Arial"/>
                <w:sz w:val="18"/>
                <w:szCs w:val="18"/>
              </w:rPr>
            </w:pPr>
            <w:r w:rsidRPr="00EC118C">
              <w:rPr>
                <w:rFonts w:ascii="Arial" w:hAnsi="Arial" w:cs="Arial"/>
                <w:sz w:val="18"/>
                <w:szCs w:val="18"/>
              </w:rPr>
              <w:t>1 439 803</w:t>
            </w:r>
          </w:p>
        </w:tc>
        <w:tc>
          <w:tcPr>
            <w:tcW w:w="1412" w:type="dxa"/>
            <w:vAlign w:val="center"/>
          </w:tcPr>
          <w:p w14:paraId="5E82526F"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66</w:t>
            </w:r>
            <w:r>
              <w:rPr>
                <w:rFonts w:ascii="Arial" w:hAnsi="Arial" w:cs="Arial"/>
                <w:sz w:val="18"/>
                <w:szCs w:val="18"/>
              </w:rPr>
              <w:t xml:space="preserve"> </w:t>
            </w:r>
            <w:r w:rsidRPr="0008583F">
              <w:rPr>
                <w:rFonts w:ascii="Arial" w:hAnsi="Arial" w:cs="Arial"/>
                <w:sz w:val="18"/>
                <w:szCs w:val="18"/>
              </w:rPr>
              <w:t>578</w:t>
            </w:r>
          </w:p>
        </w:tc>
        <w:tc>
          <w:tcPr>
            <w:tcW w:w="1129" w:type="dxa"/>
            <w:shd w:val="clear" w:color="auto" w:fill="F2F2F2" w:themeFill="background1" w:themeFillShade="F2"/>
            <w:vAlign w:val="center"/>
          </w:tcPr>
          <w:p w14:paraId="48A154B3"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10</w:t>
            </w:r>
            <w:r>
              <w:rPr>
                <w:rFonts w:ascii="Arial" w:hAnsi="Arial" w:cs="Arial"/>
                <w:sz w:val="18"/>
                <w:szCs w:val="18"/>
              </w:rPr>
              <w:t xml:space="preserve"> </w:t>
            </w:r>
            <w:r w:rsidRPr="0008583F">
              <w:rPr>
                <w:rFonts w:ascii="Arial" w:hAnsi="Arial" w:cs="Arial"/>
                <w:sz w:val="18"/>
                <w:szCs w:val="18"/>
              </w:rPr>
              <w:t>006</w:t>
            </w:r>
          </w:p>
        </w:tc>
      </w:tr>
      <w:tr w:rsidR="00EC118C" w:rsidRPr="0008583F" w14:paraId="4B53C74D" w14:textId="77777777" w:rsidTr="000635AB">
        <w:trPr>
          <w:trHeight w:val="380"/>
        </w:trPr>
        <w:tc>
          <w:tcPr>
            <w:tcW w:w="1555" w:type="dxa"/>
            <w:vMerge w:val="restart"/>
          </w:tcPr>
          <w:p w14:paraId="29F3E4A4"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Demanda de suelo en escenario tendencial</w:t>
            </w:r>
          </w:p>
        </w:tc>
        <w:tc>
          <w:tcPr>
            <w:tcW w:w="3118" w:type="dxa"/>
            <w:vAlign w:val="center"/>
          </w:tcPr>
          <w:p w14:paraId="0C9731D6" w14:textId="77777777" w:rsidR="00EC118C" w:rsidRPr="0008583F" w:rsidRDefault="00EC118C" w:rsidP="00B205BA">
            <w:pPr>
              <w:pStyle w:val="NormalWeb"/>
              <w:spacing w:before="0" w:beforeAutospacing="0" w:after="120" w:afterAutospacing="0"/>
              <w:rPr>
                <w:rFonts w:ascii="Arial" w:hAnsi="Arial" w:cs="Arial"/>
                <w:sz w:val="18"/>
                <w:szCs w:val="18"/>
              </w:rPr>
            </w:pPr>
            <w:r w:rsidRPr="0008583F">
              <w:rPr>
                <w:rFonts w:ascii="Arial" w:hAnsi="Arial" w:cs="Arial"/>
                <w:sz w:val="18"/>
                <w:szCs w:val="18"/>
              </w:rPr>
              <w:t>Demanda de suelo 2031 (has)</w:t>
            </w:r>
          </w:p>
        </w:tc>
        <w:tc>
          <w:tcPr>
            <w:tcW w:w="1281" w:type="dxa"/>
            <w:shd w:val="clear" w:color="auto" w:fill="F2F2F2" w:themeFill="background1" w:themeFillShade="F2"/>
            <w:vAlign w:val="center"/>
          </w:tcPr>
          <w:p w14:paraId="1F5F9272"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3</w:t>
            </w:r>
            <w:r>
              <w:rPr>
                <w:rFonts w:ascii="Arial" w:hAnsi="Arial" w:cs="Arial"/>
                <w:sz w:val="18"/>
                <w:szCs w:val="18"/>
              </w:rPr>
              <w:t xml:space="preserve"> </w:t>
            </w:r>
            <w:r w:rsidRPr="0008583F">
              <w:rPr>
                <w:rFonts w:ascii="Arial" w:hAnsi="Arial" w:cs="Arial"/>
                <w:sz w:val="18"/>
                <w:szCs w:val="18"/>
              </w:rPr>
              <w:t>087</w:t>
            </w:r>
          </w:p>
        </w:tc>
        <w:tc>
          <w:tcPr>
            <w:tcW w:w="1412" w:type="dxa"/>
            <w:vAlign w:val="center"/>
          </w:tcPr>
          <w:p w14:paraId="3081DFA1"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Pr>
                <w:rFonts w:ascii="Arial" w:hAnsi="Arial" w:cs="Arial"/>
                <w:sz w:val="18"/>
                <w:szCs w:val="18"/>
              </w:rPr>
              <w:t>156</w:t>
            </w:r>
          </w:p>
        </w:tc>
        <w:tc>
          <w:tcPr>
            <w:tcW w:w="1129" w:type="dxa"/>
            <w:shd w:val="clear" w:color="auto" w:fill="F2F2F2" w:themeFill="background1" w:themeFillShade="F2"/>
            <w:vAlign w:val="center"/>
          </w:tcPr>
          <w:p w14:paraId="016CF085"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56.</w:t>
            </w:r>
            <w:r>
              <w:rPr>
                <w:rFonts w:ascii="Arial" w:hAnsi="Arial" w:cs="Arial"/>
                <w:sz w:val="18"/>
                <w:szCs w:val="18"/>
              </w:rPr>
              <w:t>5</w:t>
            </w:r>
          </w:p>
        </w:tc>
      </w:tr>
      <w:tr w:rsidR="00EC118C" w:rsidRPr="0008583F" w14:paraId="0AB616E8" w14:textId="77777777" w:rsidTr="000635AB">
        <w:tc>
          <w:tcPr>
            <w:tcW w:w="1555" w:type="dxa"/>
            <w:vMerge/>
          </w:tcPr>
          <w:p w14:paraId="6811BC86" w14:textId="77777777" w:rsidR="00EC118C" w:rsidRPr="0008583F" w:rsidRDefault="00EC118C" w:rsidP="00B205BA">
            <w:pPr>
              <w:pStyle w:val="NormalWeb"/>
              <w:spacing w:before="0" w:beforeAutospacing="0" w:after="120" w:afterAutospacing="0"/>
              <w:jc w:val="center"/>
              <w:rPr>
                <w:rFonts w:ascii="Arial" w:hAnsi="Arial" w:cs="Arial"/>
                <w:sz w:val="18"/>
                <w:szCs w:val="18"/>
              </w:rPr>
            </w:pPr>
          </w:p>
        </w:tc>
        <w:tc>
          <w:tcPr>
            <w:tcW w:w="3118" w:type="dxa"/>
            <w:vAlign w:val="center"/>
          </w:tcPr>
          <w:p w14:paraId="0B7A4709" w14:textId="77777777" w:rsidR="00EC118C" w:rsidRPr="0008583F" w:rsidRDefault="00EC118C" w:rsidP="00B205BA">
            <w:pPr>
              <w:pStyle w:val="NormalWeb"/>
              <w:spacing w:before="0" w:beforeAutospacing="0" w:after="120" w:afterAutospacing="0"/>
              <w:rPr>
                <w:rFonts w:ascii="Arial" w:hAnsi="Arial" w:cs="Arial"/>
                <w:sz w:val="18"/>
                <w:szCs w:val="18"/>
              </w:rPr>
            </w:pPr>
            <w:r w:rsidRPr="0008583F">
              <w:rPr>
                <w:rFonts w:ascii="Arial" w:hAnsi="Arial" w:cs="Arial"/>
                <w:sz w:val="18"/>
                <w:szCs w:val="18"/>
              </w:rPr>
              <w:t>Demanda de suelo 2051 (has)</w:t>
            </w:r>
          </w:p>
        </w:tc>
        <w:tc>
          <w:tcPr>
            <w:tcW w:w="1281" w:type="dxa"/>
            <w:shd w:val="clear" w:color="auto" w:fill="F2F2F2" w:themeFill="background1" w:themeFillShade="F2"/>
            <w:vAlign w:val="center"/>
          </w:tcPr>
          <w:p w14:paraId="6D03DC63"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8</w:t>
            </w:r>
            <w:r>
              <w:rPr>
                <w:rFonts w:ascii="Arial" w:hAnsi="Arial" w:cs="Arial"/>
                <w:sz w:val="18"/>
                <w:szCs w:val="18"/>
              </w:rPr>
              <w:t xml:space="preserve"> </w:t>
            </w:r>
            <w:r w:rsidRPr="0008583F">
              <w:rPr>
                <w:rFonts w:ascii="Arial" w:hAnsi="Arial" w:cs="Arial"/>
                <w:sz w:val="18"/>
                <w:szCs w:val="18"/>
              </w:rPr>
              <w:t>701</w:t>
            </w:r>
          </w:p>
        </w:tc>
        <w:tc>
          <w:tcPr>
            <w:tcW w:w="1412" w:type="dxa"/>
            <w:vAlign w:val="center"/>
          </w:tcPr>
          <w:p w14:paraId="482AC40A"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439</w:t>
            </w:r>
          </w:p>
        </w:tc>
        <w:tc>
          <w:tcPr>
            <w:tcW w:w="1129" w:type="dxa"/>
            <w:shd w:val="clear" w:color="auto" w:fill="F2F2F2" w:themeFill="background1" w:themeFillShade="F2"/>
            <w:vAlign w:val="center"/>
          </w:tcPr>
          <w:p w14:paraId="2BAF9A10" w14:textId="77777777" w:rsidR="00EC118C" w:rsidRPr="0008583F" w:rsidRDefault="00EC118C" w:rsidP="00B205BA">
            <w:pPr>
              <w:pStyle w:val="NormalWeb"/>
              <w:spacing w:before="0" w:beforeAutospacing="0" w:after="120" w:afterAutospacing="0"/>
              <w:jc w:val="center"/>
              <w:rPr>
                <w:rFonts w:ascii="Arial" w:hAnsi="Arial" w:cs="Arial"/>
                <w:sz w:val="18"/>
                <w:szCs w:val="18"/>
              </w:rPr>
            </w:pPr>
            <w:r w:rsidRPr="0008583F">
              <w:rPr>
                <w:rFonts w:ascii="Arial" w:hAnsi="Arial" w:cs="Arial"/>
                <w:sz w:val="18"/>
                <w:szCs w:val="18"/>
              </w:rPr>
              <w:t>159</w:t>
            </w:r>
          </w:p>
        </w:tc>
      </w:tr>
    </w:tbl>
    <w:p w14:paraId="06997383" w14:textId="77777777" w:rsidR="00EC118C" w:rsidRPr="004E1158" w:rsidRDefault="00EC118C" w:rsidP="00B205BA">
      <w:pPr>
        <w:pStyle w:val="NormalWeb"/>
        <w:spacing w:after="120" w:afterAutospacing="0"/>
        <w:rPr>
          <w:rFonts w:ascii="Arial" w:hAnsi="Arial" w:cs="Arial"/>
          <w:color w:val="000000"/>
          <w:sz w:val="16"/>
          <w:szCs w:val="16"/>
        </w:rPr>
      </w:pPr>
      <w:r w:rsidRPr="004E1158">
        <w:rPr>
          <w:rFonts w:ascii="Arial" w:hAnsi="Arial" w:cs="Arial"/>
          <w:color w:val="000000"/>
          <w:sz w:val="16"/>
          <w:szCs w:val="16"/>
        </w:rPr>
        <w:t>Fuente: Programa Municipal de Desarrollo Urbano, IMPLAN, 2023</w:t>
      </w:r>
      <w:r>
        <w:rPr>
          <w:rFonts w:ascii="Arial" w:hAnsi="Arial" w:cs="Arial"/>
          <w:color w:val="000000"/>
          <w:sz w:val="16"/>
          <w:szCs w:val="16"/>
        </w:rPr>
        <w:t>.</w:t>
      </w:r>
    </w:p>
    <w:p w14:paraId="6FF0283A" w14:textId="77777777" w:rsidR="00EC118C" w:rsidRDefault="00EC118C" w:rsidP="00B205BA">
      <w:pPr>
        <w:pStyle w:val="NormalWeb"/>
        <w:spacing w:before="0" w:beforeAutospacing="0" w:after="120" w:afterAutospacing="0"/>
        <w:jc w:val="both"/>
        <w:rPr>
          <w:rFonts w:ascii="Arial" w:hAnsi="Arial" w:cs="Arial"/>
          <w:color w:val="000000"/>
          <w:sz w:val="22"/>
          <w:szCs w:val="22"/>
        </w:rPr>
      </w:pPr>
    </w:p>
    <w:p w14:paraId="1F20B24F" w14:textId="0458481D" w:rsidR="00EC118C" w:rsidRDefault="00EC118C" w:rsidP="00B205BA">
      <w:pPr>
        <w:pStyle w:val="NormalWeb"/>
        <w:spacing w:before="0" w:beforeAutospacing="0" w:after="120" w:afterAutospacing="0"/>
        <w:jc w:val="both"/>
        <w:rPr>
          <w:rFonts w:ascii="Arial" w:hAnsi="Arial" w:cs="Arial"/>
          <w:color w:val="000000"/>
          <w:sz w:val="22"/>
          <w:szCs w:val="22"/>
        </w:rPr>
      </w:pPr>
      <w:r>
        <w:rPr>
          <w:rFonts w:ascii="Arial" w:hAnsi="Arial" w:cs="Arial"/>
          <w:color w:val="000000"/>
          <w:sz w:val="22"/>
          <w:szCs w:val="22"/>
        </w:rPr>
        <w:t xml:space="preserve">La ciudad de </w:t>
      </w:r>
      <w:r w:rsidRPr="00564E7F">
        <w:rPr>
          <w:rFonts w:ascii="Arial" w:hAnsi="Arial" w:cs="Arial"/>
          <w:color w:val="000000"/>
          <w:sz w:val="22"/>
          <w:szCs w:val="22"/>
        </w:rPr>
        <w:t xml:space="preserve">Hermosillo enfrenta un crecimiento urbano disperso, con una expansión significativa de la huella urbana en el futuro, lo que </w:t>
      </w:r>
      <w:r>
        <w:rPr>
          <w:rFonts w:ascii="Arial" w:hAnsi="Arial" w:cs="Arial"/>
          <w:color w:val="000000"/>
          <w:sz w:val="22"/>
          <w:szCs w:val="22"/>
        </w:rPr>
        <w:t>hace necesario diseñar e implementar</w:t>
      </w:r>
      <w:r w:rsidRPr="00564E7F">
        <w:rPr>
          <w:rFonts w:ascii="Arial" w:hAnsi="Arial" w:cs="Arial"/>
          <w:color w:val="000000"/>
          <w:sz w:val="22"/>
          <w:szCs w:val="22"/>
        </w:rPr>
        <w:t xml:space="preserve"> políticas de ordenamiento territorial </w:t>
      </w:r>
      <w:r>
        <w:rPr>
          <w:rFonts w:ascii="Arial" w:hAnsi="Arial" w:cs="Arial"/>
          <w:color w:val="000000"/>
          <w:sz w:val="22"/>
          <w:szCs w:val="22"/>
        </w:rPr>
        <w:t xml:space="preserve">en el presente </w:t>
      </w:r>
      <w:r w:rsidRPr="00564E7F">
        <w:rPr>
          <w:rFonts w:ascii="Arial" w:hAnsi="Arial" w:cs="Arial"/>
          <w:color w:val="000000"/>
          <w:sz w:val="22"/>
          <w:szCs w:val="22"/>
        </w:rPr>
        <w:t xml:space="preserve">para fomentar un desarrollo más compacto y eficiente. </w:t>
      </w:r>
    </w:p>
    <w:p w14:paraId="7BC89A69" w14:textId="49D335CF" w:rsidR="00EC118C" w:rsidRPr="008D49A9" w:rsidRDefault="00EC118C" w:rsidP="00B205BA">
      <w:pPr>
        <w:pStyle w:val="NormalWeb"/>
        <w:spacing w:before="0" w:beforeAutospacing="0" w:after="120" w:afterAutospacing="0"/>
        <w:jc w:val="both"/>
        <w:rPr>
          <w:rFonts w:ascii="Arial" w:hAnsi="Arial" w:cs="Arial"/>
          <w:color w:val="000000"/>
          <w:sz w:val="22"/>
          <w:szCs w:val="22"/>
        </w:rPr>
      </w:pPr>
      <w:r>
        <w:rPr>
          <w:rFonts w:ascii="Arial" w:hAnsi="Arial" w:cs="Arial"/>
          <w:color w:val="000000"/>
          <w:sz w:val="22"/>
          <w:szCs w:val="22"/>
        </w:rPr>
        <w:t xml:space="preserve">En cambio, </w:t>
      </w:r>
      <w:r w:rsidRPr="00564E7F">
        <w:rPr>
          <w:rFonts w:ascii="Arial" w:hAnsi="Arial" w:cs="Arial"/>
          <w:color w:val="000000"/>
          <w:sz w:val="22"/>
          <w:szCs w:val="22"/>
        </w:rPr>
        <w:t xml:space="preserve">Miguel Alemán, </w:t>
      </w:r>
      <w:r>
        <w:rPr>
          <w:rFonts w:ascii="Arial" w:hAnsi="Arial" w:cs="Arial"/>
          <w:color w:val="000000"/>
          <w:sz w:val="22"/>
          <w:szCs w:val="22"/>
        </w:rPr>
        <w:t xml:space="preserve">localidad </w:t>
      </w:r>
      <w:r w:rsidRPr="00564E7F">
        <w:rPr>
          <w:rFonts w:ascii="Arial" w:hAnsi="Arial" w:cs="Arial"/>
          <w:color w:val="000000"/>
          <w:sz w:val="22"/>
          <w:szCs w:val="22"/>
        </w:rPr>
        <w:t xml:space="preserve">con una estructura urbana más compacta, </w:t>
      </w:r>
      <w:r>
        <w:rPr>
          <w:rFonts w:ascii="Arial" w:hAnsi="Arial" w:cs="Arial"/>
          <w:color w:val="000000"/>
          <w:sz w:val="22"/>
          <w:szCs w:val="22"/>
        </w:rPr>
        <w:t>requiere de</w:t>
      </w:r>
      <w:r w:rsidRPr="00564E7F">
        <w:rPr>
          <w:rFonts w:ascii="Arial" w:hAnsi="Arial" w:cs="Arial"/>
          <w:color w:val="000000"/>
          <w:sz w:val="22"/>
          <w:szCs w:val="22"/>
        </w:rPr>
        <w:t xml:space="preserve"> una planificación estratégica para evitar </w:t>
      </w:r>
      <w:r>
        <w:rPr>
          <w:rFonts w:ascii="Arial" w:hAnsi="Arial" w:cs="Arial"/>
          <w:color w:val="000000"/>
          <w:sz w:val="22"/>
          <w:szCs w:val="22"/>
        </w:rPr>
        <w:t xml:space="preserve">la </w:t>
      </w:r>
      <w:r w:rsidRPr="00564E7F">
        <w:rPr>
          <w:rFonts w:ascii="Arial" w:hAnsi="Arial" w:cs="Arial"/>
          <w:color w:val="000000"/>
          <w:sz w:val="22"/>
          <w:szCs w:val="22"/>
        </w:rPr>
        <w:t>congestión y sobrecarga de</w:t>
      </w:r>
      <w:r>
        <w:rPr>
          <w:rFonts w:ascii="Arial" w:hAnsi="Arial" w:cs="Arial"/>
          <w:color w:val="000000"/>
          <w:sz w:val="22"/>
          <w:szCs w:val="22"/>
        </w:rPr>
        <w:t xml:space="preserve"> su</w:t>
      </w:r>
      <w:r w:rsidRPr="00564E7F">
        <w:rPr>
          <w:rFonts w:ascii="Arial" w:hAnsi="Arial" w:cs="Arial"/>
          <w:color w:val="000000"/>
          <w:sz w:val="22"/>
          <w:szCs w:val="22"/>
        </w:rPr>
        <w:t xml:space="preserve"> infraestructura debido a su crecimiento acelerado. Por su parte, Bahía</w:t>
      </w:r>
      <w:r>
        <w:rPr>
          <w:rFonts w:ascii="Arial" w:hAnsi="Arial" w:cs="Arial"/>
          <w:color w:val="000000"/>
          <w:sz w:val="22"/>
          <w:szCs w:val="22"/>
        </w:rPr>
        <w:t xml:space="preserve"> de</w:t>
      </w:r>
      <w:r w:rsidRPr="00564E7F">
        <w:rPr>
          <w:rFonts w:ascii="Arial" w:hAnsi="Arial" w:cs="Arial"/>
          <w:color w:val="000000"/>
          <w:sz w:val="22"/>
          <w:szCs w:val="22"/>
        </w:rPr>
        <w:t xml:space="preserve"> Kino, centro turístico y pesquero, debe gestionar su crecimiento estacional y el uso temporal del suelo </w:t>
      </w:r>
      <w:r>
        <w:rPr>
          <w:rFonts w:ascii="Arial" w:hAnsi="Arial" w:cs="Arial"/>
          <w:color w:val="000000"/>
          <w:sz w:val="22"/>
          <w:szCs w:val="22"/>
        </w:rPr>
        <w:t>con</w:t>
      </w:r>
      <w:r w:rsidRPr="00564E7F">
        <w:rPr>
          <w:rFonts w:ascii="Arial" w:hAnsi="Arial" w:cs="Arial"/>
          <w:color w:val="000000"/>
          <w:sz w:val="22"/>
          <w:szCs w:val="22"/>
        </w:rPr>
        <w:t xml:space="preserve"> un enfoque </w:t>
      </w:r>
      <w:r>
        <w:rPr>
          <w:rFonts w:ascii="Arial" w:hAnsi="Arial" w:cs="Arial"/>
          <w:color w:val="000000"/>
          <w:sz w:val="22"/>
          <w:szCs w:val="22"/>
        </w:rPr>
        <w:t xml:space="preserve">de </w:t>
      </w:r>
      <w:r>
        <w:rPr>
          <w:rFonts w:ascii="Arial" w:hAnsi="Arial" w:cs="Arial"/>
          <w:color w:val="000000"/>
          <w:sz w:val="22"/>
          <w:szCs w:val="22"/>
        </w:rPr>
        <w:lastRenderedPageBreak/>
        <w:t>sostenibilidad</w:t>
      </w:r>
      <w:r w:rsidRPr="00564E7F">
        <w:rPr>
          <w:rFonts w:ascii="Arial" w:hAnsi="Arial" w:cs="Arial"/>
          <w:color w:val="000000"/>
          <w:sz w:val="22"/>
          <w:szCs w:val="22"/>
        </w:rPr>
        <w:t xml:space="preserve"> que garantice el crecimiento controlado sin afectar sus recursos naturales ni la calidad de vida de los residentes permanentes.</w:t>
      </w:r>
    </w:p>
    <w:p w14:paraId="670770B3" w14:textId="3592A141" w:rsidR="00EC118C" w:rsidRPr="00564E7F" w:rsidRDefault="00EC118C" w:rsidP="00B205BA">
      <w:pPr>
        <w:pStyle w:val="NormalWeb"/>
        <w:spacing w:before="0" w:beforeAutospacing="0" w:after="120" w:afterAutospacing="0"/>
        <w:jc w:val="both"/>
        <w:rPr>
          <w:rFonts w:ascii="Arial" w:hAnsi="Arial" w:cs="Arial"/>
          <w:color w:val="000000"/>
          <w:sz w:val="22"/>
          <w:szCs w:val="22"/>
        </w:rPr>
      </w:pPr>
      <w:r w:rsidRPr="00564E7F">
        <w:rPr>
          <w:rFonts w:ascii="Arial" w:hAnsi="Arial" w:cs="Arial"/>
          <w:color w:val="000000"/>
          <w:sz w:val="22"/>
          <w:szCs w:val="22"/>
        </w:rPr>
        <w:t xml:space="preserve">En los próximos 10 años, la huella urbana en Hermosillo crecerá significativamente, aumentando en </w:t>
      </w:r>
      <w:r>
        <w:rPr>
          <w:rFonts w:ascii="Arial" w:hAnsi="Arial" w:cs="Arial"/>
          <w:color w:val="000000"/>
          <w:sz w:val="22"/>
          <w:szCs w:val="22"/>
        </w:rPr>
        <w:t>2,555</w:t>
      </w:r>
      <w:r w:rsidRPr="00564E7F">
        <w:rPr>
          <w:rFonts w:ascii="Arial" w:hAnsi="Arial" w:cs="Arial"/>
          <w:color w:val="000000"/>
          <w:sz w:val="22"/>
          <w:szCs w:val="22"/>
        </w:rPr>
        <w:t xml:space="preserve"> hectáreas, con una densificación </w:t>
      </w:r>
      <w:r>
        <w:rPr>
          <w:rFonts w:ascii="Arial" w:hAnsi="Arial" w:cs="Arial"/>
          <w:color w:val="000000"/>
          <w:sz w:val="22"/>
          <w:szCs w:val="22"/>
        </w:rPr>
        <w:t>poblacional</w:t>
      </w:r>
      <w:r w:rsidRPr="00564E7F">
        <w:rPr>
          <w:rFonts w:ascii="Arial" w:hAnsi="Arial" w:cs="Arial"/>
          <w:color w:val="000000"/>
          <w:sz w:val="22"/>
          <w:szCs w:val="22"/>
        </w:rPr>
        <w:t xml:space="preserve"> </w:t>
      </w:r>
      <w:r>
        <w:rPr>
          <w:rFonts w:ascii="Arial" w:hAnsi="Arial" w:cs="Arial"/>
          <w:color w:val="000000"/>
          <w:sz w:val="22"/>
          <w:szCs w:val="22"/>
        </w:rPr>
        <w:t>que se incrementará</w:t>
      </w:r>
      <w:r w:rsidRPr="00564E7F">
        <w:rPr>
          <w:rFonts w:ascii="Arial" w:hAnsi="Arial" w:cs="Arial"/>
          <w:color w:val="000000"/>
          <w:sz w:val="22"/>
          <w:szCs w:val="22"/>
        </w:rPr>
        <w:t xml:space="preserve"> de 54.6 a 65 habitantes por hectárea. La ciudad experimentará la consolidación de zonas urbanas</w:t>
      </w:r>
      <w:r>
        <w:rPr>
          <w:rFonts w:ascii="Arial" w:hAnsi="Arial" w:cs="Arial"/>
          <w:color w:val="000000"/>
          <w:sz w:val="22"/>
          <w:szCs w:val="22"/>
        </w:rPr>
        <w:t xml:space="preserve"> mediante</w:t>
      </w:r>
      <w:r w:rsidRPr="00564E7F">
        <w:rPr>
          <w:rFonts w:ascii="Arial" w:hAnsi="Arial" w:cs="Arial"/>
          <w:color w:val="000000"/>
          <w:sz w:val="22"/>
          <w:szCs w:val="22"/>
        </w:rPr>
        <w:t xml:space="preserve"> mejoras en áreas históricas y de rezago social. Las zonas productivas y naturales serán protegidas, y un cinturón verde controlará la expansión urbana. Sin embargo, </w:t>
      </w:r>
      <w:r>
        <w:rPr>
          <w:rFonts w:ascii="Arial" w:hAnsi="Arial" w:cs="Arial"/>
          <w:color w:val="000000"/>
          <w:sz w:val="22"/>
          <w:szCs w:val="22"/>
        </w:rPr>
        <w:t>este</w:t>
      </w:r>
      <w:r w:rsidRPr="00564E7F">
        <w:rPr>
          <w:rFonts w:ascii="Arial" w:hAnsi="Arial" w:cs="Arial"/>
          <w:color w:val="000000"/>
          <w:sz w:val="22"/>
          <w:szCs w:val="22"/>
        </w:rPr>
        <w:t xml:space="preserve"> crecimiento acelerado podría generar altos costos de infraestructura</w:t>
      </w:r>
      <w:r>
        <w:rPr>
          <w:rFonts w:ascii="Arial" w:hAnsi="Arial" w:cs="Arial"/>
          <w:color w:val="000000"/>
          <w:sz w:val="22"/>
          <w:szCs w:val="22"/>
        </w:rPr>
        <w:t xml:space="preserve"> y</w:t>
      </w:r>
      <w:r w:rsidRPr="00564E7F">
        <w:rPr>
          <w:rFonts w:ascii="Arial" w:hAnsi="Arial" w:cs="Arial"/>
          <w:color w:val="000000"/>
          <w:sz w:val="22"/>
          <w:szCs w:val="22"/>
        </w:rPr>
        <w:t xml:space="preserve"> afectar la calidad de vida y la disponibilidad de servicios.</w:t>
      </w:r>
    </w:p>
    <w:p w14:paraId="52527808" w14:textId="71FA977E" w:rsidR="00EC118C" w:rsidRPr="00564E7F" w:rsidRDefault="00EC118C" w:rsidP="00B205BA">
      <w:pPr>
        <w:pStyle w:val="NormalWeb"/>
        <w:spacing w:before="0" w:beforeAutospacing="0" w:after="120" w:afterAutospacing="0"/>
        <w:jc w:val="both"/>
        <w:rPr>
          <w:rFonts w:ascii="Arial" w:hAnsi="Arial" w:cs="Arial"/>
          <w:color w:val="000000"/>
          <w:sz w:val="22"/>
          <w:szCs w:val="22"/>
        </w:rPr>
      </w:pPr>
      <w:r w:rsidRPr="00564E7F">
        <w:rPr>
          <w:rFonts w:ascii="Arial" w:hAnsi="Arial" w:cs="Arial"/>
          <w:color w:val="000000"/>
          <w:sz w:val="22"/>
          <w:szCs w:val="22"/>
        </w:rPr>
        <w:t xml:space="preserve">En Miguel Alemán, el crecimiento será de </w:t>
      </w:r>
      <w:r>
        <w:rPr>
          <w:rFonts w:ascii="Arial" w:hAnsi="Arial" w:cs="Arial"/>
          <w:color w:val="000000"/>
          <w:sz w:val="22"/>
          <w:szCs w:val="22"/>
        </w:rPr>
        <w:t>156</w:t>
      </w:r>
      <w:r w:rsidRPr="00564E7F">
        <w:rPr>
          <w:rFonts w:ascii="Arial" w:hAnsi="Arial" w:cs="Arial"/>
          <w:color w:val="000000"/>
          <w:sz w:val="22"/>
          <w:szCs w:val="22"/>
        </w:rPr>
        <w:t xml:space="preserve"> hectáreas, manteniendo una densidad de 61.7 habitantes por hectárea. </w:t>
      </w:r>
      <w:r>
        <w:rPr>
          <w:rFonts w:ascii="Arial" w:hAnsi="Arial" w:cs="Arial"/>
          <w:color w:val="000000"/>
          <w:sz w:val="22"/>
          <w:szCs w:val="22"/>
        </w:rPr>
        <w:t>Las colonias emergentes se</w:t>
      </w:r>
      <w:r w:rsidRPr="00564E7F">
        <w:rPr>
          <w:rFonts w:ascii="Arial" w:hAnsi="Arial" w:cs="Arial"/>
          <w:color w:val="000000"/>
          <w:sz w:val="22"/>
          <w:szCs w:val="22"/>
        </w:rPr>
        <w:t xml:space="preserve"> consolidarán mejorando </w:t>
      </w:r>
      <w:r>
        <w:rPr>
          <w:rFonts w:ascii="Arial" w:hAnsi="Arial" w:cs="Arial"/>
          <w:color w:val="000000"/>
          <w:sz w:val="22"/>
          <w:szCs w:val="22"/>
        </w:rPr>
        <w:t>sus</w:t>
      </w:r>
      <w:r w:rsidRPr="00564E7F">
        <w:rPr>
          <w:rFonts w:ascii="Arial" w:hAnsi="Arial" w:cs="Arial"/>
          <w:color w:val="000000"/>
          <w:sz w:val="22"/>
          <w:szCs w:val="22"/>
        </w:rPr>
        <w:t xml:space="preserve"> servicios y áreas verdes, mientras que se preservarán las tierras agrícolas y las áreas naturales cercanas.</w:t>
      </w:r>
    </w:p>
    <w:p w14:paraId="1197EE3E" w14:textId="3D25E623" w:rsidR="00EC118C" w:rsidRPr="00564E7F" w:rsidRDefault="00EC118C" w:rsidP="00B205BA">
      <w:pPr>
        <w:pStyle w:val="NormalWeb"/>
        <w:spacing w:before="0" w:beforeAutospacing="0" w:after="120" w:afterAutospacing="0"/>
        <w:jc w:val="both"/>
        <w:rPr>
          <w:rFonts w:ascii="Arial" w:hAnsi="Arial" w:cs="Arial"/>
          <w:color w:val="000000"/>
          <w:sz w:val="22"/>
          <w:szCs w:val="22"/>
        </w:rPr>
      </w:pPr>
      <w:r>
        <w:rPr>
          <w:rFonts w:ascii="Arial" w:hAnsi="Arial" w:cs="Arial"/>
          <w:color w:val="000000"/>
          <w:sz w:val="22"/>
          <w:szCs w:val="22"/>
        </w:rPr>
        <w:t>Por otra parte, para</w:t>
      </w:r>
      <w:r w:rsidRPr="00564E7F">
        <w:rPr>
          <w:rFonts w:ascii="Arial" w:hAnsi="Arial" w:cs="Arial"/>
          <w:color w:val="000000"/>
          <w:sz w:val="22"/>
          <w:szCs w:val="22"/>
        </w:rPr>
        <w:t xml:space="preserve"> Bahía </w:t>
      </w:r>
      <w:r>
        <w:rPr>
          <w:rFonts w:ascii="Arial" w:hAnsi="Arial" w:cs="Arial"/>
          <w:color w:val="000000"/>
          <w:sz w:val="22"/>
          <w:szCs w:val="22"/>
        </w:rPr>
        <w:t xml:space="preserve">de </w:t>
      </w:r>
      <w:r w:rsidRPr="00564E7F">
        <w:rPr>
          <w:rFonts w:ascii="Arial" w:hAnsi="Arial" w:cs="Arial"/>
          <w:color w:val="000000"/>
          <w:sz w:val="22"/>
          <w:szCs w:val="22"/>
        </w:rPr>
        <w:t xml:space="preserve">Kino se proyecta un crecimiento de </w:t>
      </w:r>
      <w:r>
        <w:rPr>
          <w:rFonts w:ascii="Arial" w:hAnsi="Arial" w:cs="Arial"/>
          <w:color w:val="000000"/>
          <w:sz w:val="22"/>
          <w:szCs w:val="22"/>
        </w:rPr>
        <w:t>36</w:t>
      </w:r>
      <w:r w:rsidRPr="00564E7F">
        <w:rPr>
          <w:rFonts w:ascii="Arial" w:hAnsi="Arial" w:cs="Arial"/>
          <w:color w:val="000000"/>
          <w:sz w:val="22"/>
          <w:szCs w:val="22"/>
        </w:rPr>
        <w:t xml:space="preserve"> hectáreas, centrado en la expansión de usos turísticos sostenibles. Se mejorarán las zonas de Kino Viejo y Kino Nuevo, </w:t>
      </w:r>
      <w:r>
        <w:rPr>
          <w:rFonts w:ascii="Arial" w:hAnsi="Arial" w:cs="Arial"/>
          <w:color w:val="000000"/>
          <w:sz w:val="22"/>
          <w:szCs w:val="22"/>
        </w:rPr>
        <w:t>y se conservarán</w:t>
      </w:r>
      <w:r w:rsidRPr="00564E7F">
        <w:rPr>
          <w:rFonts w:ascii="Arial" w:hAnsi="Arial" w:cs="Arial"/>
          <w:color w:val="000000"/>
          <w:sz w:val="22"/>
          <w:szCs w:val="22"/>
        </w:rPr>
        <w:t xml:space="preserve"> las áreas de alto valor ecológico, como el Estero La Cruz y la Isla de Alcatraz.</w:t>
      </w:r>
    </w:p>
    <w:p w14:paraId="46476CEF" w14:textId="5541046B" w:rsidR="00EC118C" w:rsidRPr="00564E7F" w:rsidRDefault="00EC118C" w:rsidP="00B205BA">
      <w:pPr>
        <w:pStyle w:val="NormalWeb"/>
        <w:spacing w:before="0" w:beforeAutospacing="0" w:after="120" w:afterAutospacing="0"/>
        <w:jc w:val="both"/>
        <w:rPr>
          <w:rFonts w:ascii="Arial" w:hAnsi="Arial" w:cs="Arial"/>
          <w:color w:val="000000"/>
          <w:sz w:val="22"/>
          <w:szCs w:val="22"/>
        </w:rPr>
      </w:pPr>
      <w:r>
        <w:rPr>
          <w:rFonts w:ascii="Arial" w:hAnsi="Arial" w:cs="Arial"/>
          <w:color w:val="000000"/>
          <w:sz w:val="22"/>
          <w:szCs w:val="22"/>
        </w:rPr>
        <w:t>En</w:t>
      </w:r>
      <w:r w:rsidRPr="00564E7F">
        <w:rPr>
          <w:rFonts w:ascii="Arial" w:hAnsi="Arial" w:cs="Arial"/>
          <w:color w:val="000000"/>
          <w:sz w:val="22"/>
          <w:szCs w:val="22"/>
        </w:rPr>
        <w:t xml:space="preserve"> el Plan de Acción Hermosillo a Escala Humana</w:t>
      </w:r>
      <w:r>
        <w:rPr>
          <w:rFonts w:ascii="Arial" w:hAnsi="Arial" w:cs="Arial"/>
          <w:color w:val="000000"/>
          <w:sz w:val="22"/>
          <w:szCs w:val="22"/>
        </w:rPr>
        <w:t>,</w:t>
      </w:r>
      <w:r>
        <w:rPr>
          <w:rStyle w:val="Refdenotaalpie"/>
          <w:rFonts w:ascii="Arial" w:hAnsi="Arial" w:cs="Arial"/>
          <w:color w:val="000000"/>
          <w:sz w:val="22"/>
          <w:szCs w:val="22"/>
        </w:rPr>
        <w:footnoteReference w:id="27"/>
      </w:r>
      <w:r w:rsidRPr="00564E7F">
        <w:rPr>
          <w:rFonts w:ascii="Arial" w:hAnsi="Arial" w:cs="Arial"/>
          <w:color w:val="000000"/>
          <w:sz w:val="22"/>
          <w:szCs w:val="22"/>
        </w:rPr>
        <w:t xml:space="preserve"> </w:t>
      </w:r>
      <w:r>
        <w:rPr>
          <w:rFonts w:ascii="Arial" w:hAnsi="Arial" w:cs="Arial"/>
          <w:color w:val="000000"/>
          <w:sz w:val="22"/>
          <w:szCs w:val="22"/>
        </w:rPr>
        <w:t>se</w:t>
      </w:r>
      <w:r w:rsidRPr="00564E7F">
        <w:rPr>
          <w:rFonts w:ascii="Arial" w:hAnsi="Arial" w:cs="Arial"/>
          <w:color w:val="000000"/>
          <w:sz w:val="22"/>
          <w:szCs w:val="22"/>
        </w:rPr>
        <w:t xml:space="preserve"> proyecta un escenario de crecimiento acelerado para 2050, con un aumento de la huella urbana superior al crecimiento poblacional. Esto resultaría en un aumento de los costos de infraestructura y una disminución en la calidad de vida</w:t>
      </w:r>
      <w:r>
        <w:rPr>
          <w:rFonts w:ascii="Arial" w:hAnsi="Arial" w:cs="Arial"/>
          <w:color w:val="000000"/>
          <w:sz w:val="22"/>
          <w:szCs w:val="22"/>
        </w:rPr>
        <w:t>,</w:t>
      </w:r>
      <w:r w:rsidRPr="00564E7F">
        <w:rPr>
          <w:rFonts w:ascii="Arial" w:hAnsi="Arial" w:cs="Arial"/>
          <w:color w:val="000000"/>
          <w:sz w:val="22"/>
          <w:szCs w:val="22"/>
        </w:rPr>
        <w:t xml:space="preserve"> debido a la expansión en áreas alejadas, la saturación de servicios y la congestión del transporte.</w:t>
      </w:r>
    </w:p>
    <w:p w14:paraId="32BD2F79" w14:textId="3A53537D" w:rsidR="00EC118C" w:rsidRDefault="00EC118C" w:rsidP="00B205BA">
      <w:pPr>
        <w:pStyle w:val="NormalWeb"/>
        <w:spacing w:before="0" w:beforeAutospacing="0" w:after="120" w:afterAutospacing="0"/>
        <w:jc w:val="both"/>
        <w:rPr>
          <w:rFonts w:ascii="Arial" w:hAnsi="Arial" w:cs="Arial"/>
          <w:color w:val="000000"/>
          <w:sz w:val="22"/>
          <w:szCs w:val="22"/>
        </w:rPr>
      </w:pPr>
      <w:r w:rsidRPr="00564E7F">
        <w:rPr>
          <w:rFonts w:ascii="Arial" w:hAnsi="Arial" w:cs="Arial"/>
          <w:color w:val="000000"/>
          <w:sz w:val="22"/>
          <w:szCs w:val="22"/>
        </w:rPr>
        <w:t xml:space="preserve">En contraste, las localidades rurales están marcadas por la falta de infraestructura y los impactos del cambio climático en las actividades agropecuarias. Muchas de estas áreas se </w:t>
      </w:r>
      <w:r>
        <w:rPr>
          <w:rFonts w:ascii="Arial" w:hAnsi="Arial" w:cs="Arial"/>
          <w:color w:val="000000"/>
          <w:sz w:val="22"/>
          <w:szCs w:val="22"/>
        </w:rPr>
        <w:t>verán</w:t>
      </w:r>
      <w:r w:rsidRPr="00564E7F">
        <w:rPr>
          <w:rFonts w:ascii="Arial" w:hAnsi="Arial" w:cs="Arial"/>
          <w:color w:val="000000"/>
          <w:sz w:val="22"/>
          <w:szCs w:val="22"/>
        </w:rPr>
        <w:t xml:space="preserve"> afectadas por la escasez de agua y servicios básicos, lo que exige mejorar el acceso a servicios públicos y crear centros de atención que disminuyan los tiempos de traslado.</w:t>
      </w:r>
    </w:p>
    <w:p w14:paraId="204AAC89" w14:textId="29B6BB5A" w:rsidR="00EC118C" w:rsidRPr="00564E7F" w:rsidRDefault="00EC118C" w:rsidP="00B205BA">
      <w:pPr>
        <w:pStyle w:val="NormalWeb"/>
        <w:spacing w:before="0" w:beforeAutospacing="0" w:after="120" w:afterAutospacing="0"/>
        <w:jc w:val="both"/>
        <w:rPr>
          <w:rFonts w:ascii="Arial" w:hAnsi="Arial" w:cs="Arial"/>
          <w:color w:val="000000"/>
          <w:sz w:val="22"/>
          <w:szCs w:val="22"/>
        </w:rPr>
      </w:pPr>
      <w:r w:rsidRPr="00564E7F">
        <w:rPr>
          <w:rFonts w:ascii="Arial" w:hAnsi="Arial" w:cs="Arial"/>
          <w:color w:val="000000"/>
          <w:sz w:val="22"/>
          <w:szCs w:val="22"/>
        </w:rPr>
        <w:t>El crecimiento de zonas suburbanas como El Triunfo, La Yesca y San Pedro</w:t>
      </w:r>
      <w:r>
        <w:rPr>
          <w:rFonts w:ascii="Arial" w:hAnsi="Arial" w:cs="Arial"/>
          <w:color w:val="000000"/>
          <w:sz w:val="22"/>
          <w:szCs w:val="22"/>
        </w:rPr>
        <w:t xml:space="preserve"> El Saucito</w:t>
      </w:r>
      <w:r w:rsidRPr="00564E7F">
        <w:rPr>
          <w:rFonts w:ascii="Arial" w:hAnsi="Arial" w:cs="Arial"/>
          <w:color w:val="000000"/>
          <w:sz w:val="22"/>
          <w:szCs w:val="22"/>
        </w:rPr>
        <w:t xml:space="preserve"> </w:t>
      </w:r>
      <w:r>
        <w:rPr>
          <w:rFonts w:ascii="Arial" w:hAnsi="Arial" w:cs="Arial"/>
          <w:color w:val="000000"/>
          <w:sz w:val="22"/>
          <w:szCs w:val="22"/>
        </w:rPr>
        <w:t xml:space="preserve">se </w:t>
      </w:r>
      <w:r w:rsidRPr="00564E7F">
        <w:rPr>
          <w:rFonts w:ascii="Arial" w:hAnsi="Arial" w:cs="Arial"/>
          <w:color w:val="000000"/>
          <w:sz w:val="22"/>
          <w:szCs w:val="22"/>
        </w:rPr>
        <w:t>ha incrementado debido a la oferta de suelo para actividades recreativas, generando expansiones urbanas difusas, lo que afecta la conectividad y aumenta la demanda de infraestructura. Además, la venta de terrenos irregulares sin servicios ni garantías legales ha empeorado la situación.</w:t>
      </w:r>
    </w:p>
    <w:p w14:paraId="37C6782F" w14:textId="46C425A8" w:rsidR="00EC118C" w:rsidRPr="00564E7F" w:rsidRDefault="00EC118C" w:rsidP="00B205BA">
      <w:pPr>
        <w:pStyle w:val="NormalWeb"/>
        <w:spacing w:before="0" w:beforeAutospacing="0" w:after="120" w:afterAutospacing="0"/>
        <w:jc w:val="both"/>
        <w:rPr>
          <w:rFonts w:ascii="Arial" w:hAnsi="Arial" w:cs="Arial"/>
          <w:color w:val="000000"/>
          <w:sz w:val="22"/>
          <w:szCs w:val="22"/>
        </w:rPr>
      </w:pPr>
      <w:r>
        <w:rPr>
          <w:rFonts w:ascii="Arial" w:hAnsi="Arial" w:cs="Arial"/>
          <w:color w:val="000000"/>
          <w:sz w:val="22"/>
          <w:szCs w:val="22"/>
        </w:rPr>
        <w:t>Este</w:t>
      </w:r>
      <w:r w:rsidRPr="00564E7F">
        <w:rPr>
          <w:rFonts w:ascii="Arial" w:hAnsi="Arial" w:cs="Arial"/>
          <w:color w:val="000000"/>
          <w:sz w:val="22"/>
          <w:szCs w:val="22"/>
        </w:rPr>
        <w:t xml:space="preserve"> aumento de la población en áreas rurales impulsado por la subdivisión de tierras para actividades campestres genera ingresos temporales</w:t>
      </w:r>
      <w:r>
        <w:rPr>
          <w:rFonts w:ascii="Arial" w:hAnsi="Arial" w:cs="Arial"/>
          <w:color w:val="000000"/>
          <w:sz w:val="22"/>
          <w:szCs w:val="22"/>
        </w:rPr>
        <w:t>,</w:t>
      </w:r>
      <w:r w:rsidRPr="00564E7F">
        <w:rPr>
          <w:rFonts w:ascii="Arial" w:hAnsi="Arial" w:cs="Arial"/>
          <w:color w:val="000000"/>
          <w:sz w:val="22"/>
          <w:szCs w:val="22"/>
        </w:rPr>
        <w:t xml:space="preserve"> pero agrava </w:t>
      </w:r>
      <w:r>
        <w:rPr>
          <w:rFonts w:ascii="Arial" w:hAnsi="Arial" w:cs="Arial"/>
          <w:color w:val="000000"/>
          <w:sz w:val="22"/>
          <w:szCs w:val="22"/>
        </w:rPr>
        <w:t xml:space="preserve">los </w:t>
      </w:r>
      <w:r w:rsidRPr="00564E7F">
        <w:rPr>
          <w:rFonts w:ascii="Arial" w:hAnsi="Arial" w:cs="Arial"/>
          <w:color w:val="000000"/>
          <w:sz w:val="22"/>
          <w:szCs w:val="22"/>
        </w:rPr>
        <w:t xml:space="preserve">problemas </w:t>
      </w:r>
      <w:r>
        <w:rPr>
          <w:rFonts w:ascii="Arial" w:hAnsi="Arial" w:cs="Arial"/>
          <w:color w:val="000000"/>
          <w:sz w:val="22"/>
          <w:szCs w:val="22"/>
        </w:rPr>
        <w:t xml:space="preserve">por la falta </w:t>
      </w:r>
      <w:r w:rsidRPr="00564E7F">
        <w:rPr>
          <w:rFonts w:ascii="Arial" w:hAnsi="Arial" w:cs="Arial"/>
          <w:color w:val="000000"/>
          <w:sz w:val="22"/>
          <w:szCs w:val="22"/>
        </w:rPr>
        <w:t xml:space="preserve">de servicios. </w:t>
      </w:r>
      <w:r>
        <w:rPr>
          <w:rFonts w:ascii="Arial" w:hAnsi="Arial" w:cs="Arial"/>
          <w:color w:val="000000"/>
          <w:sz w:val="22"/>
          <w:szCs w:val="22"/>
        </w:rPr>
        <w:t>Adicionalmente</w:t>
      </w:r>
      <w:r w:rsidRPr="00564E7F">
        <w:rPr>
          <w:rFonts w:ascii="Arial" w:hAnsi="Arial" w:cs="Arial"/>
          <w:color w:val="000000"/>
          <w:sz w:val="22"/>
          <w:szCs w:val="22"/>
        </w:rPr>
        <w:t>, la falta de acceso a servicios de salud y la complejidad en la propiedad del suelo podrían generar conflictos durante la urbanización.</w:t>
      </w:r>
    </w:p>
    <w:p w14:paraId="53FD7AD0" w14:textId="77777777" w:rsidR="00EC118C" w:rsidRDefault="00EC118C" w:rsidP="00B205BA">
      <w:pPr>
        <w:pStyle w:val="NormalWeb"/>
        <w:spacing w:before="0" w:beforeAutospacing="0" w:after="120" w:afterAutospacing="0"/>
        <w:jc w:val="both"/>
        <w:rPr>
          <w:rFonts w:ascii="Arial" w:hAnsi="Arial" w:cs="Arial"/>
          <w:color w:val="000000"/>
          <w:sz w:val="22"/>
          <w:szCs w:val="22"/>
        </w:rPr>
      </w:pPr>
      <w:r>
        <w:rPr>
          <w:rFonts w:ascii="Arial" w:hAnsi="Arial" w:cs="Arial"/>
          <w:color w:val="000000"/>
          <w:sz w:val="22"/>
          <w:szCs w:val="22"/>
        </w:rPr>
        <w:t>De lo anterior,</w:t>
      </w:r>
      <w:r w:rsidRPr="00564E7F">
        <w:rPr>
          <w:rFonts w:ascii="Arial" w:hAnsi="Arial" w:cs="Arial"/>
          <w:color w:val="000000"/>
          <w:sz w:val="22"/>
          <w:szCs w:val="22"/>
        </w:rPr>
        <w:t xml:space="preserve"> se destaca que los principales centros urbanos y rurales se concentran en la zona media del municipio, en el Distrito de </w:t>
      </w:r>
      <w:r>
        <w:rPr>
          <w:rFonts w:ascii="Arial" w:hAnsi="Arial" w:cs="Arial"/>
          <w:color w:val="000000"/>
          <w:sz w:val="22"/>
          <w:szCs w:val="22"/>
        </w:rPr>
        <w:t>r</w:t>
      </w:r>
      <w:r w:rsidRPr="00564E7F">
        <w:rPr>
          <w:rFonts w:ascii="Arial" w:hAnsi="Arial" w:cs="Arial"/>
          <w:color w:val="000000"/>
          <w:sz w:val="22"/>
          <w:szCs w:val="22"/>
        </w:rPr>
        <w:t xml:space="preserve">iego </w:t>
      </w:r>
      <w:r>
        <w:rPr>
          <w:rFonts w:ascii="Arial" w:hAnsi="Arial" w:cs="Arial"/>
          <w:color w:val="000000"/>
          <w:sz w:val="22"/>
          <w:szCs w:val="22"/>
        </w:rPr>
        <w:t xml:space="preserve">número </w:t>
      </w:r>
      <w:r w:rsidRPr="00564E7F">
        <w:rPr>
          <w:rFonts w:ascii="Arial" w:hAnsi="Arial" w:cs="Arial"/>
          <w:color w:val="000000"/>
          <w:sz w:val="22"/>
          <w:szCs w:val="22"/>
        </w:rPr>
        <w:t xml:space="preserve">51, la cual es clave para la producción agropecuaria. </w:t>
      </w:r>
      <w:r>
        <w:rPr>
          <w:rFonts w:ascii="Arial" w:hAnsi="Arial" w:cs="Arial"/>
          <w:color w:val="000000"/>
          <w:sz w:val="22"/>
          <w:szCs w:val="22"/>
        </w:rPr>
        <w:t>El</w:t>
      </w:r>
      <w:r w:rsidRPr="00564E7F">
        <w:rPr>
          <w:rFonts w:ascii="Arial" w:hAnsi="Arial" w:cs="Arial"/>
          <w:color w:val="000000"/>
          <w:sz w:val="22"/>
          <w:szCs w:val="22"/>
        </w:rPr>
        <w:t xml:space="preserve"> área tiene potencial para el desarrollo turístico sostenible, aprovechando </w:t>
      </w:r>
      <w:r>
        <w:rPr>
          <w:rFonts w:ascii="Arial" w:hAnsi="Arial" w:cs="Arial"/>
          <w:color w:val="000000"/>
          <w:sz w:val="22"/>
          <w:szCs w:val="22"/>
        </w:rPr>
        <w:t>su</w:t>
      </w:r>
      <w:r w:rsidRPr="00564E7F">
        <w:rPr>
          <w:rFonts w:ascii="Arial" w:hAnsi="Arial" w:cs="Arial"/>
          <w:color w:val="000000"/>
          <w:sz w:val="22"/>
          <w:szCs w:val="22"/>
        </w:rPr>
        <w:t xml:space="preserve"> diversidad ecológica</w:t>
      </w:r>
      <w:r>
        <w:rPr>
          <w:rFonts w:ascii="Arial" w:hAnsi="Arial" w:cs="Arial"/>
          <w:color w:val="000000"/>
          <w:sz w:val="22"/>
          <w:szCs w:val="22"/>
        </w:rPr>
        <w:t>. Esto puede propiciar, además, el desarrollo de actividades turísticas con enfoques de conservación, sobre todo tomando en cuenta que el municipio de Hermosillo es considerado uno de los municipios más biodiversos del país, por su vegetación, ambientes costeros, fauna endémica y paisajes.</w:t>
      </w:r>
    </w:p>
    <w:p w14:paraId="3E5D724D" w14:textId="77777777" w:rsidR="00EC118C" w:rsidRPr="00A656D2" w:rsidRDefault="00EC118C" w:rsidP="00B205BA">
      <w:pPr>
        <w:pStyle w:val="NormalWeb"/>
        <w:spacing w:after="120" w:afterAutospacing="0"/>
        <w:jc w:val="both"/>
        <w:rPr>
          <w:rFonts w:ascii="Arial" w:hAnsi="Arial" w:cs="Arial"/>
          <w:color w:val="000000"/>
          <w:sz w:val="22"/>
          <w:szCs w:val="22"/>
        </w:rPr>
      </w:pPr>
      <w:r w:rsidRPr="00A656D2">
        <w:rPr>
          <w:rFonts w:ascii="Arial" w:hAnsi="Arial" w:cs="Arial"/>
          <w:color w:val="000000"/>
          <w:sz w:val="22"/>
          <w:szCs w:val="22"/>
        </w:rPr>
        <w:lastRenderedPageBreak/>
        <w:t>En 2023, Hermosillo implementó su Programa Municipal de Desarrollo Urbano, creado con la participación de diversos sectores de la población. Este programa abarca 15 unidades territoriales de planeación (macrobarrios) y los tres centros urbanos</w:t>
      </w:r>
      <w:r>
        <w:rPr>
          <w:rFonts w:ascii="Arial" w:hAnsi="Arial" w:cs="Arial"/>
          <w:color w:val="000000"/>
          <w:sz w:val="22"/>
          <w:szCs w:val="22"/>
        </w:rPr>
        <w:t xml:space="preserve"> ya mencionados</w:t>
      </w:r>
      <w:r w:rsidRPr="00A656D2">
        <w:rPr>
          <w:rFonts w:ascii="Arial" w:hAnsi="Arial" w:cs="Arial"/>
          <w:color w:val="000000"/>
          <w:sz w:val="22"/>
          <w:szCs w:val="22"/>
        </w:rPr>
        <w:t xml:space="preserve">, alineándose </w:t>
      </w:r>
      <w:r>
        <w:rPr>
          <w:rFonts w:ascii="Arial" w:hAnsi="Arial" w:cs="Arial"/>
          <w:color w:val="000000"/>
          <w:sz w:val="22"/>
          <w:szCs w:val="22"/>
        </w:rPr>
        <w:t xml:space="preserve">así </w:t>
      </w:r>
      <w:r w:rsidRPr="00A656D2">
        <w:rPr>
          <w:rFonts w:ascii="Arial" w:hAnsi="Arial" w:cs="Arial"/>
          <w:color w:val="000000"/>
          <w:sz w:val="22"/>
          <w:szCs w:val="22"/>
        </w:rPr>
        <w:t xml:space="preserve">con los objetivos de la Agenda Municipal de Largo Plazo y los Objetivos de Desarrollo Sostenible. Incluye 170 acciones y proyectos, </w:t>
      </w:r>
      <w:r>
        <w:rPr>
          <w:rFonts w:ascii="Arial" w:hAnsi="Arial" w:cs="Arial"/>
          <w:color w:val="000000"/>
          <w:sz w:val="22"/>
          <w:szCs w:val="22"/>
        </w:rPr>
        <w:t xml:space="preserve">así </w:t>
      </w:r>
      <w:r w:rsidRPr="00A656D2">
        <w:rPr>
          <w:rFonts w:ascii="Arial" w:hAnsi="Arial" w:cs="Arial"/>
          <w:color w:val="000000"/>
          <w:sz w:val="22"/>
          <w:szCs w:val="22"/>
        </w:rPr>
        <w:t>como obra pública y programas enfocados en la densificación controlada, la conservación ambiental, la adaptación al cambio climático, la inclusión social, la movilidad activa y la regeneración urbana.</w:t>
      </w:r>
    </w:p>
    <w:p w14:paraId="21F6CDAA" w14:textId="77777777" w:rsidR="00EC118C" w:rsidRPr="00A656D2" w:rsidRDefault="00EC118C" w:rsidP="00B205BA">
      <w:pPr>
        <w:pStyle w:val="NormalWeb"/>
        <w:spacing w:before="0" w:beforeAutospacing="0" w:after="120" w:afterAutospacing="0"/>
        <w:jc w:val="both"/>
        <w:rPr>
          <w:rFonts w:ascii="Arial" w:hAnsi="Arial" w:cs="Arial"/>
          <w:color w:val="000000"/>
          <w:sz w:val="22"/>
          <w:szCs w:val="22"/>
        </w:rPr>
      </w:pPr>
      <w:r w:rsidRPr="00A656D2">
        <w:rPr>
          <w:rFonts w:ascii="Arial" w:hAnsi="Arial" w:cs="Arial"/>
          <w:color w:val="000000"/>
          <w:sz w:val="22"/>
          <w:szCs w:val="22"/>
        </w:rPr>
        <w:t xml:space="preserve">El programa se basa en la Ley General de Asentamientos Humanos y la Ley de Movilidad y Seguridad Vial, estableciendo regulaciones sobre desarrollo urbano, construcción, espacios públicos y seguridad vial. Además, define </w:t>
      </w:r>
      <w:r>
        <w:rPr>
          <w:rFonts w:ascii="Arial" w:hAnsi="Arial" w:cs="Arial"/>
          <w:color w:val="000000"/>
          <w:sz w:val="22"/>
          <w:szCs w:val="22"/>
        </w:rPr>
        <w:t xml:space="preserve">diversas </w:t>
      </w:r>
      <w:r w:rsidRPr="00A656D2">
        <w:rPr>
          <w:rFonts w:ascii="Arial" w:hAnsi="Arial" w:cs="Arial"/>
          <w:color w:val="000000"/>
          <w:sz w:val="22"/>
          <w:szCs w:val="22"/>
        </w:rPr>
        <w:t>directrices para las dependencias municipales y paramunicipales encargadas de gestionar el crecimiento y la urbanización de la ciudad.</w:t>
      </w:r>
    </w:p>
    <w:p w14:paraId="143CB67F" w14:textId="77777777" w:rsidR="00EC118C" w:rsidRPr="00A656D2" w:rsidRDefault="00EC118C" w:rsidP="00B205BA">
      <w:pPr>
        <w:pStyle w:val="NormalWeb"/>
        <w:spacing w:before="0" w:beforeAutospacing="0" w:after="120" w:afterAutospacing="0"/>
        <w:jc w:val="both"/>
        <w:rPr>
          <w:rFonts w:ascii="Arial" w:hAnsi="Arial" w:cs="Arial"/>
          <w:color w:val="000000"/>
          <w:sz w:val="22"/>
          <w:szCs w:val="22"/>
        </w:rPr>
      </w:pPr>
    </w:p>
    <w:p w14:paraId="7831E167" w14:textId="6DE5879A" w:rsidR="00EC118C" w:rsidRDefault="00EC118C" w:rsidP="00B205BA">
      <w:pPr>
        <w:spacing w:after="120" w:line="240" w:lineRule="auto"/>
        <w:rPr>
          <w:rFonts w:cs="Arial"/>
          <w:b/>
          <w:bCs/>
        </w:rPr>
      </w:pPr>
      <w:r w:rsidRPr="00EF5434">
        <w:rPr>
          <w:rFonts w:cs="Arial"/>
          <w:b/>
          <w:bCs/>
        </w:rPr>
        <w:t>Cobertura de servicios básicos</w:t>
      </w:r>
      <w:r w:rsidR="00A033CE">
        <w:rPr>
          <w:rFonts w:cs="Arial"/>
          <w:b/>
          <w:bCs/>
        </w:rPr>
        <w:t>.</w:t>
      </w:r>
    </w:p>
    <w:p w14:paraId="3C5F56EC" w14:textId="48A32B01" w:rsidR="00EC118C" w:rsidRDefault="00EC118C" w:rsidP="00B205BA">
      <w:pPr>
        <w:spacing w:after="120" w:line="240" w:lineRule="auto"/>
        <w:rPr>
          <w:rFonts w:cs="Arial"/>
        </w:rPr>
      </w:pPr>
      <w:r>
        <w:rPr>
          <w:rFonts w:cs="Arial"/>
        </w:rPr>
        <w:t>D</w:t>
      </w:r>
      <w:r w:rsidRPr="00C13AFD">
        <w:rPr>
          <w:rFonts w:cs="Arial"/>
        </w:rPr>
        <w:t>e acuerdo</w:t>
      </w:r>
      <w:r>
        <w:rPr>
          <w:rFonts w:cs="Arial"/>
        </w:rPr>
        <w:t xml:space="preserve"> </w:t>
      </w:r>
      <w:r w:rsidRPr="00C13AFD">
        <w:rPr>
          <w:rFonts w:cs="Arial"/>
        </w:rPr>
        <w:t>con el Censo de Población y Vivienda 2020</w:t>
      </w:r>
      <w:r>
        <w:rPr>
          <w:rStyle w:val="Refdenotaalpie"/>
          <w:rFonts w:cs="Arial"/>
        </w:rPr>
        <w:footnoteReference w:id="28"/>
      </w:r>
      <w:r>
        <w:rPr>
          <w:rFonts w:cs="Arial"/>
        </w:rPr>
        <w:t>, e</w:t>
      </w:r>
      <w:r w:rsidRPr="00FE272F">
        <w:rPr>
          <w:rFonts w:cs="Arial"/>
        </w:rPr>
        <w:t xml:space="preserve">l acceso a servicios públicos </w:t>
      </w:r>
      <w:r>
        <w:rPr>
          <w:rFonts w:cs="Arial"/>
        </w:rPr>
        <w:t xml:space="preserve">básicos </w:t>
      </w:r>
      <w:r w:rsidRPr="00C13AFD">
        <w:rPr>
          <w:rFonts w:cs="Arial"/>
        </w:rPr>
        <w:t>(agua potable, drenaje,</w:t>
      </w:r>
      <w:r>
        <w:rPr>
          <w:rFonts w:cs="Arial"/>
        </w:rPr>
        <w:t xml:space="preserve"> </w:t>
      </w:r>
      <w:r w:rsidRPr="00C13AFD">
        <w:rPr>
          <w:rFonts w:cs="Arial"/>
        </w:rPr>
        <w:t>alcantarillado, alumbrado, limpia y recolección de basura)</w:t>
      </w:r>
      <w:r>
        <w:rPr>
          <w:rFonts w:cs="Arial"/>
        </w:rPr>
        <w:t xml:space="preserve"> </w:t>
      </w:r>
      <w:r w:rsidRPr="00FE272F">
        <w:rPr>
          <w:rFonts w:cs="Arial"/>
        </w:rPr>
        <w:t>en el municipio de Hermosillo es relativamente alto, con un promedio de 97.4</w:t>
      </w:r>
      <w:r>
        <w:rPr>
          <w:rFonts w:cs="Arial"/>
        </w:rPr>
        <w:t xml:space="preserve"> </w:t>
      </w:r>
      <w:r w:rsidRPr="00FE272F">
        <w:rPr>
          <w:rFonts w:cs="Arial"/>
        </w:rPr>
        <w:t>% de las viviendas conectadas a servicios esenciales.</w:t>
      </w:r>
    </w:p>
    <w:p w14:paraId="73C01D37" w14:textId="2646C5F7" w:rsidR="00EC118C" w:rsidRDefault="00EC118C" w:rsidP="00B205BA">
      <w:pPr>
        <w:spacing w:after="120" w:line="240" w:lineRule="auto"/>
        <w:rPr>
          <w:rFonts w:cs="Arial"/>
        </w:rPr>
      </w:pPr>
      <w:r w:rsidRPr="009D52C1">
        <w:rPr>
          <w:rFonts w:cs="Arial"/>
        </w:rPr>
        <w:t>Sin embargo, existen desigualdades</w:t>
      </w:r>
      <w:r>
        <w:rPr>
          <w:rFonts w:cs="Arial"/>
        </w:rPr>
        <w:t>,</w:t>
      </w:r>
      <w:r w:rsidRPr="009D52C1">
        <w:rPr>
          <w:rFonts w:cs="Arial"/>
        </w:rPr>
        <w:t xml:space="preserve"> dependiendo de la localidad</w:t>
      </w:r>
      <w:r>
        <w:rPr>
          <w:rFonts w:cs="Arial"/>
        </w:rPr>
        <w:t>:</w:t>
      </w:r>
      <w:r w:rsidRPr="009D52C1">
        <w:rPr>
          <w:rFonts w:cs="Arial"/>
        </w:rPr>
        <w:t xml:space="preserve"> mientras que Hermosillo centro presenta una cobertura casi total de servicios</w:t>
      </w:r>
      <w:r>
        <w:rPr>
          <w:rFonts w:cs="Arial"/>
        </w:rPr>
        <w:t>,</w:t>
      </w:r>
      <w:r w:rsidRPr="009D52C1">
        <w:rPr>
          <w:rFonts w:cs="Arial"/>
        </w:rPr>
        <w:t xml:space="preserve"> las zonas rurales y semiurbanas en general muestran porcentajes </w:t>
      </w:r>
      <w:r>
        <w:rPr>
          <w:rFonts w:cs="Arial"/>
        </w:rPr>
        <w:t xml:space="preserve">de cobertura </w:t>
      </w:r>
      <w:r w:rsidRPr="009D52C1">
        <w:rPr>
          <w:rFonts w:cs="Arial"/>
        </w:rPr>
        <w:t xml:space="preserve">considerablemente </w:t>
      </w:r>
      <w:r>
        <w:rPr>
          <w:rFonts w:cs="Arial"/>
        </w:rPr>
        <w:t>menores</w:t>
      </w:r>
      <w:r w:rsidRPr="00F53E52">
        <w:rPr>
          <w:rFonts w:cs="Arial"/>
        </w:rPr>
        <w:t xml:space="preserve"> (</w:t>
      </w:r>
      <w:r>
        <w:rPr>
          <w:rFonts w:cs="Arial"/>
        </w:rPr>
        <w:t>véase</w:t>
      </w:r>
      <w:r w:rsidRPr="00F53E52">
        <w:rPr>
          <w:rFonts w:cs="Arial"/>
        </w:rPr>
        <w:t xml:space="preserve"> tabla 2).</w:t>
      </w:r>
    </w:p>
    <w:tbl>
      <w:tblPr>
        <w:tblStyle w:val="Tablaconcuadrculaclara"/>
        <w:tblpPr w:leftFromText="141" w:rightFromText="141" w:vertAnchor="page" w:horzAnchor="margin" w:tblpY="7741"/>
        <w:tblW w:w="0" w:type="auto"/>
        <w:tblLook w:val="01E0" w:firstRow="1" w:lastRow="1" w:firstColumn="1" w:lastColumn="1" w:noHBand="0" w:noVBand="0"/>
      </w:tblPr>
      <w:tblGrid>
        <w:gridCol w:w="2263"/>
        <w:gridCol w:w="1729"/>
        <w:gridCol w:w="2382"/>
        <w:gridCol w:w="1701"/>
      </w:tblGrid>
      <w:tr w:rsidR="00A033CE" w:rsidRPr="002763FB" w14:paraId="00570045" w14:textId="77777777" w:rsidTr="00A033CE">
        <w:trPr>
          <w:trHeight w:val="274"/>
        </w:trPr>
        <w:tc>
          <w:tcPr>
            <w:tcW w:w="8075" w:type="dxa"/>
            <w:gridSpan w:val="4"/>
            <w:shd w:val="clear" w:color="auto" w:fill="ED7D31" w:themeFill="accent2"/>
            <w:vAlign w:val="center"/>
          </w:tcPr>
          <w:p w14:paraId="2C241C1B" w14:textId="7BC5A8FC" w:rsidR="00A033CE" w:rsidRPr="002763FB" w:rsidRDefault="00A033CE" w:rsidP="00A033CE">
            <w:pPr>
              <w:pStyle w:val="TableParagraph"/>
              <w:spacing w:before="15" w:after="120"/>
              <w:rPr>
                <w:sz w:val="18"/>
                <w:szCs w:val="32"/>
              </w:rPr>
            </w:pPr>
            <w:r w:rsidRPr="00682841">
              <w:rPr>
                <w:b/>
                <w:bCs/>
                <w:color w:val="FFFFFF" w:themeColor="background1"/>
                <w:sz w:val="18"/>
                <w:szCs w:val="18"/>
              </w:rPr>
              <w:t>TABLA</w:t>
            </w:r>
            <w:r>
              <w:rPr>
                <w:b/>
                <w:bCs/>
                <w:color w:val="FFFFFF" w:themeColor="background1"/>
                <w:sz w:val="18"/>
                <w:szCs w:val="18"/>
              </w:rPr>
              <w:t xml:space="preserve"> 2. PORCENTAJE DE COBERTURA DE SERVICIOS PÚBLICOS SEGÚN LOCALIDAD</w:t>
            </w:r>
            <w:r w:rsidR="0086730D">
              <w:rPr>
                <w:b/>
                <w:bCs/>
                <w:color w:val="FFFFFF" w:themeColor="background1"/>
                <w:sz w:val="18"/>
                <w:szCs w:val="18"/>
              </w:rPr>
              <w:t>.</w:t>
            </w:r>
          </w:p>
        </w:tc>
      </w:tr>
      <w:tr w:rsidR="00A033CE" w:rsidRPr="002763FB" w14:paraId="5BE3FC65" w14:textId="77777777" w:rsidTr="00A033CE">
        <w:trPr>
          <w:trHeight w:val="272"/>
        </w:trPr>
        <w:tc>
          <w:tcPr>
            <w:tcW w:w="2263" w:type="dxa"/>
            <w:shd w:val="clear" w:color="auto" w:fill="D9D9D9" w:themeFill="background1" w:themeFillShade="D9"/>
            <w:vAlign w:val="center"/>
          </w:tcPr>
          <w:p w14:paraId="24B1FCFB" w14:textId="77777777" w:rsidR="00A033CE" w:rsidRPr="002763FB" w:rsidRDefault="00A033CE" w:rsidP="00A033CE">
            <w:pPr>
              <w:pStyle w:val="TableParagraph"/>
              <w:spacing w:after="120"/>
              <w:rPr>
                <w:b/>
                <w:bCs/>
                <w:color w:val="000000" w:themeColor="text1"/>
                <w:sz w:val="18"/>
                <w:szCs w:val="18"/>
              </w:rPr>
            </w:pPr>
            <w:r w:rsidRPr="002763FB">
              <w:rPr>
                <w:b/>
                <w:bCs/>
                <w:color w:val="000000" w:themeColor="text1"/>
                <w:sz w:val="18"/>
                <w:szCs w:val="18"/>
              </w:rPr>
              <w:t>Localidad</w:t>
            </w:r>
          </w:p>
        </w:tc>
        <w:tc>
          <w:tcPr>
            <w:tcW w:w="1729" w:type="dxa"/>
            <w:shd w:val="clear" w:color="auto" w:fill="D9D9D9" w:themeFill="background1" w:themeFillShade="D9"/>
            <w:vAlign w:val="center"/>
          </w:tcPr>
          <w:p w14:paraId="5B42FF93" w14:textId="77777777" w:rsidR="00A033CE" w:rsidRPr="002763FB" w:rsidRDefault="00A033CE" w:rsidP="00A033CE">
            <w:pPr>
              <w:pStyle w:val="TableParagraph"/>
              <w:spacing w:before="52" w:after="120"/>
              <w:ind w:left="240" w:right="190" w:hanging="33"/>
              <w:rPr>
                <w:b/>
                <w:bCs/>
                <w:color w:val="000000" w:themeColor="text1"/>
                <w:spacing w:val="-4"/>
                <w:w w:val="95"/>
                <w:sz w:val="18"/>
                <w:szCs w:val="18"/>
              </w:rPr>
            </w:pPr>
            <w:r>
              <w:rPr>
                <w:b/>
                <w:bCs/>
                <w:color w:val="000000" w:themeColor="text1"/>
                <w:w w:val="90"/>
                <w:sz w:val="18"/>
                <w:szCs w:val="18"/>
              </w:rPr>
              <w:t>Número de v</w:t>
            </w:r>
            <w:r w:rsidRPr="002763FB">
              <w:rPr>
                <w:b/>
                <w:bCs/>
                <w:color w:val="000000" w:themeColor="text1"/>
                <w:w w:val="90"/>
                <w:sz w:val="18"/>
                <w:szCs w:val="18"/>
              </w:rPr>
              <w:t>iviendas</w:t>
            </w:r>
            <w:r w:rsidRPr="002763FB">
              <w:rPr>
                <w:b/>
                <w:bCs/>
                <w:color w:val="000000" w:themeColor="text1"/>
                <w:spacing w:val="-47"/>
                <w:w w:val="90"/>
                <w:sz w:val="18"/>
                <w:szCs w:val="18"/>
              </w:rPr>
              <w:t xml:space="preserve"> </w:t>
            </w:r>
            <w:r w:rsidRPr="002763FB">
              <w:rPr>
                <w:b/>
                <w:bCs/>
                <w:color w:val="000000" w:themeColor="text1"/>
                <w:spacing w:val="-1"/>
                <w:w w:val="90"/>
                <w:sz w:val="18"/>
                <w:szCs w:val="18"/>
              </w:rPr>
              <w:t>habitadas</w:t>
            </w:r>
          </w:p>
        </w:tc>
        <w:tc>
          <w:tcPr>
            <w:tcW w:w="2382" w:type="dxa"/>
            <w:shd w:val="clear" w:color="auto" w:fill="D9D9D9" w:themeFill="background1" w:themeFillShade="D9"/>
            <w:vAlign w:val="center"/>
          </w:tcPr>
          <w:p w14:paraId="3453A330" w14:textId="77777777" w:rsidR="00A033CE" w:rsidRPr="002763FB" w:rsidRDefault="00A033CE" w:rsidP="00A033CE">
            <w:pPr>
              <w:pStyle w:val="TableParagraph"/>
              <w:spacing w:before="52" w:after="120"/>
              <w:ind w:left="126" w:right="143"/>
              <w:rPr>
                <w:b/>
                <w:bCs/>
                <w:color w:val="000000" w:themeColor="text1"/>
                <w:spacing w:val="-3"/>
                <w:w w:val="90"/>
                <w:sz w:val="18"/>
                <w:szCs w:val="18"/>
              </w:rPr>
            </w:pPr>
            <w:r>
              <w:rPr>
                <w:b/>
                <w:bCs/>
                <w:color w:val="000000" w:themeColor="text1"/>
                <w:spacing w:val="-3"/>
                <w:w w:val="90"/>
                <w:sz w:val="18"/>
                <w:szCs w:val="18"/>
              </w:rPr>
              <w:t>Número de v</w:t>
            </w:r>
            <w:r w:rsidRPr="002763FB">
              <w:rPr>
                <w:b/>
                <w:bCs/>
                <w:color w:val="000000" w:themeColor="text1"/>
                <w:spacing w:val="-3"/>
                <w:w w:val="90"/>
                <w:sz w:val="18"/>
                <w:szCs w:val="18"/>
              </w:rPr>
              <w:t>iviendas</w:t>
            </w:r>
            <w:r w:rsidRPr="002763FB">
              <w:rPr>
                <w:b/>
                <w:bCs/>
                <w:color w:val="000000" w:themeColor="text1"/>
                <w:spacing w:val="-15"/>
                <w:w w:val="90"/>
                <w:sz w:val="18"/>
                <w:szCs w:val="18"/>
              </w:rPr>
              <w:t xml:space="preserve"> </w:t>
            </w:r>
            <w:r w:rsidRPr="002763FB">
              <w:rPr>
                <w:b/>
                <w:bCs/>
                <w:color w:val="000000" w:themeColor="text1"/>
                <w:spacing w:val="-2"/>
                <w:w w:val="90"/>
                <w:sz w:val="18"/>
                <w:szCs w:val="18"/>
              </w:rPr>
              <w:t>habitadas</w:t>
            </w:r>
            <w:r>
              <w:rPr>
                <w:b/>
                <w:bCs/>
                <w:color w:val="000000" w:themeColor="text1"/>
                <w:spacing w:val="-2"/>
                <w:w w:val="90"/>
                <w:sz w:val="18"/>
                <w:szCs w:val="18"/>
              </w:rPr>
              <w:t xml:space="preserve"> </w:t>
            </w:r>
            <w:r w:rsidRPr="002763FB">
              <w:rPr>
                <w:b/>
                <w:bCs/>
                <w:color w:val="000000" w:themeColor="text1"/>
                <w:spacing w:val="-46"/>
                <w:w w:val="90"/>
                <w:sz w:val="18"/>
                <w:szCs w:val="18"/>
              </w:rPr>
              <w:t xml:space="preserve"> </w:t>
            </w:r>
            <w:r>
              <w:rPr>
                <w:b/>
                <w:bCs/>
                <w:color w:val="000000" w:themeColor="text1"/>
                <w:spacing w:val="-46"/>
                <w:w w:val="90"/>
                <w:sz w:val="18"/>
                <w:szCs w:val="18"/>
              </w:rPr>
              <w:t xml:space="preserve">  </w:t>
            </w:r>
            <w:r w:rsidRPr="002763FB">
              <w:rPr>
                <w:b/>
                <w:bCs/>
                <w:color w:val="000000" w:themeColor="text1"/>
                <w:spacing w:val="-2"/>
                <w:w w:val="90"/>
                <w:sz w:val="18"/>
                <w:szCs w:val="18"/>
              </w:rPr>
              <w:t>con servicios</w:t>
            </w:r>
            <w:r w:rsidRPr="002763FB">
              <w:rPr>
                <w:b/>
                <w:bCs/>
                <w:color w:val="000000" w:themeColor="text1"/>
                <w:spacing w:val="-1"/>
                <w:w w:val="90"/>
                <w:sz w:val="18"/>
                <w:szCs w:val="18"/>
              </w:rPr>
              <w:t xml:space="preserve"> </w:t>
            </w:r>
            <w:r w:rsidRPr="001450B0">
              <w:rPr>
                <w:b/>
                <w:bCs/>
                <w:color w:val="000000" w:themeColor="text1"/>
                <w:spacing w:val="-2"/>
                <w:w w:val="90"/>
                <w:sz w:val="18"/>
                <w:szCs w:val="18"/>
              </w:rPr>
              <w:t>públicos</w:t>
            </w:r>
          </w:p>
        </w:tc>
        <w:tc>
          <w:tcPr>
            <w:tcW w:w="1701" w:type="dxa"/>
            <w:shd w:val="clear" w:color="auto" w:fill="D9D9D9" w:themeFill="background1" w:themeFillShade="D9"/>
            <w:vAlign w:val="center"/>
          </w:tcPr>
          <w:p w14:paraId="07A83ACA" w14:textId="77777777" w:rsidR="00A033CE" w:rsidRPr="002763FB" w:rsidRDefault="00A033CE" w:rsidP="00A033CE">
            <w:pPr>
              <w:pStyle w:val="TableParagraph"/>
              <w:spacing w:after="120"/>
              <w:ind w:left="-111"/>
              <w:rPr>
                <w:b/>
                <w:bCs/>
                <w:color w:val="000000" w:themeColor="text1"/>
                <w:sz w:val="18"/>
                <w:szCs w:val="18"/>
              </w:rPr>
            </w:pPr>
            <w:r w:rsidRPr="000635AB">
              <w:rPr>
                <w:b/>
                <w:bCs/>
                <w:color w:val="000000" w:themeColor="text1"/>
                <w:spacing w:val="-2"/>
                <w:w w:val="90"/>
                <w:sz w:val="18"/>
                <w:szCs w:val="18"/>
              </w:rPr>
              <w:t>Cobertura (%)</w:t>
            </w:r>
          </w:p>
        </w:tc>
      </w:tr>
      <w:tr w:rsidR="00A033CE" w:rsidRPr="002763FB" w14:paraId="0FE321BD" w14:textId="77777777" w:rsidTr="00A033CE">
        <w:trPr>
          <w:trHeight w:val="118"/>
        </w:trPr>
        <w:tc>
          <w:tcPr>
            <w:tcW w:w="2263" w:type="dxa"/>
            <w:vAlign w:val="center"/>
          </w:tcPr>
          <w:p w14:paraId="5456A48D" w14:textId="77777777" w:rsidR="00A033CE" w:rsidRPr="002763FB" w:rsidRDefault="00A033CE" w:rsidP="00A033CE">
            <w:pPr>
              <w:pStyle w:val="TableParagraph"/>
              <w:spacing w:after="120"/>
              <w:ind w:left="339"/>
              <w:rPr>
                <w:sz w:val="18"/>
                <w:szCs w:val="18"/>
              </w:rPr>
            </w:pPr>
            <w:r w:rsidRPr="002763FB">
              <w:rPr>
                <w:sz w:val="18"/>
                <w:szCs w:val="18"/>
              </w:rPr>
              <w:t>Bahía</w:t>
            </w:r>
            <w:r w:rsidRPr="002763FB">
              <w:rPr>
                <w:spacing w:val="-8"/>
                <w:sz w:val="18"/>
                <w:szCs w:val="18"/>
              </w:rPr>
              <w:t xml:space="preserve"> </w:t>
            </w:r>
            <w:r w:rsidRPr="002763FB">
              <w:rPr>
                <w:sz w:val="18"/>
                <w:szCs w:val="18"/>
              </w:rPr>
              <w:t>de</w:t>
            </w:r>
            <w:r w:rsidRPr="002763FB">
              <w:rPr>
                <w:spacing w:val="-8"/>
                <w:sz w:val="18"/>
                <w:szCs w:val="18"/>
              </w:rPr>
              <w:t xml:space="preserve"> </w:t>
            </w:r>
            <w:r w:rsidRPr="002763FB">
              <w:rPr>
                <w:sz w:val="18"/>
                <w:szCs w:val="18"/>
              </w:rPr>
              <w:t>Kino</w:t>
            </w:r>
          </w:p>
        </w:tc>
        <w:tc>
          <w:tcPr>
            <w:tcW w:w="1729" w:type="dxa"/>
            <w:vAlign w:val="center"/>
          </w:tcPr>
          <w:p w14:paraId="1AF3AAB6" w14:textId="5E811B7F" w:rsidR="00A033CE" w:rsidRPr="002763FB" w:rsidRDefault="00A033CE" w:rsidP="00C47BF8">
            <w:pPr>
              <w:pStyle w:val="TableParagraph"/>
              <w:spacing w:before="56" w:after="120"/>
              <w:ind w:left="328" w:right="367"/>
              <w:jc w:val="center"/>
              <w:rPr>
                <w:b/>
                <w:bCs/>
                <w:sz w:val="18"/>
                <w:szCs w:val="18"/>
              </w:rPr>
            </w:pPr>
            <w:r w:rsidRPr="002763FB">
              <w:rPr>
                <w:sz w:val="18"/>
                <w:szCs w:val="18"/>
              </w:rPr>
              <w:t>1</w:t>
            </w:r>
            <w:r w:rsidR="00C47BF8">
              <w:rPr>
                <w:sz w:val="18"/>
                <w:szCs w:val="18"/>
              </w:rPr>
              <w:t xml:space="preserve"> </w:t>
            </w:r>
            <w:r w:rsidRPr="002763FB">
              <w:rPr>
                <w:sz w:val="18"/>
                <w:szCs w:val="18"/>
              </w:rPr>
              <w:t>820</w:t>
            </w:r>
          </w:p>
        </w:tc>
        <w:tc>
          <w:tcPr>
            <w:tcW w:w="2382" w:type="dxa"/>
            <w:vAlign w:val="center"/>
          </w:tcPr>
          <w:p w14:paraId="10E8DAC4" w14:textId="34CAADFA" w:rsidR="00A033CE" w:rsidRPr="002763FB" w:rsidRDefault="00A033CE" w:rsidP="00C47BF8">
            <w:pPr>
              <w:pStyle w:val="TableParagraph"/>
              <w:spacing w:before="56" w:after="120"/>
              <w:ind w:left="126" w:right="119"/>
              <w:jc w:val="center"/>
              <w:rPr>
                <w:b/>
                <w:bCs/>
                <w:sz w:val="18"/>
                <w:szCs w:val="18"/>
              </w:rPr>
            </w:pPr>
            <w:r w:rsidRPr="002763FB">
              <w:rPr>
                <w:sz w:val="18"/>
                <w:szCs w:val="18"/>
              </w:rPr>
              <w:t>1</w:t>
            </w:r>
            <w:r w:rsidR="00C47BF8">
              <w:rPr>
                <w:sz w:val="18"/>
                <w:szCs w:val="18"/>
              </w:rPr>
              <w:t xml:space="preserve"> </w:t>
            </w:r>
            <w:r w:rsidRPr="002763FB">
              <w:rPr>
                <w:sz w:val="18"/>
                <w:szCs w:val="18"/>
              </w:rPr>
              <w:t>662</w:t>
            </w:r>
          </w:p>
        </w:tc>
        <w:tc>
          <w:tcPr>
            <w:tcW w:w="1701" w:type="dxa"/>
            <w:vAlign w:val="center"/>
          </w:tcPr>
          <w:p w14:paraId="501D5217" w14:textId="77777777" w:rsidR="00A033CE" w:rsidRPr="002763FB" w:rsidRDefault="00A033CE" w:rsidP="00C47BF8">
            <w:pPr>
              <w:pStyle w:val="TableParagraph"/>
              <w:spacing w:after="120"/>
              <w:ind w:left="436"/>
              <w:jc w:val="center"/>
              <w:rPr>
                <w:b/>
                <w:bCs/>
                <w:sz w:val="18"/>
                <w:szCs w:val="18"/>
              </w:rPr>
            </w:pPr>
            <w:r w:rsidRPr="002763FB">
              <w:rPr>
                <w:sz w:val="18"/>
                <w:szCs w:val="18"/>
              </w:rPr>
              <w:t>91.3</w:t>
            </w:r>
          </w:p>
        </w:tc>
      </w:tr>
      <w:tr w:rsidR="00A033CE" w:rsidRPr="002763FB" w14:paraId="2C6478E3" w14:textId="77777777" w:rsidTr="00A033CE">
        <w:trPr>
          <w:trHeight w:val="282"/>
        </w:trPr>
        <w:tc>
          <w:tcPr>
            <w:tcW w:w="2263" w:type="dxa"/>
            <w:vAlign w:val="center"/>
          </w:tcPr>
          <w:p w14:paraId="1791F9EC" w14:textId="77777777" w:rsidR="00A033CE" w:rsidRPr="002763FB" w:rsidRDefault="00A033CE" w:rsidP="00A033CE">
            <w:pPr>
              <w:pStyle w:val="TableParagraph"/>
              <w:spacing w:before="19" w:after="120"/>
              <w:ind w:left="62" w:right="67"/>
              <w:rPr>
                <w:sz w:val="18"/>
                <w:szCs w:val="18"/>
              </w:rPr>
            </w:pPr>
            <w:r w:rsidRPr="002763FB">
              <w:rPr>
                <w:sz w:val="18"/>
                <w:szCs w:val="18"/>
              </w:rPr>
              <w:t>Hermosillo</w:t>
            </w:r>
          </w:p>
        </w:tc>
        <w:tc>
          <w:tcPr>
            <w:tcW w:w="1729" w:type="dxa"/>
            <w:vAlign w:val="center"/>
          </w:tcPr>
          <w:p w14:paraId="562D974B" w14:textId="77777777" w:rsidR="00A033CE" w:rsidRPr="002763FB" w:rsidRDefault="00A033CE" w:rsidP="00C47BF8">
            <w:pPr>
              <w:pStyle w:val="TableParagraph"/>
              <w:spacing w:before="19" w:after="120"/>
              <w:ind w:left="329" w:right="367"/>
              <w:jc w:val="center"/>
              <w:rPr>
                <w:sz w:val="18"/>
                <w:szCs w:val="18"/>
              </w:rPr>
            </w:pPr>
            <w:r w:rsidRPr="002763FB">
              <w:rPr>
                <w:sz w:val="18"/>
                <w:szCs w:val="18"/>
              </w:rPr>
              <w:t>258</w:t>
            </w:r>
            <w:r>
              <w:rPr>
                <w:sz w:val="18"/>
                <w:szCs w:val="18"/>
              </w:rPr>
              <w:t xml:space="preserve"> </w:t>
            </w:r>
            <w:r w:rsidRPr="002763FB">
              <w:rPr>
                <w:sz w:val="18"/>
                <w:szCs w:val="18"/>
              </w:rPr>
              <w:t>273</w:t>
            </w:r>
          </w:p>
        </w:tc>
        <w:tc>
          <w:tcPr>
            <w:tcW w:w="2382" w:type="dxa"/>
            <w:vAlign w:val="center"/>
          </w:tcPr>
          <w:p w14:paraId="2E11F9CE" w14:textId="77777777" w:rsidR="00A033CE" w:rsidRPr="002763FB" w:rsidRDefault="00A033CE" w:rsidP="00C47BF8">
            <w:pPr>
              <w:pStyle w:val="TableParagraph"/>
              <w:spacing w:before="19" w:after="120"/>
              <w:ind w:left="126" w:right="119"/>
              <w:jc w:val="center"/>
              <w:rPr>
                <w:sz w:val="18"/>
                <w:szCs w:val="18"/>
              </w:rPr>
            </w:pPr>
            <w:r w:rsidRPr="002763FB">
              <w:rPr>
                <w:sz w:val="18"/>
                <w:szCs w:val="18"/>
              </w:rPr>
              <w:t>255</w:t>
            </w:r>
            <w:r>
              <w:rPr>
                <w:sz w:val="18"/>
                <w:szCs w:val="18"/>
              </w:rPr>
              <w:t xml:space="preserve"> </w:t>
            </w:r>
            <w:r w:rsidRPr="002763FB">
              <w:rPr>
                <w:sz w:val="18"/>
                <w:szCs w:val="18"/>
              </w:rPr>
              <w:t>465</w:t>
            </w:r>
          </w:p>
        </w:tc>
        <w:tc>
          <w:tcPr>
            <w:tcW w:w="1701" w:type="dxa"/>
            <w:vAlign w:val="center"/>
          </w:tcPr>
          <w:p w14:paraId="02A91A59" w14:textId="77777777" w:rsidR="00A033CE" w:rsidRPr="002763FB" w:rsidRDefault="00A033CE" w:rsidP="00C47BF8">
            <w:pPr>
              <w:pStyle w:val="TableParagraph"/>
              <w:spacing w:before="19" w:after="120"/>
              <w:ind w:left="435"/>
              <w:jc w:val="center"/>
              <w:rPr>
                <w:sz w:val="18"/>
                <w:szCs w:val="18"/>
              </w:rPr>
            </w:pPr>
            <w:r w:rsidRPr="002763FB">
              <w:rPr>
                <w:sz w:val="18"/>
                <w:szCs w:val="18"/>
              </w:rPr>
              <w:t>98.9</w:t>
            </w:r>
          </w:p>
        </w:tc>
      </w:tr>
      <w:tr w:rsidR="00A033CE" w:rsidRPr="002763FB" w14:paraId="63F0949D" w14:textId="77777777" w:rsidTr="00A033CE">
        <w:trPr>
          <w:trHeight w:val="313"/>
        </w:trPr>
        <w:tc>
          <w:tcPr>
            <w:tcW w:w="2263" w:type="dxa"/>
            <w:vAlign w:val="center"/>
          </w:tcPr>
          <w:p w14:paraId="257E6AEB" w14:textId="77777777" w:rsidR="00A033CE" w:rsidRPr="002763FB" w:rsidRDefault="00A033CE" w:rsidP="00A033CE">
            <w:pPr>
              <w:pStyle w:val="TableParagraph"/>
              <w:spacing w:before="11" w:after="120"/>
              <w:ind w:left="23" w:right="71"/>
              <w:rPr>
                <w:sz w:val="18"/>
                <w:szCs w:val="18"/>
              </w:rPr>
            </w:pPr>
            <w:r w:rsidRPr="002763FB">
              <w:rPr>
                <w:spacing w:val="-1"/>
                <w:sz w:val="18"/>
                <w:szCs w:val="18"/>
              </w:rPr>
              <w:t>Miguel</w:t>
            </w:r>
            <w:r w:rsidRPr="002763FB">
              <w:rPr>
                <w:spacing w:val="-12"/>
                <w:sz w:val="18"/>
                <w:szCs w:val="18"/>
              </w:rPr>
              <w:t xml:space="preserve"> </w:t>
            </w:r>
            <w:r w:rsidRPr="002763FB">
              <w:rPr>
                <w:spacing w:val="-1"/>
                <w:sz w:val="18"/>
                <w:szCs w:val="18"/>
              </w:rPr>
              <w:t>Alemán</w:t>
            </w:r>
          </w:p>
        </w:tc>
        <w:tc>
          <w:tcPr>
            <w:tcW w:w="1729" w:type="dxa"/>
            <w:vAlign w:val="center"/>
          </w:tcPr>
          <w:p w14:paraId="7DD88AAA" w14:textId="1A08C283" w:rsidR="00A033CE" w:rsidRPr="002763FB" w:rsidRDefault="00A033CE" w:rsidP="00C47BF8">
            <w:pPr>
              <w:pStyle w:val="TableParagraph"/>
              <w:spacing w:before="11" w:after="120"/>
              <w:ind w:left="329" w:right="367"/>
              <w:jc w:val="center"/>
              <w:rPr>
                <w:sz w:val="18"/>
                <w:szCs w:val="18"/>
              </w:rPr>
            </w:pPr>
            <w:r w:rsidRPr="002763FB">
              <w:rPr>
                <w:sz w:val="18"/>
                <w:szCs w:val="18"/>
              </w:rPr>
              <w:t>9</w:t>
            </w:r>
            <w:r w:rsidR="00C47BF8">
              <w:rPr>
                <w:sz w:val="18"/>
                <w:szCs w:val="18"/>
              </w:rPr>
              <w:t xml:space="preserve"> </w:t>
            </w:r>
            <w:r w:rsidRPr="002763FB">
              <w:rPr>
                <w:sz w:val="18"/>
                <w:szCs w:val="18"/>
              </w:rPr>
              <w:t>756</w:t>
            </w:r>
          </w:p>
        </w:tc>
        <w:tc>
          <w:tcPr>
            <w:tcW w:w="2382" w:type="dxa"/>
            <w:vAlign w:val="center"/>
          </w:tcPr>
          <w:p w14:paraId="774C9F07" w14:textId="5175F1D1" w:rsidR="00A033CE" w:rsidRPr="002763FB" w:rsidRDefault="00A033CE" w:rsidP="00C47BF8">
            <w:pPr>
              <w:pStyle w:val="TableParagraph"/>
              <w:spacing w:before="11" w:after="120"/>
              <w:ind w:left="126" w:right="119"/>
              <w:jc w:val="center"/>
              <w:rPr>
                <w:sz w:val="18"/>
                <w:szCs w:val="18"/>
              </w:rPr>
            </w:pPr>
            <w:r w:rsidRPr="002763FB">
              <w:rPr>
                <w:sz w:val="18"/>
                <w:szCs w:val="18"/>
              </w:rPr>
              <w:t>8</w:t>
            </w:r>
            <w:r w:rsidR="00C47BF8">
              <w:rPr>
                <w:sz w:val="18"/>
                <w:szCs w:val="18"/>
              </w:rPr>
              <w:t xml:space="preserve"> </w:t>
            </w:r>
            <w:r w:rsidRPr="002763FB">
              <w:rPr>
                <w:sz w:val="18"/>
                <w:szCs w:val="18"/>
              </w:rPr>
              <w:t>276</w:t>
            </w:r>
          </w:p>
        </w:tc>
        <w:tc>
          <w:tcPr>
            <w:tcW w:w="1701" w:type="dxa"/>
            <w:vAlign w:val="center"/>
          </w:tcPr>
          <w:p w14:paraId="517DD8BC" w14:textId="77777777" w:rsidR="00A033CE" w:rsidRPr="002763FB" w:rsidRDefault="00A033CE" w:rsidP="00C47BF8">
            <w:pPr>
              <w:pStyle w:val="TableParagraph"/>
              <w:spacing w:before="11" w:after="120"/>
              <w:ind w:left="421"/>
              <w:jc w:val="center"/>
              <w:rPr>
                <w:sz w:val="18"/>
                <w:szCs w:val="18"/>
              </w:rPr>
            </w:pPr>
            <w:r w:rsidRPr="002763FB">
              <w:rPr>
                <w:sz w:val="18"/>
                <w:szCs w:val="18"/>
              </w:rPr>
              <w:t>84.8</w:t>
            </w:r>
          </w:p>
        </w:tc>
      </w:tr>
      <w:tr w:rsidR="00A033CE" w:rsidRPr="002763FB" w14:paraId="7642D756" w14:textId="77777777" w:rsidTr="00A033CE">
        <w:trPr>
          <w:trHeight w:val="239"/>
        </w:trPr>
        <w:tc>
          <w:tcPr>
            <w:tcW w:w="2263" w:type="dxa"/>
            <w:vAlign w:val="center"/>
          </w:tcPr>
          <w:p w14:paraId="1F822F97" w14:textId="77777777" w:rsidR="00A033CE" w:rsidRPr="002763FB" w:rsidRDefault="00A033CE" w:rsidP="00A033CE">
            <w:pPr>
              <w:pStyle w:val="TableParagraph"/>
              <w:spacing w:after="120"/>
              <w:ind w:left="62" w:right="68"/>
              <w:rPr>
                <w:sz w:val="18"/>
                <w:szCs w:val="18"/>
              </w:rPr>
            </w:pPr>
            <w:r w:rsidRPr="002763FB">
              <w:rPr>
                <w:sz w:val="18"/>
                <w:szCs w:val="18"/>
              </w:rPr>
              <w:t>San</w:t>
            </w:r>
            <w:r w:rsidRPr="002763FB">
              <w:rPr>
                <w:spacing w:val="-3"/>
                <w:sz w:val="18"/>
                <w:szCs w:val="18"/>
              </w:rPr>
              <w:t xml:space="preserve"> </w:t>
            </w:r>
            <w:r w:rsidRPr="002763FB">
              <w:rPr>
                <w:sz w:val="18"/>
                <w:szCs w:val="18"/>
              </w:rPr>
              <w:t>Pedro</w:t>
            </w:r>
            <w:r w:rsidRPr="002763FB">
              <w:rPr>
                <w:spacing w:val="-2"/>
                <w:sz w:val="18"/>
                <w:szCs w:val="18"/>
              </w:rPr>
              <w:t xml:space="preserve"> </w:t>
            </w:r>
            <w:r>
              <w:rPr>
                <w:sz w:val="18"/>
                <w:szCs w:val="18"/>
              </w:rPr>
              <w:t>E</w:t>
            </w:r>
            <w:r w:rsidRPr="002763FB">
              <w:rPr>
                <w:sz w:val="18"/>
                <w:szCs w:val="18"/>
              </w:rPr>
              <w:t>l</w:t>
            </w:r>
            <w:r w:rsidRPr="002763FB">
              <w:rPr>
                <w:spacing w:val="-3"/>
                <w:sz w:val="18"/>
                <w:szCs w:val="18"/>
              </w:rPr>
              <w:t xml:space="preserve"> </w:t>
            </w:r>
            <w:r w:rsidRPr="002763FB">
              <w:rPr>
                <w:sz w:val="18"/>
                <w:szCs w:val="18"/>
              </w:rPr>
              <w:t>Saucito</w:t>
            </w:r>
          </w:p>
        </w:tc>
        <w:tc>
          <w:tcPr>
            <w:tcW w:w="1729" w:type="dxa"/>
            <w:vAlign w:val="center"/>
          </w:tcPr>
          <w:p w14:paraId="6068848D" w14:textId="48CBF696" w:rsidR="00A033CE" w:rsidRPr="002763FB" w:rsidRDefault="00A033CE" w:rsidP="00C47BF8">
            <w:pPr>
              <w:pStyle w:val="TableParagraph"/>
              <w:spacing w:after="120"/>
              <w:ind w:left="329" w:right="367"/>
              <w:jc w:val="center"/>
              <w:rPr>
                <w:sz w:val="18"/>
                <w:szCs w:val="18"/>
              </w:rPr>
            </w:pPr>
            <w:r w:rsidRPr="002763FB">
              <w:rPr>
                <w:sz w:val="18"/>
                <w:szCs w:val="18"/>
              </w:rPr>
              <w:t>902</w:t>
            </w:r>
          </w:p>
        </w:tc>
        <w:tc>
          <w:tcPr>
            <w:tcW w:w="2382" w:type="dxa"/>
            <w:vAlign w:val="center"/>
          </w:tcPr>
          <w:p w14:paraId="24B2071E" w14:textId="64DB36A3" w:rsidR="00A033CE" w:rsidRPr="002763FB" w:rsidRDefault="00A033CE" w:rsidP="00C47BF8">
            <w:pPr>
              <w:pStyle w:val="TableParagraph"/>
              <w:spacing w:after="120"/>
              <w:ind w:left="126" w:right="119"/>
              <w:jc w:val="center"/>
              <w:rPr>
                <w:sz w:val="18"/>
                <w:szCs w:val="18"/>
              </w:rPr>
            </w:pPr>
            <w:r w:rsidRPr="002763FB">
              <w:rPr>
                <w:sz w:val="18"/>
                <w:szCs w:val="18"/>
              </w:rPr>
              <w:t>854</w:t>
            </w:r>
          </w:p>
        </w:tc>
        <w:tc>
          <w:tcPr>
            <w:tcW w:w="1701" w:type="dxa"/>
            <w:vAlign w:val="center"/>
          </w:tcPr>
          <w:p w14:paraId="5CC7C0F8" w14:textId="77777777" w:rsidR="00A033CE" w:rsidRPr="002763FB" w:rsidRDefault="00A033CE" w:rsidP="00C47BF8">
            <w:pPr>
              <w:pStyle w:val="TableParagraph"/>
              <w:spacing w:after="120"/>
              <w:ind w:left="422"/>
              <w:jc w:val="center"/>
              <w:rPr>
                <w:sz w:val="18"/>
                <w:szCs w:val="18"/>
              </w:rPr>
            </w:pPr>
            <w:r w:rsidRPr="002763FB">
              <w:rPr>
                <w:sz w:val="18"/>
                <w:szCs w:val="18"/>
              </w:rPr>
              <w:t>94.</w:t>
            </w:r>
            <w:r>
              <w:rPr>
                <w:sz w:val="18"/>
                <w:szCs w:val="18"/>
              </w:rPr>
              <w:t>7</w:t>
            </w:r>
          </w:p>
        </w:tc>
      </w:tr>
      <w:tr w:rsidR="00A033CE" w:rsidRPr="002763FB" w14:paraId="6D894820" w14:textId="77777777" w:rsidTr="00A033CE">
        <w:trPr>
          <w:trHeight w:val="256"/>
        </w:trPr>
        <w:tc>
          <w:tcPr>
            <w:tcW w:w="2263" w:type="dxa"/>
            <w:vAlign w:val="center"/>
          </w:tcPr>
          <w:p w14:paraId="7D4BF7FF" w14:textId="77777777" w:rsidR="00A033CE" w:rsidRPr="002763FB" w:rsidRDefault="00A033CE" w:rsidP="00A033CE">
            <w:pPr>
              <w:pStyle w:val="TableParagraph"/>
              <w:spacing w:before="6" w:after="120"/>
              <w:ind w:left="23" w:right="71"/>
              <w:rPr>
                <w:sz w:val="18"/>
                <w:szCs w:val="18"/>
              </w:rPr>
            </w:pPr>
            <w:r w:rsidRPr="002763FB">
              <w:rPr>
                <w:sz w:val="18"/>
                <w:szCs w:val="18"/>
              </w:rPr>
              <w:t>Localidades</w:t>
            </w:r>
            <w:r w:rsidRPr="002763FB">
              <w:rPr>
                <w:spacing w:val="-10"/>
                <w:sz w:val="18"/>
                <w:szCs w:val="18"/>
              </w:rPr>
              <w:t xml:space="preserve"> </w:t>
            </w:r>
            <w:r>
              <w:rPr>
                <w:sz w:val="18"/>
                <w:szCs w:val="18"/>
              </w:rPr>
              <w:t>r</w:t>
            </w:r>
            <w:r w:rsidRPr="002763FB">
              <w:rPr>
                <w:sz w:val="18"/>
                <w:szCs w:val="18"/>
              </w:rPr>
              <w:t>urales</w:t>
            </w:r>
          </w:p>
        </w:tc>
        <w:tc>
          <w:tcPr>
            <w:tcW w:w="1729" w:type="dxa"/>
            <w:vAlign w:val="center"/>
          </w:tcPr>
          <w:p w14:paraId="6675F848" w14:textId="6A32DD93" w:rsidR="00A033CE" w:rsidRPr="002763FB" w:rsidRDefault="00A033CE" w:rsidP="00C47BF8">
            <w:pPr>
              <w:pStyle w:val="TableParagraph"/>
              <w:spacing w:before="6" w:after="120"/>
              <w:ind w:left="329" w:right="367"/>
              <w:jc w:val="center"/>
              <w:rPr>
                <w:sz w:val="18"/>
                <w:szCs w:val="18"/>
              </w:rPr>
            </w:pPr>
            <w:r w:rsidRPr="002763FB">
              <w:rPr>
                <w:sz w:val="18"/>
                <w:szCs w:val="18"/>
              </w:rPr>
              <w:t>8</w:t>
            </w:r>
            <w:r w:rsidR="00C47BF8">
              <w:rPr>
                <w:sz w:val="18"/>
                <w:szCs w:val="18"/>
              </w:rPr>
              <w:t xml:space="preserve"> </w:t>
            </w:r>
            <w:r w:rsidRPr="002763FB">
              <w:rPr>
                <w:sz w:val="18"/>
                <w:szCs w:val="18"/>
              </w:rPr>
              <w:t>804</w:t>
            </w:r>
          </w:p>
        </w:tc>
        <w:tc>
          <w:tcPr>
            <w:tcW w:w="2382" w:type="dxa"/>
            <w:vAlign w:val="center"/>
          </w:tcPr>
          <w:p w14:paraId="56C2CBBB" w14:textId="5C17F5FD" w:rsidR="00A033CE" w:rsidRPr="002763FB" w:rsidRDefault="00A033CE" w:rsidP="00C47BF8">
            <w:pPr>
              <w:pStyle w:val="TableParagraph"/>
              <w:spacing w:before="6" w:after="120"/>
              <w:ind w:left="126" w:right="119"/>
              <w:jc w:val="center"/>
              <w:rPr>
                <w:sz w:val="18"/>
                <w:szCs w:val="18"/>
              </w:rPr>
            </w:pPr>
            <w:r w:rsidRPr="002763FB">
              <w:rPr>
                <w:sz w:val="18"/>
                <w:szCs w:val="18"/>
              </w:rPr>
              <w:t>6</w:t>
            </w:r>
            <w:r w:rsidR="00C47BF8">
              <w:rPr>
                <w:sz w:val="18"/>
                <w:szCs w:val="18"/>
              </w:rPr>
              <w:t xml:space="preserve"> </w:t>
            </w:r>
            <w:r w:rsidRPr="002763FB">
              <w:rPr>
                <w:sz w:val="18"/>
                <w:szCs w:val="18"/>
              </w:rPr>
              <w:t>813</w:t>
            </w:r>
          </w:p>
        </w:tc>
        <w:tc>
          <w:tcPr>
            <w:tcW w:w="1701" w:type="dxa"/>
            <w:vAlign w:val="center"/>
          </w:tcPr>
          <w:p w14:paraId="0A0E9C27" w14:textId="77777777" w:rsidR="00A033CE" w:rsidRPr="002763FB" w:rsidRDefault="00A033CE" w:rsidP="00C47BF8">
            <w:pPr>
              <w:pStyle w:val="TableParagraph"/>
              <w:spacing w:before="6" w:after="120"/>
              <w:ind w:left="437"/>
              <w:jc w:val="center"/>
              <w:rPr>
                <w:sz w:val="18"/>
                <w:szCs w:val="18"/>
              </w:rPr>
            </w:pPr>
            <w:r w:rsidRPr="002763FB">
              <w:rPr>
                <w:sz w:val="18"/>
                <w:szCs w:val="18"/>
              </w:rPr>
              <w:t>77.</w:t>
            </w:r>
            <w:r>
              <w:rPr>
                <w:sz w:val="18"/>
                <w:szCs w:val="18"/>
              </w:rPr>
              <w:t>4</w:t>
            </w:r>
          </w:p>
        </w:tc>
      </w:tr>
      <w:tr w:rsidR="00A033CE" w:rsidRPr="002763FB" w14:paraId="7FE1C494" w14:textId="77777777" w:rsidTr="00A033CE">
        <w:trPr>
          <w:trHeight w:val="271"/>
        </w:trPr>
        <w:tc>
          <w:tcPr>
            <w:tcW w:w="2263" w:type="dxa"/>
            <w:shd w:val="clear" w:color="auto" w:fill="767171" w:themeFill="background2" w:themeFillShade="80"/>
            <w:vAlign w:val="center"/>
          </w:tcPr>
          <w:p w14:paraId="46A0EA29" w14:textId="77777777" w:rsidR="00A033CE" w:rsidRPr="002763FB" w:rsidRDefault="00A033CE" w:rsidP="00A033CE">
            <w:pPr>
              <w:pStyle w:val="TableParagraph"/>
              <w:spacing w:before="22" w:after="120"/>
              <w:ind w:left="62" w:right="68"/>
              <w:rPr>
                <w:b/>
                <w:bCs/>
                <w:color w:val="FFFFFF" w:themeColor="background1"/>
                <w:sz w:val="18"/>
                <w:szCs w:val="18"/>
              </w:rPr>
            </w:pPr>
            <w:r w:rsidRPr="002763FB">
              <w:rPr>
                <w:b/>
                <w:bCs/>
                <w:color w:val="FFFFFF" w:themeColor="background1"/>
                <w:w w:val="95"/>
                <w:sz w:val="18"/>
                <w:szCs w:val="18"/>
              </w:rPr>
              <w:t>Total</w:t>
            </w:r>
            <w:r w:rsidRPr="002763FB">
              <w:rPr>
                <w:b/>
                <w:bCs/>
                <w:color w:val="FFFFFF" w:themeColor="background1"/>
                <w:spacing w:val="-4"/>
                <w:w w:val="95"/>
                <w:sz w:val="18"/>
                <w:szCs w:val="18"/>
              </w:rPr>
              <w:t xml:space="preserve"> </w:t>
            </w:r>
            <w:r w:rsidRPr="002763FB">
              <w:rPr>
                <w:b/>
                <w:bCs/>
                <w:color w:val="FFFFFF" w:themeColor="background1"/>
                <w:w w:val="95"/>
                <w:sz w:val="18"/>
                <w:szCs w:val="18"/>
              </w:rPr>
              <w:t>del</w:t>
            </w:r>
            <w:r w:rsidRPr="002763FB">
              <w:rPr>
                <w:b/>
                <w:bCs/>
                <w:color w:val="FFFFFF" w:themeColor="background1"/>
                <w:spacing w:val="-3"/>
                <w:w w:val="95"/>
                <w:sz w:val="18"/>
                <w:szCs w:val="18"/>
              </w:rPr>
              <w:t xml:space="preserve"> </w:t>
            </w:r>
            <w:r w:rsidRPr="002763FB">
              <w:rPr>
                <w:b/>
                <w:bCs/>
                <w:color w:val="FFFFFF" w:themeColor="background1"/>
                <w:w w:val="95"/>
                <w:sz w:val="18"/>
                <w:szCs w:val="18"/>
              </w:rPr>
              <w:t>municipio</w:t>
            </w:r>
          </w:p>
        </w:tc>
        <w:tc>
          <w:tcPr>
            <w:tcW w:w="1729" w:type="dxa"/>
            <w:vAlign w:val="center"/>
          </w:tcPr>
          <w:p w14:paraId="26440E86" w14:textId="77777777" w:rsidR="00A033CE" w:rsidRPr="002763FB" w:rsidRDefault="00A033CE" w:rsidP="00C47BF8">
            <w:pPr>
              <w:pStyle w:val="TableParagraph"/>
              <w:spacing w:before="22" w:after="120"/>
              <w:ind w:left="329" w:right="367"/>
              <w:jc w:val="center"/>
              <w:rPr>
                <w:sz w:val="18"/>
                <w:szCs w:val="18"/>
              </w:rPr>
            </w:pPr>
            <w:r w:rsidRPr="002763FB">
              <w:rPr>
                <w:sz w:val="18"/>
                <w:szCs w:val="18"/>
              </w:rPr>
              <w:t>279</w:t>
            </w:r>
            <w:r>
              <w:rPr>
                <w:sz w:val="18"/>
                <w:szCs w:val="18"/>
              </w:rPr>
              <w:t xml:space="preserve"> </w:t>
            </w:r>
            <w:r w:rsidRPr="002763FB">
              <w:rPr>
                <w:sz w:val="18"/>
                <w:szCs w:val="18"/>
              </w:rPr>
              <w:t>555</w:t>
            </w:r>
          </w:p>
        </w:tc>
        <w:tc>
          <w:tcPr>
            <w:tcW w:w="2382" w:type="dxa"/>
            <w:vAlign w:val="center"/>
          </w:tcPr>
          <w:p w14:paraId="1BEDE62D" w14:textId="1918BB6E" w:rsidR="00A033CE" w:rsidRPr="00C47BF8" w:rsidRDefault="00F760B0" w:rsidP="00C47BF8">
            <w:pPr>
              <w:pStyle w:val="TableParagraph"/>
              <w:spacing w:before="22" w:after="120"/>
              <w:ind w:left="126" w:right="119"/>
              <w:jc w:val="center"/>
              <w:rPr>
                <w:sz w:val="18"/>
                <w:szCs w:val="18"/>
              </w:rPr>
            </w:pPr>
            <w:r w:rsidRPr="00C47BF8">
              <w:rPr>
                <w:sz w:val="18"/>
                <w:szCs w:val="18"/>
              </w:rPr>
              <w:t>273</w:t>
            </w:r>
            <w:r w:rsidR="00C47BF8">
              <w:rPr>
                <w:sz w:val="18"/>
                <w:szCs w:val="18"/>
              </w:rPr>
              <w:t xml:space="preserve"> </w:t>
            </w:r>
            <w:r w:rsidRPr="00C47BF8">
              <w:rPr>
                <w:sz w:val="18"/>
                <w:szCs w:val="18"/>
              </w:rPr>
              <w:t>070</w:t>
            </w:r>
          </w:p>
        </w:tc>
        <w:tc>
          <w:tcPr>
            <w:tcW w:w="1701" w:type="dxa"/>
            <w:vAlign w:val="center"/>
          </w:tcPr>
          <w:p w14:paraId="10A4085E" w14:textId="77777777" w:rsidR="00A033CE" w:rsidRPr="002763FB" w:rsidRDefault="00A033CE" w:rsidP="00C47BF8">
            <w:pPr>
              <w:pStyle w:val="TableParagraph"/>
              <w:spacing w:before="22" w:after="120"/>
              <w:ind w:left="431"/>
              <w:jc w:val="center"/>
              <w:rPr>
                <w:sz w:val="18"/>
                <w:szCs w:val="18"/>
              </w:rPr>
            </w:pPr>
            <w:r w:rsidRPr="002763FB">
              <w:rPr>
                <w:sz w:val="18"/>
                <w:szCs w:val="18"/>
              </w:rPr>
              <w:t>97.4</w:t>
            </w:r>
          </w:p>
        </w:tc>
      </w:tr>
    </w:tbl>
    <w:p w14:paraId="04254A9C" w14:textId="25ABE6CA" w:rsidR="00261A27" w:rsidRDefault="00261A27" w:rsidP="00B205BA">
      <w:pPr>
        <w:spacing w:after="120" w:line="240" w:lineRule="auto"/>
        <w:rPr>
          <w:rFonts w:cs="Arial"/>
        </w:rPr>
      </w:pPr>
    </w:p>
    <w:p w14:paraId="4EC19BFD" w14:textId="748A131F" w:rsidR="00261A27" w:rsidRDefault="00261A27" w:rsidP="00B205BA">
      <w:pPr>
        <w:spacing w:after="120" w:line="240" w:lineRule="auto"/>
        <w:rPr>
          <w:rFonts w:cs="Arial"/>
        </w:rPr>
      </w:pPr>
    </w:p>
    <w:p w14:paraId="700C80C6" w14:textId="77777777" w:rsidR="00261A27" w:rsidRDefault="00261A27" w:rsidP="00B205BA">
      <w:pPr>
        <w:spacing w:after="120" w:line="240" w:lineRule="auto"/>
        <w:rPr>
          <w:rFonts w:cs="Arial"/>
        </w:rPr>
      </w:pPr>
    </w:p>
    <w:p w14:paraId="7350670B" w14:textId="6E8DFEFD" w:rsidR="00EC118C" w:rsidRDefault="00EC118C" w:rsidP="00B205BA">
      <w:pPr>
        <w:spacing w:after="120" w:line="240" w:lineRule="auto"/>
        <w:rPr>
          <w:rFonts w:cs="Arial"/>
        </w:rPr>
      </w:pPr>
    </w:p>
    <w:p w14:paraId="32235235" w14:textId="36B5D98F" w:rsidR="00EC118C" w:rsidRDefault="00EC118C" w:rsidP="00B205BA">
      <w:pPr>
        <w:spacing w:after="120" w:line="240" w:lineRule="auto"/>
        <w:rPr>
          <w:rFonts w:cs="Arial"/>
        </w:rPr>
      </w:pPr>
    </w:p>
    <w:p w14:paraId="7968233B" w14:textId="2B1C77EF" w:rsidR="00EC118C" w:rsidRDefault="00EC118C" w:rsidP="00B205BA">
      <w:pPr>
        <w:spacing w:after="120" w:line="240" w:lineRule="auto"/>
        <w:rPr>
          <w:rFonts w:cs="Arial"/>
        </w:rPr>
      </w:pPr>
    </w:p>
    <w:p w14:paraId="7E31DC12" w14:textId="77777777" w:rsidR="00EC118C" w:rsidRDefault="00EC118C" w:rsidP="00B205BA">
      <w:pPr>
        <w:spacing w:after="120" w:line="240" w:lineRule="auto"/>
        <w:rPr>
          <w:rFonts w:cs="Arial"/>
        </w:rPr>
      </w:pPr>
    </w:p>
    <w:p w14:paraId="26A3CFCA" w14:textId="77777777" w:rsidR="00EC118C" w:rsidRDefault="00EC118C" w:rsidP="00B205BA">
      <w:pPr>
        <w:spacing w:after="120" w:line="240" w:lineRule="auto"/>
        <w:rPr>
          <w:rFonts w:cs="Arial"/>
        </w:rPr>
      </w:pPr>
    </w:p>
    <w:p w14:paraId="15B93E2E" w14:textId="77777777" w:rsidR="00EC118C" w:rsidRDefault="00EC118C" w:rsidP="00B205BA">
      <w:pPr>
        <w:spacing w:after="120" w:line="240" w:lineRule="auto"/>
        <w:rPr>
          <w:rFonts w:cs="Arial"/>
        </w:rPr>
      </w:pPr>
    </w:p>
    <w:p w14:paraId="7707CA77" w14:textId="77777777" w:rsidR="0086730D" w:rsidRDefault="0086730D" w:rsidP="00B205BA">
      <w:pPr>
        <w:spacing w:after="120" w:line="240" w:lineRule="auto"/>
        <w:rPr>
          <w:rFonts w:cs="Arial"/>
        </w:rPr>
      </w:pPr>
    </w:p>
    <w:p w14:paraId="7A5BFF49" w14:textId="68F0C022" w:rsidR="00EC118C" w:rsidRPr="009B7E39" w:rsidRDefault="00EC118C" w:rsidP="00B205BA">
      <w:pPr>
        <w:spacing w:after="120" w:line="240" w:lineRule="auto"/>
        <w:rPr>
          <w:rFonts w:cs="Arial"/>
          <w:sz w:val="16"/>
          <w:szCs w:val="16"/>
        </w:rPr>
      </w:pPr>
      <w:r w:rsidRPr="009B7E39">
        <w:rPr>
          <w:rFonts w:cs="Arial"/>
          <w:sz w:val="16"/>
          <w:szCs w:val="16"/>
        </w:rPr>
        <w:t>Fuente.</w:t>
      </w:r>
      <w:r>
        <w:rPr>
          <w:rFonts w:cs="Arial"/>
          <w:sz w:val="16"/>
          <w:szCs w:val="16"/>
        </w:rPr>
        <w:t xml:space="preserve"> Elaboración propia con datos del Censo de Población y Vivienda 2020.</w:t>
      </w:r>
    </w:p>
    <w:p w14:paraId="0A6A96A3" w14:textId="187EBE41" w:rsidR="00EC118C" w:rsidRDefault="00EC118C" w:rsidP="00B205BA">
      <w:pPr>
        <w:spacing w:after="120" w:line="240" w:lineRule="auto"/>
        <w:rPr>
          <w:rFonts w:cs="Arial"/>
        </w:rPr>
      </w:pPr>
      <w:r w:rsidRPr="009D52C1">
        <w:rPr>
          <w:rFonts w:cs="Arial"/>
        </w:rPr>
        <w:t>Para reducir la brecha en el acceso a servicios públicos y garantizar una cobertura más equitativa en todo el municipio</w:t>
      </w:r>
      <w:r>
        <w:rPr>
          <w:rFonts w:cs="Arial"/>
        </w:rPr>
        <w:t>,</w:t>
      </w:r>
      <w:r w:rsidRPr="009D52C1">
        <w:rPr>
          <w:rFonts w:cs="Arial"/>
        </w:rPr>
        <w:t xml:space="preserve"> los esfuerzos de la autoridad municipal se han centrado en mejorar la infraestructura en las zonas rurales y localidades periféricas, lo cual incluye la ampliación de redes de distribución, la inversión en infraestructura y la implementación de políticas públicas que priorizan las zonas más rezagadas.</w:t>
      </w:r>
    </w:p>
    <w:p w14:paraId="36219686" w14:textId="77777777" w:rsidR="00EC118C" w:rsidRPr="00FE272F" w:rsidRDefault="00EC118C" w:rsidP="00B205BA">
      <w:pPr>
        <w:spacing w:after="120" w:line="240" w:lineRule="auto"/>
        <w:rPr>
          <w:rFonts w:cs="Arial"/>
        </w:rPr>
      </w:pPr>
    </w:p>
    <w:p w14:paraId="0F76BCC4" w14:textId="133F5815" w:rsidR="00EC118C" w:rsidRPr="00D076FF" w:rsidRDefault="00EC118C" w:rsidP="00B205BA">
      <w:pPr>
        <w:spacing w:after="120" w:line="240" w:lineRule="auto"/>
        <w:rPr>
          <w:rFonts w:cs="Arial"/>
        </w:rPr>
      </w:pPr>
      <w:r w:rsidRPr="00D076FF">
        <w:rPr>
          <w:rFonts w:cs="Arial"/>
        </w:rPr>
        <w:lastRenderedPageBreak/>
        <w:t>El principal problema en la cobertura de servicios municipales es el drenaje sanitario</w:t>
      </w:r>
      <w:r>
        <w:rPr>
          <w:rFonts w:cs="Arial"/>
        </w:rPr>
        <w:t>:</w:t>
      </w:r>
      <w:r w:rsidRPr="00D076FF">
        <w:rPr>
          <w:rFonts w:cs="Arial"/>
        </w:rPr>
        <w:t xml:space="preserve"> </w:t>
      </w:r>
      <w:r>
        <w:rPr>
          <w:rFonts w:cs="Arial"/>
        </w:rPr>
        <w:t>más de 3100</w:t>
      </w:r>
      <w:r w:rsidRPr="00D076FF">
        <w:rPr>
          <w:rFonts w:cs="Arial"/>
        </w:rPr>
        <w:t xml:space="preserve"> viviendas carecen de este servicio, lo que equivale aproximadamente a 1</w:t>
      </w:r>
      <w:r>
        <w:rPr>
          <w:rFonts w:cs="Arial"/>
        </w:rPr>
        <w:t xml:space="preserve"> </w:t>
      </w:r>
      <w:r w:rsidRPr="00D076FF">
        <w:rPr>
          <w:rFonts w:cs="Arial"/>
        </w:rPr>
        <w:t xml:space="preserve">% del total de viviendas en el municipio. La falta de drenaje sanitario genera impactos negativos en la salud, inundaciones en las calles y contaminación ambiental. La localidad más afectada por </w:t>
      </w:r>
      <w:r>
        <w:rPr>
          <w:rFonts w:cs="Arial"/>
        </w:rPr>
        <w:t>esta problemática</w:t>
      </w:r>
      <w:r w:rsidRPr="00D076FF">
        <w:rPr>
          <w:rFonts w:cs="Arial"/>
        </w:rPr>
        <w:t xml:space="preserve"> es Miguel Alemán, donde </w:t>
      </w:r>
      <w:r>
        <w:rPr>
          <w:rFonts w:cs="Arial"/>
        </w:rPr>
        <w:t>más de 11 %</w:t>
      </w:r>
      <w:r w:rsidRPr="00D076FF">
        <w:rPr>
          <w:rFonts w:cs="Arial"/>
        </w:rPr>
        <w:t xml:space="preserve"> de las viviendas no cuentan con este servicio</w:t>
      </w:r>
      <w:r>
        <w:rPr>
          <w:rFonts w:cs="Arial"/>
        </w:rPr>
        <w:t>. Esta</w:t>
      </w:r>
      <w:r w:rsidRPr="00D076FF">
        <w:rPr>
          <w:rFonts w:cs="Arial"/>
        </w:rPr>
        <w:t xml:space="preserve"> situación está vinculada a la falta de seguridad jurídica sobre la propiedad debido a la ocupación ilegal del suelo, un factor clave </w:t>
      </w:r>
      <w:r>
        <w:rPr>
          <w:rFonts w:cs="Arial"/>
        </w:rPr>
        <w:t>que obstaculiza</w:t>
      </w:r>
      <w:r w:rsidRPr="00D076FF">
        <w:rPr>
          <w:rFonts w:cs="Arial"/>
        </w:rPr>
        <w:t xml:space="preserve"> la instalación de esta infraestructura.</w:t>
      </w:r>
    </w:p>
    <w:p w14:paraId="4CC460FB" w14:textId="0022C9EA" w:rsidR="00EC118C" w:rsidRPr="00A033CE" w:rsidRDefault="00EC118C" w:rsidP="00B205BA">
      <w:pPr>
        <w:spacing w:after="120" w:line="240" w:lineRule="auto"/>
        <w:rPr>
          <w:rFonts w:cs="Arial"/>
        </w:rPr>
      </w:pPr>
      <w:r w:rsidRPr="009D52C1">
        <w:rPr>
          <w:rFonts w:cs="Arial"/>
        </w:rPr>
        <w:t>Otro aspecto relevante es que, aunque existe infraestructura para el tratamiento de aguas residuales en localidades como Hermosillo, Miguel Alemán, San Pedro y Bahía de Kino, la demanda de agua tratada no se ha desarrollado adecuadamente, lo que impide aprovechar toda la capacidad de producción. En el caso de Miguel Alemán, se necesita ampliar la infraestructura y contar con recursos adicionales para su mantenimiento. Por ello, es fundamental priorizar el desarrollo de una red de agua tratada (red morada) para optimizar su uso en estas áreas.</w:t>
      </w:r>
    </w:p>
    <w:p w14:paraId="5C2A86B2" w14:textId="51A8D6E5" w:rsidR="00EC118C" w:rsidRPr="00D076FF" w:rsidRDefault="00EC118C" w:rsidP="00A033CE">
      <w:pPr>
        <w:spacing w:after="120" w:line="240" w:lineRule="auto"/>
        <w:rPr>
          <w:rFonts w:cs="Arial"/>
        </w:rPr>
      </w:pPr>
      <w:r w:rsidRPr="009D52C1">
        <w:rPr>
          <w:rFonts w:cs="Arial"/>
        </w:rPr>
        <w:t xml:space="preserve">Una de las principales ventajas de invertir en infraestructura de red morada es que se reduce el consumo de agua potable para riego de áreas verdes e industrias, reservando este recurso principalmente para el consumo humano, </w:t>
      </w:r>
      <w:r>
        <w:rPr>
          <w:rFonts w:cs="Arial"/>
        </w:rPr>
        <w:t>en beneficio de</w:t>
      </w:r>
      <w:r w:rsidRPr="009D52C1">
        <w:rPr>
          <w:rFonts w:cs="Arial"/>
        </w:rPr>
        <w:t xml:space="preserve"> todos los sectores del municipio.</w:t>
      </w:r>
      <w:r>
        <w:rPr>
          <w:rFonts w:cs="Arial"/>
        </w:rPr>
        <w:t xml:space="preserve"> </w:t>
      </w:r>
    </w:p>
    <w:p w14:paraId="121011C8" w14:textId="5548F492" w:rsidR="00EC118C" w:rsidRPr="00D076FF" w:rsidRDefault="00EC118C" w:rsidP="00B205BA">
      <w:pPr>
        <w:spacing w:after="120" w:line="240" w:lineRule="auto"/>
        <w:rPr>
          <w:rFonts w:cs="Arial"/>
        </w:rPr>
      </w:pPr>
      <w:r w:rsidRPr="00D076FF">
        <w:rPr>
          <w:rFonts w:cs="Arial"/>
        </w:rPr>
        <w:t>En la zona costera, es necesario prestar atención al problema de la intrusión salina</w:t>
      </w:r>
      <w:r>
        <w:rPr>
          <w:rFonts w:cs="Arial"/>
        </w:rPr>
        <w:t xml:space="preserve"> en los mantos acuíferos</w:t>
      </w:r>
      <w:r w:rsidRPr="00D076FF">
        <w:rPr>
          <w:rFonts w:cs="Arial"/>
        </w:rPr>
        <w:t>, que impide el uso del agua para consumo doméstico y agrícola. Además, la contaminación por suelos salinizados en una franja de 20 a 30 km desde la costa afecta la gestión del agua en la región, lo que limita el desarrollo económico y la mejora de los servicios de agua potable.</w:t>
      </w:r>
    </w:p>
    <w:p w14:paraId="09EDF65B" w14:textId="6ADB640C" w:rsidR="00EC118C" w:rsidRPr="00A033CE" w:rsidRDefault="00EC118C" w:rsidP="00A033CE">
      <w:pPr>
        <w:spacing w:after="120" w:line="240" w:lineRule="auto"/>
        <w:rPr>
          <w:rFonts w:cs="Arial"/>
        </w:rPr>
      </w:pPr>
      <w:r w:rsidRPr="00D076FF">
        <w:rPr>
          <w:rFonts w:cs="Arial"/>
        </w:rPr>
        <w:t xml:space="preserve">Una alternativa importante para mejorar el suministro de agua en esta área es la instalación de plantas desalinizadoras, que podrían proporcionar agua para reactivar la economía local y resolver los problemas de abastecimiento para actividades productivas, limpieza y consumo en las localidades pesqueras, turísticas y en las </w:t>
      </w:r>
      <w:r w:rsidRPr="00DC0CB1">
        <w:rPr>
          <w:rFonts w:cs="Arial"/>
        </w:rPr>
        <w:t>comunidades Comca</w:t>
      </w:r>
      <w:r>
        <w:rPr>
          <w:rFonts w:cs="Arial"/>
        </w:rPr>
        <w:t>’</w:t>
      </w:r>
      <w:r w:rsidRPr="00DC0CB1">
        <w:rPr>
          <w:rFonts w:cs="Arial"/>
        </w:rPr>
        <w:t>ac de la zona costera.</w:t>
      </w:r>
    </w:p>
    <w:p w14:paraId="0910A9AC" w14:textId="2AB51727" w:rsidR="00EC118C" w:rsidRPr="00A033CE" w:rsidRDefault="00EC118C" w:rsidP="00B205BA">
      <w:pPr>
        <w:spacing w:after="120" w:line="240" w:lineRule="auto"/>
        <w:ind w:right="474"/>
        <w:rPr>
          <w:rFonts w:cs="Arial"/>
          <w:b/>
          <w:bCs/>
        </w:rPr>
      </w:pPr>
      <w:r w:rsidRPr="00A033CE">
        <w:rPr>
          <w:rFonts w:cs="Arial"/>
          <w:b/>
          <w:bCs/>
        </w:rPr>
        <w:t>Sistema de espacios públicos</w:t>
      </w:r>
      <w:r w:rsidR="00261A27" w:rsidRPr="00A033CE">
        <w:rPr>
          <w:rFonts w:cs="Arial"/>
          <w:b/>
          <w:bCs/>
        </w:rPr>
        <w:t>.</w:t>
      </w:r>
      <w:r w:rsidRPr="00A033CE">
        <w:rPr>
          <w:rFonts w:cs="Arial"/>
          <w:b/>
          <w:bCs/>
        </w:rPr>
        <w:t xml:space="preserve"> </w:t>
      </w:r>
    </w:p>
    <w:p w14:paraId="3290774C" w14:textId="7D9A067C" w:rsidR="00EC118C" w:rsidRDefault="00EC118C" w:rsidP="00B205BA">
      <w:pPr>
        <w:spacing w:after="120" w:line="240" w:lineRule="auto"/>
        <w:rPr>
          <w:rFonts w:cs="Arial"/>
        </w:rPr>
      </w:pPr>
      <w:r w:rsidRPr="00482572">
        <w:rPr>
          <w:rFonts w:cs="Arial"/>
        </w:rPr>
        <w:t xml:space="preserve">Para </w:t>
      </w:r>
      <w:r>
        <w:rPr>
          <w:rFonts w:cs="Arial"/>
        </w:rPr>
        <w:t xml:space="preserve">efectos de </w:t>
      </w:r>
      <w:r w:rsidRPr="00482572">
        <w:rPr>
          <w:rFonts w:cs="Arial"/>
        </w:rPr>
        <w:t xml:space="preserve">diagnóstico y de acuerdo </w:t>
      </w:r>
      <w:r>
        <w:rPr>
          <w:rFonts w:cs="Arial"/>
        </w:rPr>
        <w:t>con</w:t>
      </w:r>
      <w:r w:rsidRPr="00482572">
        <w:rPr>
          <w:rFonts w:cs="Arial"/>
        </w:rPr>
        <w:t xml:space="preserve"> la NOM</w:t>
      </w:r>
      <w:r>
        <w:rPr>
          <w:rFonts w:cs="Arial"/>
        </w:rPr>
        <w:t>-</w:t>
      </w:r>
      <w:r w:rsidRPr="00482572">
        <w:rPr>
          <w:rFonts w:cs="Arial"/>
        </w:rPr>
        <w:t>001-SEDATU</w:t>
      </w:r>
      <w:r>
        <w:rPr>
          <w:rFonts w:cs="Arial"/>
        </w:rPr>
        <w:t>-2021</w:t>
      </w:r>
      <w:r>
        <w:rPr>
          <w:rStyle w:val="Refdenotaalpie"/>
          <w:rFonts w:cs="Arial"/>
        </w:rPr>
        <w:footnoteReference w:id="29"/>
      </w:r>
      <w:r>
        <w:rPr>
          <w:rFonts w:cs="Arial"/>
        </w:rPr>
        <w:t xml:space="preserve"> para analizar el sistema de e</w:t>
      </w:r>
      <w:r w:rsidRPr="00482572">
        <w:rPr>
          <w:rFonts w:cs="Arial"/>
        </w:rPr>
        <w:t xml:space="preserve">spacios públicos, se identificaron dos tipos de subsistemas: </w:t>
      </w:r>
      <w:r>
        <w:rPr>
          <w:rFonts w:cs="Arial"/>
        </w:rPr>
        <w:t>E</w:t>
      </w:r>
      <w:r w:rsidRPr="00482572">
        <w:rPr>
          <w:rFonts w:cs="Arial"/>
        </w:rPr>
        <w:t xml:space="preserve">spacios públicos verdes y </w:t>
      </w:r>
      <w:r>
        <w:rPr>
          <w:rFonts w:cs="Arial"/>
        </w:rPr>
        <w:t>V</w:t>
      </w:r>
      <w:r w:rsidRPr="00482572">
        <w:rPr>
          <w:rFonts w:cs="Arial"/>
        </w:rPr>
        <w:t>ialidades y vías peatonales.</w:t>
      </w:r>
    </w:p>
    <w:p w14:paraId="6B3D5CDF" w14:textId="00460A50" w:rsidR="00EC118C" w:rsidRPr="00EC118C" w:rsidRDefault="00EC118C" w:rsidP="00B205BA">
      <w:pPr>
        <w:spacing w:after="120" w:line="240" w:lineRule="auto"/>
        <w:rPr>
          <w:rFonts w:cs="Arial"/>
        </w:rPr>
      </w:pPr>
      <w:r w:rsidRPr="00EC118C">
        <w:rPr>
          <w:rFonts w:cs="Arial"/>
        </w:rPr>
        <w:t>a) Espacios públicos verdes</w:t>
      </w:r>
      <w:r w:rsidR="00261A27">
        <w:rPr>
          <w:rFonts w:cs="Arial"/>
        </w:rPr>
        <w:t>.</w:t>
      </w:r>
    </w:p>
    <w:p w14:paraId="2C20D50B" w14:textId="77777777" w:rsidR="00EC118C" w:rsidRPr="005C5257" w:rsidRDefault="00EC118C" w:rsidP="00B205BA">
      <w:pPr>
        <w:spacing w:after="120" w:line="240" w:lineRule="auto"/>
        <w:rPr>
          <w:rFonts w:cs="Arial"/>
        </w:rPr>
      </w:pPr>
      <w:r>
        <w:rPr>
          <w:rFonts w:cs="Arial"/>
        </w:rPr>
        <w:t>Como resultado de la evaluación de los espacios públicos e</w:t>
      </w:r>
      <w:r w:rsidRPr="00B94DD1">
        <w:rPr>
          <w:rFonts w:cs="Arial"/>
        </w:rPr>
        <w:t>n el municipio</w:t>
      </w:r>
      <w:r>
        <w:rPr>
          <w:rFonts w:cs="Arial"/>
        </w:rPr>
        <w:t>,</w:t>
      </w:r>
      <w:r w:rsidRPr="00B94DD1">
        <w:rPr>
          <w:rFonts w:cs="Arial"/>
        </w:rPr>
        <w:t xml:space="preserve"> se identificaron 2673 </w:t>
      </w:r>
      <w:r>
        <w:rPr>
          <w:rFonts w:cs="Arial"/>
        </w:rPr>
        <w:t xml:space="preserve">espacios </w:t>
      </w:r>
      <w:r w:rsidRPr="00B94DD1">
        <w:rPr>
          <w:rFonts w:cs="Arial"/>
        </w:rPr>
        <w:t xml:space="preserve">distribuidos en diversas categorías, que </w:t>
      </w:r>
      <w:r>
        <w:rPr>
          <w:rFonts w:cs="Arial"/>
        </w:rPr>
        <w:t xml:space="preserve">en conjunto </w:t>
      </w:r>
      <w:r w:rsidRPr="00B94DD1">
        <w:rPr>
          <w:rFonts w:cs="Arial"/>
        </w:rPr>
        <w:t xml:space="preserve">suman 808.6 hectáreas. </w:t>
      </w:r>
      <w:r w:rsidRPr="005C5257">
        <w:rPr>
          <w:rFonts w:cs="Arial"/>
        </w:rPr>
        <w:t>El análisis se basó en la información catastral y la zonificación urbana vigente, incluyendo espacios públicos en equipamientos urbanos, áreas naturales protegidas, playas, frentes de agua y otros espacios federales. La evaluación de la cobertura se realizó considerando las distancias caminables según la normativa.</w:t>
      </w:r>
    </w:p>
    <w:p w14:paraId="6195E2F8" w14:textId="77777777" w:rsidR="00EC118C" w:rsidRDefault="00EC118C" w:rsidP="00B205BA">
      <w:pPr>
        <w:spacing w:after="120" w:line="240" w:lineRule="auto"/>
        <w:rPr>
          <w:rFonts w:cs="Arial"/>
        </w:rPr>
      </w:pPr>
      <w:r>
        <w:rPr>
          <w:rFonts w:cs="Arial"/>
        </w:rPr>
        <w:lastRenderedPageBreak/>
        <w:t>El estudio</w:t>
      </w:r>
      <w:r w:rsidRPr="00B94DD1">
        <w:rPr>
          <w:rFonts w:cs="Arial"/>
        </w:rPr>
        <w:t xml:space="preserve"> revela que el 64</w:t>
      </w:r>
      <w:r>
        <w:rPr>
          <w:rFonts w:cs="Arial"/>
        </w:rPr>
        <w:t xml:space="preserve"> </w:t>
      </w:r>
      <w:r w:rsidRPr="00B94DD1">
        <w:rPr>
          <w:rFonts w:cs="Arial"/>
        </w:rPr>
        <w:t xml:space="preserve">% de las áreas urbanizadas del municipio se encuentran dentro del área de influencia de al menos un espacio público, </w:t>
      </w:r>
      <w:r>
        <w:rPr>
          <w:rFonts w:cs="Arial"/>
        </w:rPr>
        <w:t>en beneficio de más de</w:t>
      </w:r>
      <w:r w:rsidRPr="00B94DD1">
        <w:rPr>
          <w:rFonts w:cs="Arial"/>
        </w:rPr>
        <w:t xml:space="preserve"> 848</w:t>
      </w:r>
      <w:r>
        <w:rPr>
          <w:rFonts w:cs="Arial"/>
        </w:rPr>
        <w:t xml:space="preserve"> 000</w:t>
      </w:r>
      <w:r w:rsidRPr="00B94DD1">
        <w:rPr>
          <w:rFonts w:cs="Arial"/>
        </w:rPr>
        <w:t xml:space="preserve"> personas </w:t>
      </w:r>
      <w:r>
        <w:rPr>
          <w:rFonts w:cs="Arial"/>
        </w:rPr>
        <w:t xml:space="preserve">(más de </w:t>
      </w:r>
      <w:r w:rsidRPr="00B94DD1">
        <w:rPr>
          <w:rFonts w:cs="Arial"/>
        </w:rPr>
        <w:t>90</w:t>
      </w:r>
      <w:r>
        <w:rPr>
          <w:rFonts w:cs="Arial"/>
        </w:rPr>
        <w:t xml:space="preserve"> </w:t>
      </w:r>
      <w:r w:rsidRPr="00B94DD1">
        <w:rPr>
          <w:rFonts w:cs="Arial"/>
        </w:rPr>
        <w:t>% de la población municipal</w:t>
      </w:r>
      <w:r>
        <w:rPr>
          <w:rFonts w:cs="Arial"/>
        </w:rPr>
        <w:t>)</w:t>
      </w:r>
      <w:r w:rsidRPr="00B94DD1">
        <w:rPr>
          <w:rFonts w:cs="Arial"/>
        </w:rPr>
        <w:t>.</w:t>
      </w:r>
      <w:r>
        <w:rPr>
          <w:rFonts w:cs="Arial"/>
        </w:rPr>
        <w:t xml:space="preserve"> L</w:t>
      </w:r>
      <w:r w:rsidRPr="005C5257">
        <w:rPr>
          <w:rFonts w:cs="Arial"/>
        </w:rPr>
        <w:t>as coberturas específicas por centro de población</w:t>
      </w:r>
      <w:r>
        <w:rPr>
          <w:rFonts w:cs="Arial"/>
        </w:rPr>
        <w:t xml:space="preserve"> son</w:t>
      </w:r>
      <w:r w:rsidRPr="005C5257">
        <w:rPr>
          <w:rFonts w:cs="Arial"/>
        </w:rPr>
        <w:t xml:space="preserve"> 92.7</w:t>
      </w:r>
      <w:r>
        <w:rPr>
          <w:rFonts w:cs="Arial"/>
        </w:rPr>
        <w:t xml:space="preserve"> </w:t>
      </w:r>
      <w:r w:rsidRPr="005C5257">
        <w:rPr>
          <w:rFonts w:cs="Arial"/>
        </w:rPr>
        <w:t>% de la población de Hermosillo, 86.4</w:t>
      </w:r>
      <w:r>
        <w:rPr>
          <w:rFonts w:cs="Arial"/>
        </w:rPr>
        <w:t xml:space="preserve"> </w:t>
      </w:r>
      <w:r w:rsidRPr="005C5257">
        <w:rPr>
          <w:rFonts w:cs="Arial"/>
        </w:rPr>
        <w:t>% de</w:t>
      </w:r>
      <w:r>
        <w:rPr>
          <w:rFonts w:cs="Arial"/>
        </w:rPr>
        <w:t xml:space="preserve"> la población de</w:t>
      </w:r>
      <w:r w:rsidRPr="005C5257">
        <w:rPr>
          <w:rFonts w:cs="Arial"/>
        </w:rPr>
        <w:t xml:space="preserve"> Miguel Alemán y 93</w:t>
      </w:r>
      <w:r>
        <w:rPr>
          <w:rFonts w:cs="Arial"/>
        </w:rPr>
        <w:t xml:space="preserve"> </w:t>
      </w:r>
      <w:r w:rsidRPr="005C5257">
        <w:rPr>
          <w:rFonts w:cs="Arial"/>
        </w:rPr>
        <w:t xml:space="preserve">% de </w:t>
      </w:r>
      <w:r>
        <w:rPr>
          <w:rFonts w:cs="Arial"/>
        </w:rPr>
        <w:t xml:space="preserve">la población de </w:t>
      </w:r>
      <w:r w:rsidRPr="005C5257">
        <w:rPr>
          <w:rFonts w:cs="Arial"/>
        </w:rPr>
        <w:t>Bahía de Kino.</w:t>
      </w:r>
      <w:r>
        <w:rPr>
          <w:rFonts w:cs="Arial"/>
        </w:rPr>
        <w:t xml:space="preserve"> </w:t>
      </w:r>
    </w:p>
    <w:p w14:paraId="4E312594" w14:textId="77777777" w:rsidR="00EC118C" w:rsidRDefault="00EC118C" w:rsidP="00B205BA">
      <w:pPr>
        <w:spacing w:after="120" w:line="240" w:lineRule="auto"/>
        <w:rPr>
          <w:rFonts w:cs="Arial"/>
        </w:rPr>
      </w:pPr>
    </w:p>
    <w:p w14:paraId="715029AB" w14:textId="77777777" w:rsidR="00EC118C" w:rsidRDefault="00EC118C" w:rsidP="00B205BA">
      <w:pPr>
        <w:spacing w:after="120" w:line="240" w:lineRule="auto"/>
        <w:rPr>
          <w:rFonts w:cs="Arial"/>
        </w:rPr>
      </w:pPr>
      <w:r w:rsidRPr="00B10433">
        <w:rPr>
          <w:rFonts w:cs="Arial"/>
        </w:rPr>
        <w:t xml:space="preserve">En los gráficos siguientes se pueden observar las coberturas para cada uno de </w:t>
      </w:r>
      <w:r>
        <w:rPr>
          <w:rFonts w:cs="Arial"/>
        </w:rPr>
        <w:t>estos centros de población</w:t>
      </w:r>
      <w:r w:rsidRPr="00B10433">
        <w:rPr>
          <w:rFonts w:cs="Arial"/>
        </w:rPr>
        <w:t>.</w:t>
      </w:r>
    </w:p>
    <w:p w14:paraId="2B5B7A63" w14:textId="77777777" w:rsidR="00EC118C" w:rsidRDefault="00EC118C" w:rsidP="00B205BA">
      <w:pPr>
        <w:spacing w:after="120" w:line="240" w:lineRule="auto"/>
        <w:rPr>
          <w:rFonts w:cs="Arial"/>
        </w:rPr>
      </w:pPr>
    </w:p>
    <w:p w14:paraId="6F72E5C7" w14:textId="77777777" w:rsidR="00EC118C" w:rsidRPr="00864A1E" w:rsidRDefault="00EC118C" w:rsidP="00B205BA">
      <w:pPr>
        <w:pStyle w:val="NormalWeb"/>
        <w:spacing w:before="0" w:beforeAutospacing="0" w:after="120" w:afterAutospacing="0"/>
        <w:jc w:val="center"/>
        <w:rPr>
          <w:rFonts w:ascii="Arial" w:hAnsi="Arial" w:cs="Arial"/>
          <w:strike/>
          <w:sz w:val="22"/>
          <w:szCs w:val="22"/>
        </w:rPr>
      </w:pPr>
      <w:r w:rsidRPr="00A235DD">
        <w:rPr>
          <w:rFonts w:ascii="Arial" w:hAnsi="Arial" w:cs="Arial"/>
          <w:strike/>
          <w:noProof/>
          <w:sz w:val="22"/>
          <w:szCs w:val="22"/>
        </w:rPr>
        <w:lastRenderedPageBreak/>
        <w:drawing>
          <wp:inline distT="0" distB="0" distL="0" distR="0" wp14:anchorId="11A24C18" wp14:editId="1A4DF16A">
            <wp:extent cx="5400675" cy="7077710"/>
            <wp:effectExtent l="0" t="0" r="9525" b="8890"/>
            <wp:docPr id="1201282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82342" name=""/>
                    <pic:cNvPicPr/>
                  </pic:nvPicPr>
                  <pic:blipFill>
                    <a:blip r:embed="rId21"/>
                    <a:stretch>
                      <a:fillRect/>
                    </a:stretch>
                  </pic:blipFill>
                  <pic:spPr>
                    <a:xfrm>
                      <a:off x="0" y="0"/>
                      <a:ext cx="5400675" cy="7077710"/>
                    </a:xfrm>
                    <a:prstGeom prst="rect">
                      <a:avLst/>
                    </a:prstGeom>
                  </pic:spPr>
                </pic:pic>
              </a:graphicData>
            </a:graphic>
          </wp:inline>
        </w:drawing>
      </w:r>
    </w:p>
    <w:p w14:paraId="25E5FDE1" w14:textId="77777777" w:rsidR="00EC118C" w:rsidRDefault="00EC118C" w:rsidP="00B205BA">
      <w:pPr>
        <w:pStyle w:val="NormalWeb"/>
        <w:spacing w:before="0" w:beforeAutospacing="0" w:after="120" w:afterAutospacing="0"/>
        <w:jc w:val="both"/>
        <w:rPr>
          <w:rFonts w:ascii="Arial" w:hAnsi="Arial" w:cs="Arial"/>
          <w:sz w:val="22"/>
          <w:szCs w:val="22"/>
        </w:rPr>
      </w:pPr>
    </w:p>
    <w:p w14:paraId="03495A83" w14:textId="77777777" w:rsidR="00EC118C" w:rsidRDefault="00EC118C" w:rsidP="00B205BA">
      <w:pPr>
        <w:pStyle w:val="NormalWeb"/>
        <w:spacing w:before="0" w:beforeAutospacing="0" w:after="120" w:afterAutospacing="0"/>
        <w:jc w:val="center"/>
        <w:rPr>
          <w:rFonts w:ascii="Arial" w:hAnsi="Arial" w:cs="Arial"/>
          <w:sz w:val="22"/>
          <w:szCs w:val="22"/>
        </w:rPr>
      </w:pPr>
    </w:p>
    <w:p w14:paraId="302208CA" w14:textId="77777777" w:rsidR="00EC118C" w:rsidRDefault="00EC118C" w:rsidP="00B205BA">
      <w:pPr>
        <w:pStyle w:val="NormalWeb"/>
        <w:spacing w:before="0" w:beforeAutospacing="0" w:after="120" w:afterAutospacing="0"/>
        <w:jc w:val="both"/>
        <w:rPr>
          <w:rFonts w:ascii="Arial" w:hAnsi="Arial" w:cs="Arial"/>
          <w:sz w:val="22"/>
          <w:szCs w:val="22"/>
        </w:rPr>
      </w:pPr>
    </w:p>
    <w:p w14:paraId="24B805E1" w14:textId="77777777" w:rsidR="00EC118C" w:rsidRDefault="00EC118C" w:rsidP="00B205BA">
      <w:pPr>
        <w:pStyle w:val="NormalWeb"/>
        <w:spacing w:before="0" w:beforeAutospacing="0" w:after="120" w:afterAutospacing="0"/>
        <w:jc w:val="center"/>
        <w:rPr>
          <w:noProof/>
        </w:rPr>
      </w:pPr>
      <w:r w:rsidRPr="00A235DD">
        <w:rPr>
          <w:noProof/>
        </w:rPr>
        <w:lastRenderedPageBreak/>
        <w:t xml:space="preserve"> </w:t>
      </w:r>
      <w:r w:rsidRPr="00A235DD">
        <w:rPr>
          <w:rFonts w:ascii="Arial" w:hAnsi="Arial" w:cs="Arial"/>
          <w:noProof/>
          <w:sz w:val="22"/>
          <w:szCs w:val="22"/>
        </w:rPr>
        <w:drawing>
          <wp:inline distT="0" distB="0" distL="0" distR="0" wp14:anchorId="3B3327EE" wp14:editId="348FA6AF">
            <wp:extent cx="5400675" cy="4001770"/>
            <wp:effectExtent l="0" t="0" r="9525" b="0"/>
            <wp:docPr id="1225118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18910" name=""/>
                    <pic:cNvPicPr/>
                  </pic:nvPicPr>
                  <pic:blipFill>
                    <a:blip r:embed="rId22"/>
                    <a:stretch>
                      <a:fillRect/>
                    </a:stretch>
                  </pic:blipFill>
                  <pic:spPr>
                    <a:xfrm>
                      <a:off x="0" y="0"/>
                      <a:ext cx="5400675" cy="4001770"/>
                    </a:xfrm>
                    <a:prstGeom prst="rect">
                      <a:avLst/>
                    </a:prstGeom>
                  </pic:spPr>
                </pic:pic>
              </a:graphicData>
            </a:graphic>
          </wp:inline>
        </w:drawing>
      </w:r>
    </w:p>
    <w:p w14:paraId="42C640B6" w14:textId="77777777" w:rsidR="00EC118C" w:rsidRDefault="00EC118C" w:rsidP="00B205BA">
      <w:pPr>
        <w:pStyle w:val="NormalWeb"/>
        <w:spacing w:before="0" w:beforeAutospacing="0" w:after="120" w:afterAutospacing="0"/>
        <w:jc w:val="center"/>
        <w:rPr>
          <w:rFonts w:ascii="Arial" w:hAnsi="Arial" w:cs="Arial"/>
          <w:sz w:val="22"/>
          <w:szCs w:val="22"/>
        </w:rPr>
      </w:pPr>
      <w:r w:rsidRPr="00A235DD">
        <w:rPr>
          <w:rFonts w:ascii="Arial" w:hAnsi="Arial" w:cs="Arial"/>
          <w:noProof/>
          <w:sz w:val="22"/>
          <w:szCs w:val="22"/>
        </w:rPr>
        <w:lastRenderedPageBreak/>
        <w:drawing>
          <wp:inline distT="0" distB="0" distL="0" distR="0" wp14:anchorId="05FA5D85" wp14:editId="70E277E7">
            <wp:extent cx="5400675" cy="4173220"/>
            <wp:effectExtent l="0" t="0" r="9525" b="0"/>
            <wp:docPr id="695532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32234" name=""/>
                    <pic:cNvPicPr/>
                  </pic:nvPicPr>
                  <pic:blipFill>
                    <a:blip r:embed="rId23"/>
                    <a:stretch>
                      <a:fillRect/>
                    </a:stretch>
                  </pic:blipFill>
                  <pic:spPr>
                    <a:xfrm>
                      <a:off x="0" y="0"/>
                      <a:ext cx="5400675" cy="4173220"/>
                    </a:xfrm>
                    <a:prstGeom prst="rect">
                      <a:avLst/>
                    </a:prstGeom>
                  </pic:spPr>
                </pic:pic>
              </a:graphicData>
            </a:graphic>
          </wp:inline>
        </w:drawing>
      </w:r>
    </w:p>
    <w:p w14:paraId="7E4F2CD6" w14:textId="18F7B311" w:rsidR="00EC118C" w:rsidRPr="00A033CE" w:rsidRDefault="00EC118C" w:rsidP="00A033CE">
      <w:pPr>
        <w:pStyle w:val="NormalWeb"/>
        <w:spacing w:after="120" w:afterAutospacing="0"/>
        <w:jc w:val="both"/>
        <w:rPr>
          <w:rFonts w:ascii="Arial" w:hAnsi="Arial" w:cs="Arial"/>
          <w:sz w:val="16"/>
          <w:szCs w:val="16"/>
        </w:rPr>
      </w:pPr>
      <w:r w:rsidRPr="009B7E39">
        <w:rPr>
          <w:rFonts w:ascii="Arial" w:hAnsi="Arial" w:cs="Arial"/>
          <w:sz w:val="16"/>
          <w:szCs w:val="16"/>
        </w:rPr>
        <w:t>Fuente: Programa Municipal de Desarrollo Urbano</w:t>
      </w:r>
      <w:r>
        <w:rPr>
          <w:rFonts w:ascii="Arial" w:hAnsi="Arial" w:cs="Arial"/>
          <w:sz w:val="16"/>
          <w:szCs w:val="16"/>
        </w:rPr>
        <w:t xml:space="preserve"> de Hermosillo 2023 (IMPLAN, 2023)</w:t>
      </w:r>
      <w:r>
        <w:rPr>
          <w:rStyle w:val="Refdenotaalpie"/>
          <w:rFonts w:ascii="Arial" w:hAnsi="Arial" w:cs="Arial"/>
          <w:sz w:val="16"/>
          <w:szCs w:val="16"/>
        </w:rPr>
        <w:footnoteReference w:id="30"/>
      </w:r>
      <w:r>
        <w:rPr>
          <w:rFonts w:ascii="Arial" w:hAnsi="Arial" w:cs="Arial"/>
          <w:sz w:val="16"/>
          <w:szCs w:val="16"/>
        </w:rPr>
        <w:t>.</w:t>
      </w:r>
    </w:p>
    <w:p w14:paraId="1F73C663" w14:textId="719D5BEE" w:rsidR="00EC118C" w:rsidRDefault="00EC118C" w:rsidP="00B205BA">
      <w:pPr>
        <w:spacing w:after="120" w:line="240" w:lineRule="auto"/>
        <w:rPr>
          <w:rFonts w:cs="Arial"/>
        </w:rPr>
      </w:pPr>
      <w:r>
        <w:rPr>
          <w:rFonts w:cs="Arial"/>
        </w:rPr>
        <w:t>Dadas las</w:t>
      </w:r>
      <w:r w:rsidRPr="006B5CA5">
        <w:rPr>
          <w:rFonts w:cs="Arial"/>
        </w:rPr>
        <w:t xml:space="preserve"> características de los espacios verdes existentes, </w:t>
      </w:r>
      <w:r>
        <w:rPr>
          <w:rFonts w:cs="Arial"/>
        </w:rPr>
        <w:t>se requiere</w:t>
      </w:r>
      <w:r w:rsidRPr="006B5CA5">
        <w:rPr>
          <w:rFonts w:cs="Arial"/>
        </w:rPr>
        <w:t xml:space="preserve"> establecer e institucionalizar acciones de mantenimiento y mejora para incrementar </w:t>
      </w:r>
      <w:r>
        <w:rPr>
          <w:rFonts w:cs="Arial"/>
        </w:rPr>
        <w:t>su</w:t>
      </w:r>
      <w:r w:rsidRPr="006B5CA5">
        <w:rPr>
          <w:rFonts w:cs="Arial"/>
        </w:rPr>
        <w:t xml:space="preserve"> calidad. </w:t>
      </w:r>
      <w:r>
        <w:rPr>
          <w:rFonts w:cs="Arial"/>
        </w:rPr>
        <w:t xml:space="preserve">Esto </w:t>
      </w:r>
      <w:r w:rsidRPr="006B5CA5">
        <w:rPr>
          <w:rFonts w:cs="Arial"/>
        </w:rPr>
        <w:t xml:space="preserve">incluye la mejora del mobiliario urbano, las instalaciones de servicios, el alumbrado y los equipamientos deportivos y recreativos, </w:t>
      </w:r>
      <w:r>
        <w:rPr>
          <w:rFonts w:cs="Arial"/>
        </w:rPr>
        <w:t>a</w:t>
      </w:r>
      <w:r w:rsidRPr="006B5CA5">
        <w:rPr>
          <w:rFonts w:cs="Arial"/>
        </w:rPr>
        <w:t xml:space="preserve"> fin de garantizar un mejor aprovechamiento por parte de los usuarios. </w:t>
      </w:r>
    </w:p>
    <w:p w14:paraId="713B0831" w14:textId="3CDCA19D" w:rsidR="00EC118C" w:rsidRPr="00A033CE" w:rsidRDefault="00EC118C" w:rsidP="00A033CE">
      <w:pPr>
        <w:spacing w:after="120" w:line="240" w:lineRule="auto"/>
        <w:rPr>
          <w:rFonts w:cs="Arial"/>
        </w:rPr>
      </w:pPr>
      <w:r w:rsidRPr="006B5CA5">
        <w:rPr>
          <w:rFonts w:cs="Arial"/>
        </w:rPr>
        <w:t>A continuación, se presentan los resultados del inventario de espacios públicos verdes desglosado por centro de población</w:t>
      </w:r>
      <w:r>
        <w:rPr>
          <w:rFonts w:cs="Arial"/>
        </w:rPr>
        <w:t xml:space="preserve"> y</w:t>
      </w:r>
      <w:r w:rsidRPr="006B5CA5">
        <w:rPr>
          <w:rFonts w:cs="Arial"/>
        </w:rPr>
        <w:t xml:space="preserve"> elementos presentes en cada uno de ellos.</w:t>
      </w:r>
    </w:p>
    <w:tbl>
      <w:tblPr>
        <w:tblStyle w:val="Tablaconcuadrculaclara"/>
        <w:tblW w:w="0" w:type="auto"/>
        <w:jc w:val="center"/>
        <w:tblLook w:val="04A0" w:firstRow="1" w:lastRow="0" w:firstColumn="1" w:lastColumn="0" w:noHBand="0" w:noVBand="1"/>
      </w:tblPr>
      <w:tblGrid>
        <w:gridCol w:w="2823"/>
        <w:gridCol w:w="1343"/>
        <w:gridCol w:w="1803"/>
        <w:gridCol w:w="1829"/>
      </w:tblGrid>
      <w:tr w:rsidR="00EC118C" w:rsidRPr="006C439B" w14:paraId="696C276C" w14:textId="77777777" w:rsidTr="000635AB">
        <w:trPr>
          <w:trHeight w:val="448"/>
          <w:jc w:val="center"/>
        </w:trPr>
        <w:tc>
          <w:tcPr>
            <w:tcW w:w="7798" w:type="dxa"/>
            <w:gridSpan w:val="4"/>
            <w:shd w:val="clear" w:color="auto" w:fill="ED7D31" w:themeFill="accent2"/>
          </w:tcPr>
          <w:p w14:paraId="00B63717" w14:textId="00EF2993" w:rsidR="00EC118C" w:rsidRPr="006C439B" w:rsidRDefault="00EC118C" w:rsidP="00B205BA">
            <w:pPr>
              <w:spacing w:after="120" w:line="240" w:lineRule="auto"/>
              <w:jc w:val="center"/>
              <w:rPr>
                <w:rFonts w:cs="Arial"/>
                <w:b/>
                <w:bCs/>
                <w:color w:val="FFFFFF" w:themeColor="background1"/>
                <w:sz w:val="18"/>
                <w:szCs w:val="18"/>
              </w:rPr>
            </w:pPr>
            <w:r w:rsidRPr="00682841">
              <w:rPr>
                <w:rFonts w:cs="Arial"/>
                <w:b/>
                <w:bCs/>
                <w:color w:val="FFFFFF" w:themeColor="background1"/>
                <w:sz w:val="18"/>
                <w:szCs w:val="18"/>
              </w:rPr>
              <w:t>TABLA</w:t>
            </w:r>
            <w:r>
              <w:rPr>
                <w:rFonts w:cs="Arial"/>
                <w:b/>
                <w:bCs/>
                <w:color w:val="FFFFFF" w:themeColor="background1"/>
                <w:sz w:val="18"/>
                <w:szCs w:val="18"/>
              </w:rPr>
              <w:t xml:space="preserve"> 3. </w:t>
            </w:r>
            <w:r w:rsidRPr="00682841">
              <w:rPr>
                <w:rFonts w:cs="Arial"/>
                <w:b/>
                <w:bCs/>
                <w:color w:val="FFFFFF" w:themeColor="background1"/>
                <w:sz w:val="18"/>
                <w:szCs w:val="18"/>
              </w:rPr>
              <w:t xml:space="preserve">ANÁLISIS </w:t>
            </w:r>
            <w:r>
              <w:rPr>
                <w:rFonts w:cs="Arial"/>
                <w:b/>
                <w:bCs/>
                <w:color w:val="FFFFFF" w:themeColor="background1"/>
                <w:sz w:val="18"/>
                <w:szCs w:val="18"/>
              </w:rPr>
              <w:t xml:space="preserve">PORCENTUAL </w:t>
            </w:r>
            <w:r w:rsidRPr="00682841">
              <w:rPr>
                <w:rFonts w:cs="Arial"/>
                <w:b/>
                <w:bCs/>
                <w:color w:val="FFFFFF" w:themeColor="background1"/>
                <w:sz w:val="18"/>
                <w:szCs w:val="18"/>
              </w:rPr>
              <w:t>DE INVENTARIO MUNICIPAL DE ESPACIOS PÚBLICOS VERDES EN CENTROS DE POBLACIÓN URBANOS</w:t>
            </w:r>
            <w:r w:rsidR="0086730D">
              <w:rPr>
                <w:rFonts w:cs="Arial"/>
                <w:b/>
                <w:bCs/>
                <w:color w:val="FFFFFF" w:themeColor="background1"/>
                <w:sz w:val="18"/>
                <w:szCs w:val="18"/>
              </w:rPr>
              <w:t>.</w:t>
            </w:r>
          </w:p>
        </w:tc>
      </w:tr>
      <w:tr w:rsidR="00EC118C" w:rsidRPr="006C439B" w14:paraId="7CA8966B" w14:textId="77777777" w:rsidTr="000635AB">
        <w:trPr>
          <w:trHeight w:val="229"/>
          <w:jc w:val="center"/>
        </w:trPr>
        <w:tc>
          <w:tcPr>
            <w:tcW w:w="2823" w:type="dxa"/>
            <w:shd w:val="clear" w:color="auto" w:fill="A5A5A5" w:themeFill="accent3"/>
          </w:tcPr>
          <w:p w14:paraId="753151AB" w14:textId="77777777" w:rsidR="00EC118C" w:rsidRPr="00A15AFD" w:rsidRDefault="00EC118C" w:rsidP="00B205BA">
            <w:pPr>
              <w:spacing w:after="120" w:line="240" w:lineRule="auto"/>
              <w:rPr>
                <w:rFonts w:cs="Arial"/>
                <w:sz w:val="18"/>
                <w:szCs w:val="18"/>
              </w:rPr>
            </w:pPr>
            <w:r w:rsidRPr="00A15AFD">
              <w:rPr>
                <w:rFonts w:cs="Arial"/>
                <w:color w:val="FFFFFF" w:themeColor="background1"/>
                <w:sz w:val="18"/>
                <w:szCs w:val="18"/>
              </w:rPr>
              <w:t>Características</w:t>
            </w:r>
          </w:p>
        </w:tc>
        <w:tc>
          <w:tcPr>
            <w:tcW w:w="1343" w:type="dxa"/>
            <w:shd w:val="clear" w:color="auto" w:fill="A5A5A5" w:themeFill="accent3"/>
          </w:tcPr>
          <w:p w14:paraId="001706F5" w14:textId="77777777" w:rsidR="00EC118C" w:rsidRPr="00A15AFD" w:rsidRDefault="00EC118C" w:rsidP="00B205BA">
            <w:pPr>
              <w:spacing w:after="120" w:line="240" w:lineRule="auto"/>
              <w:jc w:val="center"/>
              <w:rPr>
                <w:rFonts w:cs="Arial"/>
                <w:color w:val="FFFFFF" w:themeColor="background1"/>
                <w:sz w:val="18"/>
                <w:szCs w:val="18"/>
              </w:rPr>
            </w:pPr>
            <w:r w:rsidRPr="00A15AFD">
              <w:rPr>
                <w:rFonts w:cs="Arial"/>
                <w:color w:val="FFFFFF" w:themeColor="background1"/>
                <w:sz w:val="18"/>
                <w:szCs w:val="18"/>
              </w:rPr>
              <w:t>Hermosillo</w:t>
            </w:r>
          </w:p>
        </w:tc>
        <w:tc>
          <w:tcPr>
            <w:tcW w:w="1803" w:type="dxa"/>
            <w:shd w:val="clear" w:color="auto" w:fill="A5A5A5" w:themeFill="accent3"/>
          </w:tcPr>
          <w:p w14:paraId="0E72A5F8" w14:textId="77777777" w:rsidR="00EC118C" w:rsidRPr="00A15AFD" w:rsidRDefault="00EC118C" w:rsidP="00B205BA">
            <w:pPr>
              <w:spacing w:after="120" w:line="240" w:lineRule="auto"/>
              <w:jc w:val="center"/>
              <w:rPr>
                <w:rFonts w:cs="Arial"/>
                <w:color w:val="FFFFFF" w:themeColor="background1"/>
                <w:sz w:val="18"/>
                <w:szCs w:val="18"/>
              </w:rPr>
            </w:pPr>
            <w:r w:rsidRPr="00A15AFD">
              <w:rPr>
                <w:rFonts w:cs="Arial"/>
                <w:color w:val="FFFFFF" w:themeColor="background1"/>
                <w:sz w:val="18"/>
                <w:szCs w:val="18"/>
              </w:rPr>
              <w:t>Miguel Alemán</w:t>
            </w:r>
          </w:p>
        </w:tc>
        <w:tc>
          <w:tcPr>
            <w:tcW w:w="1827" w:type="dxa"/>
            <w:shd w:val="clear" w:color="auto" w:fill="A5A5A5" w:themeFill="accent3"/>
          </w:tcPr>
          <w:p w14:paraId="5F55E114" w14:textId="77777777" w:rsidR="00EC118C" w:rsidRPr="00A15AFD" w:rsidRDefault="00EC118C" w:rsidP="00B205BA">
            <w:pPr>
              <w:spacing w:after="120" w:line="240" w:lineRule="auto"/>
              <w:jc w:val="center"/>
              <w:rPr>
                <w:rFonts w:cs="Arial"/>
                <w:color w:val="FFFFFF" w:themeColor="background1"/>
                <w:sz w:val="18"/>
                <w:szCs w:val="18"/>
              </w:rPr>
            </w:pPr>
            <w:r w:rsidRPr="00A15AFD">
              <w:rPr>
                <w:rFonts w:cs="Arial"/>
                <w:color w:val="FFFFFF" w:themeColor="background1"/>
                <w:sz w:val="18"/>
                <w:szCs w:val="18"/>
              </w:rPr>
              <w:t>Bahía de Kino</w:t>
            </w:r>
          </w:p>
        </w:tc>
      </w:tr>
      <w:tr w:rsidR="00EC118C" w:rsidRPr="006C439B" w14:paraId="2A5B76B7" w14:textId="77777777" w:rsidTr="000635AB">
        <w:trPr>
          <w:trHeight w:val="229"/>
          <w:jc w:val="center"/>
        </w:trPr>
        <w:tc>
          <w:tcPr>
            <w:tcW w:w="2823" w:type="dxa"/>
          </w:tcPr>
          <w:p w14:paraId="6A9F92E9" w14:textId="77777777" w:rsidR="00EC118C" w:rsidRPr="006C439B" w:rsidRDefault="00EC118C" w:rsidP="00B205BA">
            <w:pPr>
              <w:spacing w:after="120" w:line="240" w:lineRule="auto"/>
              <w:rPr>
                <w:rFonts w:cs="Arial"/>
                <w:sz w:val="18"/>
                <w:szCs w:val="18"/>
              </w:rPr>
            </w:pPr>
            <w:r w:rsidRPr="006C439B">
              <w:rPr>
                <w:rFonts w:cs="Arial"/>
                <w:sz w:val="18"/>
                <w:szCs w:val="18"/>
              </w:rPr>
              <w:t>Baldíos</w:t>
            </w:r>
          </w:p>
        </w:tc>
        <w:tc>
          <w:tcPr>
            <w:tcW w:w="1343" w:type="dxa"/>
          </w:tcPr>
          <w:p w14:paraId="06D3E138" w14:textId="77777777" w:rsidR="00EC118C" w:rsidRPr="006C439B" w:rsidRDefault="00EC118C" w:rsidP="00B205BA">
            <w:pPr>
              <w:spacing w:after="120" w:line="240" w:lineRule="auto"/>
              <w:jc w:val="right"/>
              <w:rPr>
                <w:rFonts w:cs="Arial"/>
                <w:sz w:val="18"/>
                <w:szCs w:val="18"/>
              </w:rPr>
            </w:pPr>
            <w:r w:rsidRPr="006C439B">
              <w:rPr>
                <w:rFonts w:cs="Arial"/>
                <w:sz w:val="18"/>
                <w:szCs w:val="18"/>
              </w:rPr>
              <w:t>15.64</w:t>
            </w:r>
          </w:p>
        </w:tc>
        <w:tc>
          <w:tcPr>
            <w:tcW w:w="1803" w:type="dxa"/>
          </w:tcPr>
          <w:p w14:paraId="0973DC64" w14:textId="77777777" w:rsidR="00EC118C" w:rsidRPr="006C439B" w:rsidRDefault="00EC118C" w:rsidP="00B205BA">
            <w:pPr>
              <w:spacing w:after="120" w:line="240" w:lineRule="auto"/>
              <w:jc w:val="right"/>
              <w:rPr>
                <w:rFonts w:cs="Arial"/>
                <w:sz w:val="18"/>
                <w:szCs w:val="18"/>
              </w:rPr>
            </w:pPr>
            <w:r w:rsidRPr="006C439B">
              <w:rPr>
                <w:rFonts w:cs="Arial"/>
                <w:sz w:val="18"/>
                <w:szCs w:val="18"/>
              </w:rPr>
              <w:t>30.0</w:t>
            </w:r>
          </w:p>
        </w:tc>
        <w:tc>
          <w:tcPr>
            <w:tcW w:w="1827" w:type="dxa"/>
          </w:tcPr>
          <w:p w14:paraId="3CDAA0E6" w14:textId="77777777" w:rsidR="00EC118C" w:rsidRPr="006C439B" w:rsidRDefault="00EC118C" w:rsidP="00B205BA">
            <w:pPr>
              <w:spacing w:after="120" w:line="240" w:lineRule="auto"/>
              <w:jc w:val="right"/>
              <w:rPr>
                <w:rFonts w:cs="Arial"/>
                <w:sz w:val="18"/>
                <w:szCs w:val="18"/>
              </w:rPr>
            </w:pPr>
            <w:r w:rsidRPr="006C439B">
              <w:rPr>
                <w:rFonts w:cs="Arial"/>
                <w:sz w:val="18"/>
                <w:szCs w:val="18"/>
              </w:rPr>
              <w:t>25.81</w:t>
            </w:r>
          </w:p>
        </w:tc>
      </w:tr>
      <w:tr w:rsidR="00EC118C" w:rsidRPr="006C439B" w14:paraId="074CA9DF" w14:textId="77777777" w:rsidTr="000635AB">
        <w:trPr>
          <w:trHeight w:val="218"/>
          <w:jc w:val="center"/>
        </w:trPr>
        <w:tc>
          <w:tcPr>
            <w:tcW w:w="2823" w:type="dxa"/>
          </w:tcPr>
          <w:p w14:paraId="11E6182F" w14:textId="77777777" w:rsidR="00EC118C" w:rsidRPr="006C439B" w:rsidRDefault="00EC118C" w:rsidP="00B205BA">
            <w:pPr>
              <w:spacing w:after="120" w:line="240" w:lineRule="auto"/>
              <w:rPr>
                <w:rFonts w:cs="Arial"/>
                <w:sz w:val="18"/>
                <w:szCs w:val="18"/>
              </w:rPr>
            </w:pPr>
            <w:r w:rsidRPr="006C439B">
              <w:rPr>
                <w:rFonts w:cs="Arial"/>
                <w:sz w:val="18"/>
                <w:szCs w:val="18"/>
              </w:rPr>
              <w:t>Agua</w:t>
            </w:r>
          </w:p>
        </w:tc>
        <w:tc>
          <w:tcPr>
            <w:tcW w:w="1343" w:type="dxa"/>
          </w:tcPr>
          <w:p w14:paraId="433A8469" w14:textId="77777777" w:rsidR="00EC118C" w:rsidRPr="006C439B" w:rsidRDefault="00EC118C" w:rsidP="00B205BA">
            <w:pPr>
              <w:spacing w:after="120" w:line="240" w:lineRule="auto"/>
              <w:jc w:val="right"/>
              <w:rPr>
                <w:rFonts w:cs="Arial"/>
                <w:sz w:val="18"/>
                <w:szCs w:val="18"/>
              </w:rPr>
            </w:pPr>
            <w:r w:rsidRPr="006C439B">
              <w:rPr>
                <w:rFonts w:cs="Arial"/>
                <w:sz w:val="18"/>
                <w:szCs w:val="18"/>
              </w:rPr>
              <w:t>85.66</w:t>
            </w:r>
          </w:p>
        </w:tc>
        <w:tc>
          <w:tcPr>
            <w:tcW w:w="1803" w:type="dxa"/>
          </w:tcPr>
          <w:p w14:paraId="36F698F8" w14:textId="77777777" w:rsidR="00EC118C" w:rsidRPr="006C439B" w:rsidRDefault="00EC118C" w:rsidP="00B205BA">
            <w:pPr>
              <w:spacing w:after="120" w:line="240" w:lineRule="auto"/>
              <w:jc w:val="right"/>
              <w:rPr>
                <w:rFonts w:cs="Arial"/>
                <w:sz w:val="18"/>
                <w:szCs w:val="18"/>
              </w:rPr>
            </w:pPr>
            <w:r w:rsidRPr="006C439B">
              <w:rPr>
                <w:rFonts w:cs="Arial"/>
                <w:sz w:val="18"/>
                <w:szCs w:val="18"/>
              </w:rPr>
              <w:t>100</w:t>
            </w:r>
          </w:p>
        </w:tc>
        <w:tc>
          <w:tcPr>
            <w:tcW w:w="1827" w:type="dxa"/>
          </w:tcPr>
          <w:p w14:paraId="2D57405B" w14:textId="77777777" w:rsidR="00EC118C" w:rsidRPr="006C439B" w:rsidRDefault="00EC118C" w:rsidP="00B205BA">
            <w:pPr>
              <w:spacing w:after="120" w:line="240" w:lineRule="auto"/>
              <w:jc w:val="right"/>
              <w:rPr>
                <w:rFonts w:cs="Arial"/>
                <w:sz w:val="18"/>
                <w:szCs w:val="18"/>
              </w:rPr>
            </w:pPr>
            <w:r w:rsidRPr="006C439B">
              <w:rPr>
                <w:rFonts w:cs="Arial"/>
                <w:sz w:val="18"/>
                <w:szCs w:val="18"/>
              </w:rPr>
              <w:t>87.10</w:t>
            </w:r>
          </w:p>
        </w:tc>
      </w:tr>
      <w:tr w:rsidR="00EC118C" w:rsidRPr="006C439B" w14:paraId="6EFD5BB2" w14:textId="77777777" w:rsidTr="000635AB">
        <w:trPr>
          <w:trHeight w:val="229"/>
          <w:jc w:val="center"/>
        </w:trPr>
        <w:tc>
          <w:tcPr>
            <w:tcW w:w="2823" w:type="dxa"/>
          </w:tcPr>
          <w:p w14:paraId="231D7614" w14:textId="77777777" w:rsidR="00EC118C" w:rsidRPr="006C439B" w:rsidRDefault="00EC118C" w:rsidP="00B205BA">
            <w:pPr>
              <w:spacing w:after="120" w:line="240" w:lineRule="auto"/>
              <w:rPr>
                <w:rFonts w:cs="Arial"/>
                <w:sz w:val="18"/>
                <w:szCs w:val="18"/>
              </w:rPr>
            </w:pPr>
            <w:r w:rsidRPr="006C439B">
              <w:rPr>
                <w:rFonts w:cs="Arial"/>
                <w:sz w:val="18"/>
                <w:szCs w:val="18"/>
              </w:rPr>
              <w:t>Drenaje</w:t>
            </w:r>
          </w:p>
        </w:tc>
        <w:tc>
          <w:tcPr>
            <w:tcW w:w="1343" w:type="dxa"/>
          </w:tcPr>
          <w:p w14:paraId="3C479B3B" w14:textId="77777777" w:rsidR="00EC118C" w:rsidRPr="006C439B" w:rsidRDefault="00EC118C" w:rsidP="00B205BA">
            <w:pPr>
              <w:spacing w:after="120" w:line="240" w:lineRule="auto"/>
              <w:jc w:val="right"/>
              <w:rPr>
                <w:rFonts w:cs="Arial"/>
                <w:sz w:val="18"/>
                <w:szCs w:val="18"/>
              </w:rPr>
            </w:pPr>
            <w:r w:rsidRPr="006C439B">
              <w:rPr>
                <w:rFonts w:cs="Arial"/>
                <w:sz w:val="18"/>
                <w:szCs w:val="18"/>
              </w:rPr>
              <w:t>84.95</w:t>
            </w:r>
          </w:p>
        </w:tc>
        <w:tc>
          <w:tcPr>
            <w:tcW w:w="1803" w:type="dxa"/>
          </w:tcPr>
          <w:p w14:paraId="221B0898" w14:textId="77777777" w:rsidR="00EC118C" w:rsidRPr="006C439B" w:rsidRDefault="00EC118C" w:rsidP="00B205BA">
            <w:pPr>
              <w:spacing w:after="120" w:line="240" w:lineRule="auto"/>
              <w:jc w:val="right"/>
              <w:rPr>
                <w:rFonts w:cs="Arial"/>
                <w:sz w:val="18"/>
                <w:szCs w:val="18"/>
              </w:rPr>
            </w:pPr>
            <w:r w:rsidRPr="006C439B">
              <w:rPr>
                <w:rFonts w:cs="Arial"/>
                <w:sz w:val="18"/>
                <w:szCs w:val="18"/>
              </w:rPr>
              <w:t>63.33</w:t>
            </w:r>
          </w:p>
        </w:tc>
        <w:tc>
          <w:tcPr>
            <w:tcW w:w="1827" w:type="dxa"/>
          </w:tcPr>
          <w:p w14:paraId="022560C0" w14:textId="77777777" w:rsidR="00EC118C" w:rsidRPr="006C439B" w:rsidRDefault="00EC118C" w:rsidP="00B205BA">
            <w:pPr>
              <w:spacing w:after="120" w:line="240" w:lineRule="auto"/>
              <w:jc w:val="right"/>
              <w:rPr>
                <w:rFonts w:cs="Arial"/>
                <w:sz w:val="18"/>
                <w:szCs w:val="18"/>
              </w:rPr>
            </w:pPr>
            <w:r w:rsidRPr="006C439B">
              <w:rPr>
                <w:rFonts w:cs="Arial"/>
                <w:sz w:val="18"/>
                <w:szCs w:val="18"/>
              </w:rPr>
              <w:t>3.23</w:t>
            </w:r>
          </w:p>
        </w:tc>
      </w:tr>
      <w:tr w:rsidR="00EC118C" w:rsidRPr="006C439B" w14:paraId="548CF5DC" w14:textId="77777777" w:rsidTr="000635AB">
        <w:trPr>
          <w:trHeight w:val="229"/>
          <w:jc w:val="center"/>
        </w:trPr>
        <w:tc>
          <w:tcPr>
            <w:tcW w:w="2823" w:type="dxa"/>
          </w:tcPr>
          <w:p w14:paraId="08B3B37B" w14:textId="77777777" w:rsidR="00EC118C" w:rsidRPr="006C439B" w:rsidRDefault="00EC118C" w:rsidP="00B205BA">
            <w:pPr>
              <w:spacing w:after="120" w:line="240" w:lineRule="auto"/>
              <w:rPr>
                <w:rFonts w:cs="Arial"/>
                <w:sz w:val="18"/>
                <w:szCs w:val="18"/>
              </w:rPr>
            </w:pPr>
            <w:r w:rsidRPr="006C439B">
              <w:rPr>
                <w:rFonts w:cs="Arial"/>
                <w:sz w:val="18"/>
                <w:szCs w:val="18"/>
              </w:rPr>
              <w:t>Electricidad</w:t>
            </w:r>
          </w:p>
        </w:tc>
        <w:tc>
          <w:tcPr>
            <w:tcW w:w="1343" w:type="dxa"/>
          </w:tcPr>
          <w:p w14:paraId="70F92ACE" w14:textId="77777777" w:rsidR="00EC118C" w:rsidRPr="006C439B" w:rsidRDefault="00EC118C" w:rsidP="00B205BA">
            <w:pPr>
              <w:spacing w:after="120" w:line="240" w:lineRule="auto"/>
              <w:jc w:val="right"/>
              <w:rPr>
                <w:rFonts w:cs="Arial"/>
                <w:sz w:val="18"/>
                <w:szCs w:val="18"/>
              </w:rPr>
            </w:pPr>
            <w:r w:rsidRPr="006C439B">
              <w:rPr>
                <w:rFonts w:cs="Arial"/>
                <w:sz w:val="18"/>
                <w:szCs w:val="18"/>
              </w:rPr>
              <w:t>99.85</w:t>
            </w:r>
          </w:p>
        </w:tc>
        <w:tc>
          <w:tcPr>
            <w:tcW w:w="1803" w:type="dxa"/>
          </w:tcPr>
          <w:p w14:paraId="21EC18B9" w14:textId="77777777" w:rsidR="00EC118C" w:rsidRPr="006C439B" w:rsidRDefault="00EC118C" w:rsidP="00B205BA">
            <w:pPr>
              <w:spacing w:after="120" w:line="240" w:lineRule="auto"/>
              <w:jc w:val="right"/>
              <w:rPr>
                <w:rFonts w:cs="Arial"/>
                <w:sz w:val="18"/>
                <w:szCs w:val="18"/>
              </w:rPr>
            </w:pPr>
            <w:r w:rsidRPr="006C439B">
              <w:rPr>
                <w:rFonts w:cs="Arial"/>
                <w:sz w:val="18"/>
                <w:szCs w:val="18"/>
              </w:rPr>
              <w:t>100</w:t>
            </w:r>
          </w:p>
        </w:tc>
        <w:tc>
          <w:tcPr>
            <w:tcW w:w="1827" w:type="dxa"/>
          </w:tcPr>
          <w:p w14:paraId="797D3CA8" w14:textId="77777777" w:rsidR="00EC118C" w:rsidRPr="006C439B" w:rsidRDefault="00EC118C" w:rsidP="00B205BA">
            <w:pPr>
              <w:spacing w:after="120" w:line="240" w:lineRule="auto"/>
              <w:jc w:val="right"/>
              <w:rPr>
                <w:rFonts w:cs="Arial"/>
                <w:sz w:val="18"/>
                <w:szCs w:val="18"/>
              </w:rPr>
            </w:pPr>
            <w:r w:rsidRPr="006C439B">
              <w:rPr>
                <w:rFonts w:cs="Arial"/>
                <w:sz w:val="18"/>
                <w:szCs w:val="18"/>
              </w:rPr>
              <w:t>87.10</w:t>
            </w:r>
          </w:p>
        </w:tc>
      </w:tr>
      <w:tr w:rsidR="00EC118C" w:rsidRPr="006C439B" w14:paraId="20F6AD80" w14:textId="77777777" w:rsidTr="000635AB">
        <w:trPr>
          <w:trHeight w:val="229"/>
          <w:jc w:val="center"/>
        </w:trPr>
        <w:tc>
          <w:tcPr>
            <w:tcW w:w="2823" w:type="dxa"/>
          </w:tcPr>
          <w:p w14:paraId="3EC0EA70" w14:textId="77777777" w:rsidR="00EC118C" w:rsidRPr="006C439B" w:rsidRDefault="00EC118C" w:rsidP="00B205BA">
            <w:pPr>
              <w:spacing w:after="120" w:line="240" w:lineRule="auto"/>
              <w:rPr>
                <w:rFonts w:cs="Arial"/>
                <w:sz w:val="18"/>
                <w:szCs w:val="18"/>
              </w:rPr>
            </w:pPr>
            <w:r w:rsidRPr="006C439B">
              <w:rPr>
                <w:rFonts w:cs="Arial"/>
                <w:sz w:val="18"/>
                <w:szCs w:val="18"/>
              </w:rPr>
              <w:t>Alumbrado</w:t>
            </w:r>
          </w:p>
        </w:tc>
        <w:tc>
          <w:tcPr>
            <w:tcW w:w="1343" w:type="dxa"/>
          </w:tcPr>
          <w:p w14:paraId="09EEABA6" w14:textId="77777777" w:rsidR="00EC118C" w:rsidRPr="006C439B" w:rsidRDefault="00EC118C" w:rsidP="00B205BA">
            <w:pPr>
              <w:spacing w:after="120" w:line="240" w:lineRule="auto"/>
              <w:jc w:val="right"/>
              <w:rPr>
                <w:rFonts w:cs="Arial"/>
                <w:sz w:val="18"/>
                <w:szCs w:val="18"/>
              </w:rPr>
            </w:pPr>
            <w:r w:rsidRPr="006C439B">
              <w:rPr>
                <w:rFonts w:cs="Arial"/>
                <w:sz w:val="18"/>
                <w:szCs w:val="18"/>
              </w:rPr>
              <w:t>78.25</w:t>
            </w:r>
          </w:p>
        </w:tc>
        <w:tc>
          <w:tcPr>
            <w:tcW w:w="1803" w:type="dxa"/>
          </w:tcPr>
          <w:p w14:paraId="243BB46E" w14:textId="77777777" w:rsidR="00EC118C" w:rsidRPr="006C439B" w:rsidRDefault="00EC118C" w:rsidP="00B205BA">
            <w:pPr>
              <w:spacing w:after="120" w:line="240" w:lineRule="auto"/>
              <w:jc w:val="right"/>
              <w:rPr>
                <w:rFonts w:cs="Arial"/>
                <w:sz w:val="18"/>
                <w:szCs w:val="18"/>
              </w:rPr>
            </w:pPr>
            <w:r w:rsidRPr="006C439B">
              <w:rPr>
                <w:rFonts w:cs="Arial"/>
                <w:sz w:val="18"/>
                <w:szCs w:val="18"/>
              </w:rPr>
              <w:t>63.33</w:t>
            </w:r>
          </w:p>
        </w:tc>
        <w:tc>
          <w:tcPr>
            <w:tcW w:w="1827" w:type="dxa"/>
          </w:tcPr>
          <w:p w14:paraId="2185B17C" w14:textId="77777777" w:rsidR="00EC118C" w:rsidRPr="006C439B" w:rsidRDefault="00EC118C" w:rsidP="00B205BA">
            <w:pPr>
              <w:spacing w:after="120" w:line="240" w:lineRule="auto"/>
              <w:jc w:val="right"/>
              <w:rPr>
                <w:rFonts w:cs="Arial"/>
                <w:sz w:val="18"/>
                <w:szCs w:val="18"/>
              </w:rPr>
            </w:pPr>
            <w:r w:rsidRPr="006C439B">
              <w:rPr>
                <w:rFonts w:cs="Arial"/>
                <w:sz w:val="18"/>
                <w:szCs w:val="18"/>
              </w:rPr>
              <w:t>87.10</w:t>
            </w:r>
          </w:p>
        </w:tc>
      </w:tr>
      <w:tr w:rsidR="00EC118C" w:rsidRPr="006C439B" w14:paraId="1E5A6C1F" w14:textId="77777777" w:rsidTr="000635AB">
        <w:trPr>
          <w:trHeight w:val="218"/>
          <w:jc w:val="center"/>
        </w:trPr>
        <w:tc>
          <w:tcPr>
            <w:tcW w:w="2823" w:type="dxa"/>
          </w:tcPr>
          <w:p w14:paraId="326ADDF8" w14:textId="77777777" w:rsidR="00EC118C" w:rsidRPr="006C439B" w:rsidRDefault="00EC118C" w:rsidP="00B205BA">
            <w:pPr>
              <w:spacing w:after="120" w:line="240" w:lineRule="auto"/>
              <w:rPr>
                <w:rFonts w:cs="Arial"/>
                <w:sz w:val="18"/>
                <w:szCs w:val="18"/>
              </w:rPr>
            </w:pPr>
            <w:r w:rsidRPr="006C439B">
              <w:rPr>
                <w:rFonts w:cs="Arial"/>
                <w:sz w:val="18"/>
                <w:szCs w:val="18"/>
              </w:rPr>
              <w:lastRenderedPageBreak/>
              <w:t>Pavimentación</w:t>
            </w:r>
          </w:p>
        </w:tc>
        <w:tc>
          <w:tcPr>
            <w:tcW w:w="1343" w:type="dxa"/>
          </w:tcPr>
          <w:p w14:paraId="48D23E19" w14:textId="77777777" w:rsidR="00EC118C" w:rsidRPr="006C439B" w:rsidRDefault="00EC118C" w:rsidP="00B205BA">
            <w:pPr>
              <w:spacing w:after="120" w:line="240" w:lineRule="auto"/>
              <w:jc w:val="right"/>
              <w:rPr>
                <w:rFonts w:cs="Arial"/>
                <w:sz w:val="18"/>
                <w:szCs w:val="18"/>
              </w:rPr>
            </w:pPr>
            <w:r w:rsidRPr="006C439B">
              <w:rPr>
                <w:rFonts w:cs="Arial"/>
                <w:sz w:val="18"/>
                <w:szCs w:val="18"/>
              </w:rPr>
              <w:t>48.78</w:t>
            </w:r>
          </w:p>
        </w:tc>
        <w:tc>
          <w:tcPr>
            <w:tcW w:w="1803" w:type="dxa"/>
          </w:tcPr>
          <w:p w14:paraId="44A5181A" w14:textId="77777777" w:rsidR="00EC118C" w:rsidRPr="006C439B" w:rsidRDefault="00EC118C" w:rsidP="00B205BA">
            <w:pPr>
              <w:spacing w:after="120" w:line="240" w:lineRule="auto"/>
              <w:jc w:val="right"/>
              <w:rPr>
                <w:rFonts w:cs="Arial"/>
                <w:sz w:val="18"/>
                <w:szCs w:val="18"/>
              </w:rPr>
            </w:pPr>
            <w:r w:rsidRPr="006C439B">
              <w:rPr>
                <w:rFonts w:cs="Arial"/>
                <w:sz w:val="18"/>
                <w:szCs w:val="18"/>
              </w:rPr>
              <w:t>25.0</w:t>
            </w:r>
          </w:p>
        </w:tc>
        <w:tc>
          <w:tcPr>
            <w:tcW w:w="1827" w:type="dxa"/>
          </w:tcPr>
          <w:p w14:paraId="0C9A812E" w14:textId="77777777" w:rsidR="00EC118C" w:rsidRPr="006C439B" w:rsidRDefault="00EC118C" w:rsidP="00B205BA">
            <w:pPr>
              <w:spacing w:after="120" w:line="240" w:lineRule="auto"/>
              <w:jc w:val="right"/>
              <w:rPr>
                <w:rFonts w:cs="Arial"/>
                <w:sz w:val="18"/>
                <w:szCs w:val="18"/>
              </w:rPr>
            </w:pPr>
            <w:r w:rsidRPr="006C439B">
              <w:rPr>
                <w:rFonts w:cs="Arial"/>
                <w:sz w:val="18"/>
                <w:szCs w:val="18"/>
              </w:rPr>
              <w:t>6.50</w:t>
            </w:r>
          </w:p>
        </w:tc>
      </w:tr>
      <w:tr w:rsidR="00EC118C" w:rsidRPr="006C439B" w14:paraId="037412C4" w14:textId="77777777" w:rsidTr="000635AB">
        <w:trPr>
          <w:trHeight w:val="229"/>
          <w:jc w:val="center"/>
        </w:trPr>
        <w:tc>
          <w:tcPr>
            <w:tcW w:w="2823" w:type="dxa"/>
          </w:tcPr>
          <w:p w14:paraId="0DF2B3C3" w14:textId="77777777" w:rsidR="00EC118C" w:rsidRPr="006C439B" w:rsidRDefault="00EC118C" w:rsidP="00B205BA">
            <w:pPr>
              <w:spacing w:after="120" w:line="240" w:lineRule="auto"/>
              <w:rPr>
                <w:rFonts w:cs="Arial"/>
                <w:sz w:val="18"/>
                <w:szCs w:val="18"/>
              </w:rPr>
            </w:pPr>
            <w:r w:rsidRPr="006C439B">
              <w:rPr>
                <w:rFonts w:cs="Arial"/>
                <w:sz w:val="18"/>
                <w:szCs w:val="18"/>
              </w:rPr>
              <w:t xml:space="preserve">Transporte Público </w:t>
            </w:r>
          </w:p>
        </w:tc>
        <w:tc>
          <w:tcPr>
            <w:tcW w:w="1343" w:type="dxa"/>
          </w:tcPr>
          <w:p w14:paraId="32E6F2CB" w14:textId="77777777" w:rsidR="00EC118C" w:rsidRPr="006C439B" w:rsidRDefault="00EC118C" w:rsidP="00B205BA">
            <w:pPr>
              <w:spacing w:after="120" w:line="240" w:lineRule="auto"/>
              <w:jc w:val="right"/>
              <w:rPr>
                <w:rFonts w:cs="Arial"/>
                <w:sz w:val="18"/>
                <w:szCs w:val="18"/>
              </w:rPr>
            </w:pPr>
            <w:r w:rsidRPr="006C439B">
              <w:rPr>
                <w:rFonts w:cs="Arial"/>
                <w:sz w:val="18"/>
                <w:szCs w:val="18"/>
              </w:rPr>
              <w:t>14.19</w:t>
            </w:r>
          </w:p>
        </w:tc>
        <w:tc>
          <w:tcPr>
            <w:tcW w:w="1803" w:type="dxa"/>
          </w:tcPr>
          <w:p w14:paraId="60FD1D00" w14:textId="77777777" w:rsidR="00EC118C" w:rsidRPr="006C439B" w:rsidRDefault="00EC118C" w:rsidP="00B205BA">
            <w:pPr>
              <w:spacing w:after="120" w:line="240" w:lineRule="auto"/>
              <w:jc w:val="right"/>
              <w:rPr>
                <w:rFonts w:cs="Arial"/>
                <w:sz w:val="18"/>
                <w:szCs w:val="18"/>
              </w:rPr>
            </w:pPr>
            <w:r w:rsidRPr="006C439B">
              <w:rPr>
                <w:rFonts w:cs="Arial"/>
                <w:sz w:val="18"/>
                <w:szCs w:val="18"/>
              </w:rPr>
              <w:t>0</w:t>
            </w:r>
          </w:p>
        </w:tc>
        <w:tc>
          <w:tcPr>
            <w:tcW w:w="1827" w:type="dxa"/>
          </w:tcPr>
          <w:p w14:paraId="694E7F3C" w14:textId="77777777" w:rsidR="00EC118C" w:rsidRPr="006C439B" w:rsidRDefault="00EC118C" w:rsidP="00B205BA">
            <w:pPr>
              <w:spacing w:after="120" w:line="240" w:lineRule="auto"/>
              <w:jc w:val="right"/>
              <w:rPr>
                <w:rFonts w:cs="Arial"/>
                <w:sz w:val="18"/>
                <w:szCs w:val="18"/>
              </w:rPr>
            </w:pPr>
            <w:r w:rsidRPr="006C439B">
              <w:rPr>
                <w:rFonts w:cs="Arial"/>
                <w:sz w:val="18"/>
                <w:szCs w:val="18"/>
              </w:rPr>
              <w:t>0</w:t>
            </w:r>
          </w:p>
        </w:tc>
      </w:tr>
      <w:tr w:rsidR="00EC118C" w:rsidRPr="006C439B" w14:paraId="0A34D9C9" w14:textId="77777777" w:rsidTr="000635AB">
        <w:trPr>
          <w:trHeight w:val="229"/>
          <w:jc w:val="center"/>
        </w:trPr>
        <w:tc>
          <w:tcPr>
            <w:tcW w:w="2823" w:type="dxa"/>
          </w:tcPr>
          <w:p w14:paraId="1700A73F" w14:textId="77777777" w:rsidR="00EC118C" w:rsidRPr="006C439B" w:rsidRDefault="00EC118C" w:rsidP="00B205BA">
            <w:pPr>
              <w:spacing w:after="120" w:line="240" w:lineRule="auto"/>
              <w:rPr>
                <w:rFonts w:cs="Arial"/>
                <w:sz w:val="18"/>
                <w:szCs w:val="18"/>
              </w:rPr>
            </w:pPr>
            <w:r w:rsidRPr="006C439B">
              <w:rPr>
                <w:rFonts w:cs="Arial"/>
                <w:sz w:val="18"/>
                <w:szCs w:val="18"/>
              </w:rPr>
              <w:t xml:space="preserve">Recolección de Basura </w:t>
            </w:r>
          </w:p>
        </w:tc>
        <w:tc>
          <w:tcPr>
            <w:tcW w:w="1343" w:type="dxa"/>
          </w:tcPr>
          <w:p w14:paraId="0F1CDEA7" w14:textId="77777777" w:rsidR="00EC118C" w:rsidRPr="006C439B" w:rsidRDefault="00EC118C" w:rsidP="00B205BA">
            <w:pPr>
              <w:spacing w:after="120" w:line="240" w:lineRule="auto"/>
              <w:jc w:val="right"/>
              <w:rPr>
                <w:rFonts w:cs="Arial"/>
                <w:sz w:val="18"/>
                <w:szCs w:val="18"/>
              </w:rPr>
            </w:pPr>
            <w:r w:rsidRPr="006C439B">
              <w:rPr>
                <w:rFonts w:cs="Arial"/>
                <w:sz w:val="18"/>
                <w:szCs w:val="18"/>
              </w:rPr>
              <w:t>86.82</w:t>
            </w:r>
          </w:p>
        </w:tc>
        <w:tc>
          <w:tcPr>
            <w:tcW w:w="1803" w:type="dxa"/>
          </w:tcPr>
          <w:p w14:paraId="61965A13" w14:textId="77777777" w:rsidR="00EC118C" w:rsidRPr="006C439B" w:rsidRDefault="00EC118C" w:rsidP="00B205BA">
            <w:pPr>
              <w:spacing w:after="120" w:line="240" w:lineRule="auto"/>
              <w:jc w:val="right"/>
              <w:rPr>
                <w:rFonts w:cs="Arial"/>
                <w:sz w:val="18"/>
                <w:szCs w:val="18"/>
              </w:rPr>
            </w:pPr>
            <w:r w:rsidRPr="006C439B">
              <w:rPr>
                <w:rFonts w:cs="Arial"/>
                <w:sz w:val="18"/>
                <w:szCs w:val="18"/>
              </w:rPr>
              <w:t>0</w:t>
            </w:r>
          </w:p>
        </w:tc>
        <w:tc>
          <w:tcPr>
            <w:tcW w:w="1827" w:type="dxa"/>
          </w:tcPr>
          <w:p w14:paraId="600A6796" w14:textId="77777777" w:rsidR="00EC118C" w:rsidRPr="006C439B" w:rsidRDefault="00EC118C" w:rsidP="00B205BA">
            <w:pPr>
              <w:spacing w:after="120" w:line="240" w:lineRule="auto"/>
              <w:jc w:val="right"/>
              <w:rPr>
                <w:rFonts w:cs="Arial"/>
                <w:sz w:val="18"/>
                <w:szCs w:val="18"/>
              </w:rPr>
            </w:pPr>
            <w:r w:rsidRPr="006C439B">
              <w:rPr>
                <w:rFonts w:cs="Arial"/>
                <w:sz w:val="18"/>
                <w:szCs w:val="18"/>
              </w:rPr>
              <w:t>0</w:t>
            </w:r>
          </w:p>
        </w:tc>
      </w:tr>
    </w:tbl>
    <w:p w14:paraId="3083EEC4" w14:textId="506B9B2F" w:rsidR="00A033CE" w:rsidRPr="00A033CE" w:rsidRDefault="00EC118C" w:rsidP="00A033CE">
      <w:pPr>
        <w:pStyle w:val="NormalWeb"/>
        <w:spacing w:after="120" w:afterAutospacing="0"/>
        <w:ind w:firstLine="426"/>
        <w:rPr>
          <w:rFonts w:ascii="Arial" w:hAnsi="Arial" w:cs="Arial"/>
          <w:sz w:val="16"/>
          <w:szCs w:val="16"/>
        </w:rPr>
      </w:pPr>
      <w:r w:rsidRPr="009B7E39">
        <w:rPr>
          <w:rFonts w:ascii="Arial" w:hAnsi="Arial" w:cs="Arial"/>
          <w:sz w:val="16"/>
          <w:szCs w:val="16"/>
        </w:rPr>
        <w:t>Fuente: Programa Municipal de Desarrollo Urbano</w:t>
      </w:r>
      <w:r>
        <w:rPr>
          <w:rFonts w:ascii="Arial" w:hAnsi="Arial" w:cs="Arial"/>
          <w:sz w:val="16"/>
          <w:szCs w:val="16"/>
        </w:rPr>
        <w:t xml:space="preserve"> de Hermosillo 2023 (IMPLAN, 2023).</w:t>
      </w:r>
    </w:p>
    <w:p w14:paraId="5F48AF59" w14:textId="77777777" w:rsidR="00EC118C" w:rsidRDefault="00EC118C" w:rsidP="00B205BA">
      <w:pPr>
        <w:spacing w:after="120" w:line="240" w:lineRule="auto"/>
        <w:rPr>
          <w:rFonts w:cs="Arial"/>
        </w:rPr>
      </w:pPr>
      <w:r w:rsidRPr="00F063C1">
        <w:rPr>
          <w:rFonts w:cs="Arial"/>
        </w:rPr>
        <w:t>Para cumplir con lo establecido en la Ley de Ordenamiento Territorial y Desarrollo Urbano, es necesario aumentar la proporción de espacios verdes vegetados y arborizados, lo que implica pasar de 2.7 metros cuadrados por persona a 15 metros cuadrados.</w:t>
      </w:r>
      <w:r>
        <w:rPr>
          <w:rFonts w:cs="Arial"/>
        </w:rPr>
        <w:t xml:space="preserve"> </w:t>
      </w:r>
      <w:r w:rsidRPr="00F063C1">
        <w:rPr>
          <w:rFonts w:cs="Arial"/>
        </w:rPr>
        <w:t>Esto requiere planificación estratégica y estudios para determinar la ubicación de estos espacios en las áreas con mayor déficit de zonas verdes</w:t>
      </w:r>
      <w:r>
        <w:rPr>
          <w:rFonts w:cs="Arial"/>
        </w:rPr>
        <w:t>.</w:t>
      </w:r>
    </w:p>
    <w:p w14:paraId="3F6C8C3D" w14:textId="4B2D4CF0" w:rsidR="00EC118C" w:rsidRDefault="00EC118C" w:rsidP="00B205BA">
      <w:pPr>
        <w:spacing w:after="120" w:line="240" w:lineRule="auto"/>
        <w:rPr>
          <w:rFonts w:cs="Arial"/>
        </w:rPr>
      </w:pPr>
      <w:r>
        <w:rPr>
          <w:rFonts w:cs="Arial"/>
        </w:rPr>
        <w:t>Estos espacios contribuirán</w:t>
      </w:r>
      <w:r w:rsidRPr="00F063C1">
        <w:rPr>
          <w:rFonts w:cs="Arial"/>
        </w:rPr>
        <w:t xml:space="preserve"> a mejorar las condiciones ambientales mediante los servicios ecosistémicos que pueden ofrecer, como el control de escurrimientos, la reducción de contaminantes, la retención de nutrientes en el suelo, la prevención de la erosión, la disminución de las islas de calor urbano, la conservación de la biodiversidad y la mejora de las condiciones de salud. </w:t>
      </w:r>
    </w:p>
    <w:p w14:paraId="3C3C1A8D" w14:textId="23ED7E7D" w:rsidR="00EC118C" w:rsidRDefault="00EC118C" w:rsidP="00A033CE">
      <w:pPr>
        <w:spacing w:after="120" w:line="240" w:lineRule="auto"/>
        <w:rPr>
          <w:rFonts w:cs="Arial"/>
        </w:rPr>
      </w:pPr>
      <w:r w:rsidRPr="00F063C1">
        <w:rPr>
          <w:rFonts w:cs="Arial"/>
        </w:rPr>
        <w:t xml:space="preserve">Además, deben ser espacios recreativos accesibles que promuevan </w:t>
      </w:r>
      <w:r>
        <w:rPr>
          <w:rFonts w:cs="Arial"/>
        </w:rPr>
        <w:t>la socialización</w:t>
      </w:r>
      <w:r w:rsidRPr="00F063C1">
        <w:rPr>
          <w:rFonts w:cs="Arial"/>
        </w:rPr>
        <w:t xml:space="preserve"> y fortalezcan la identidad comunitaria. Es igualmente importante establecer y ubicar espacios verdes de escala sectorial que puedan constituirse como parques urbanos dentro de los centros de población.</w:t>
      </w:r>
    </w:p>
    <w:p w14:paraId="007C08E3" w14:textId="77777777" w:rsidR="00EC118C" w:rsidRPr="00EC118C" w:rsidRDefault="00EC118C" w:rsidP="00B205BA">
      <w:pPr>
        <w:spacing w:after="120" w:line="240" w:lineRule="auto"/>
        <w:ind w:right="474"/>
        <w:rPr>
          <w:rFonts w:cs="Arial"/>
        </w:rPr>
      </w:pPr>
      <w:r w:rsidRPr="00EC118C">
        <w:rPr>
          <w:rFonts w:cs="Arial"/>
        </w:rPr>
        <w:t>b) Vialidades y vías peatonales</w:t>
      </w:r>
    </w:p>
    <w:p w14:paraId="57613596" w14:textId="691A3914" w:rsidR="00EC118C" w:rsidRDefault="00EC118C" w:rsidP="00B205BA">
      <w:pPr>
        <w:pStyle w:val="NormalWeb"/>
        <w:spacing w:before="0" w:beforeAutospacing="0" w:after="120" w:afterAutospacing="0"/>
        <w:jc w:val="both"/>
        <w:rPr>
          <w:rFonts w:ascii="Arial" w:hAnsi="Arial" w:cs="Arial"/>
          <w:sz w:val="22"/>
          <w:szCs w:val="22"/>
        </w:rPr>
      </w:pPr>
      <w:r w:rsidRPr="008A26AB">
        <w:rPr>
          <w:rFonts w:ascii="Arial" w:hAnsi="Arial" w:cs="Arial"/>
          <w:sz w:val="22"/>
          <w:szCs w:val="22"/>
        </w:rPr>
        <w:t xml:space="preserve">En cuanto al subsistema de vialidades en el municipio, se estableció una jerarquía </w:t>
      </w:r>
      <w:r>
        <w:rPr>
          <w:rFonts w:ascii="Arial" w:hAnsi="Arial" w:cs="Arial"/>
          <w:sz w:val="22"/>
          <w:szCs w:val="22"/>
        </w:rPr>
        <w:t>acorde</w:t>
      </w:r>
      <w:r w:rsidRPr="008A26AB">
        <w:rPr>
          <w:rFonts w:ascii="Arial" w:hAnsi="Arial" w:cs="Arial"/>
          <w:sz w:val="22"/>
          <w:szCs w:val="22"/>
        </w:rPr>
        <w:t xml:space="preserve"> </w:t>
      </w:r>
      <w:r>
        <w:rPr>
          <w:rFonts w:ascii="Arial" w:hAnsi="Arial" w:cs="Arial"/>
          <w:sz w:val="22"/>
          <w:szCs w:val="22"/>
        </w:rPr>
        <w:t>con</w:t>
      </w:r>
      <w:r w:rsidRPr="008A26AB">
        <w:rPr>
          <w:rFonts w:ascii="Arial" w:hAnsi="Arial" w:cs="Arial"/>
          <w:sz w:val="22"/>
          <w:szCs w:val="22"/>
        </w:rPr>
        <w:t xml:space="preserve"> la Ley General de Movilidad y Seguridad Vial</w:t>
      </w:r>
      <w:r>
        <w:rPr>
          <w:rFonts w:ascii="Arial" w:hAnsi="Arial" w:cs="Arial"/>
          <w:sz w:val="22"/>
          <w:szCs w:val="22"/>
        </w:rPr>
        <w:t>, con la cual se determina su diseño, capacidad y funcionalidad en la estructura urbana de los asentamientos, así como las regulaciones de velocidad y elementos constructivos para lograr la movilidad inclusiva y sostenible.</w:t>
      </w:r>
    </w:p>
    <w:tbl>
      <w:tblPr>
        <w:tblStyle w:val="Tablaconcuadrculaclara"/>
        <w:tblW w:w="0" w:type="auto"/>
        <w:tblLook w:val="04A0" w:firstRow="1" w:lastRow="0" w:firstColumn="1" w:lastColumn="0" w:noHBand="0" w:noVBand="1"/>
      </w:tblPr>
      <w:tblGrid>
        <w:gridCol w:w="1555"/>
        <w:gridCol w:w="6940"/>
      </w:tblGrid>
      <w:tr w:rsidR="00EC118C" w14:paraId="23306925" w14:textId="77777777" w:rsidTr="000635AB">
        <w:tc>
          <w:tcPr>
            <w:tcW w:w="8495" w:type="dxa"/>
            <w:gridSpan w:val="2"/>
            <w:shd w:val="clear" w:color="auto" w:fill="ED7D31" w:themeFill="accent2"/>
          </w:tcPr>
          <w:p w14:paraId="4751AB96" w14:textId="721AA712" w:rsidR="00EC118C" w:rsidRPr="0060683F" w:rsidRDefault="00EC118C" w:rsidP="00B205BA">
            <w:pPr>
              <w:pStyle w:val="NormalWeb"/>
              <w:spacing w:before="0" w:beforeAutospacing="0" w:after="120" w:afterAutospacing="0"/>
              <w:jc w:val="center"/>
              <w:rPr>
                <w:rFonts w:ascii="Arial" w:hAnsi="Arial" w:cs="Arial"/>
                <w:b/>
                <w:bCs/>
                <w:color w:val="FFFFFF" w:themeColor="background1"/>
                <w:sz w:val="22"/>
                <w:szCs w:val="22"/>
              </w:rPr>
            </w:pPr>
            <w:r w:rsidRPr="005D0FAF">
              <w:rPr>
                <w:rFonts w:ascii="Arial" w:hAnsi="Arial" w:cs="Arial"/>
                <w:b/>
                <w:bCs/>
                <w:color w:val="FFFFFF" w:themeColor="background1"/>
                <w:sz w:val="18"/>
                <w:szCs w:val="18"/>
              </w:rPr>
              <w:t>TABLA 4. TIPOLOGÍA DE VIALIDADES</w:t>
            </w:r>
            <w:r w:rsidR="0086730D">
              <w:rPr>
                <w:rFonts w:ascii="Arial" w:hAnsi="Arial" w:cs="Arial"/>
                <w:b/>
                <w:bCs/>
                <w:color w:val="FFFFFF" w:themeColor="background1"/>
                <w:sz w:val="18"/>
                <w:szCs w:val="18"/>
              </w:rPr>
              <w:t>.</w:t>
            </w:r>
          </w:p>
        </w:tc>
      </w:tr>
      <w:tr w:rsidR="00EC118C" w14:paraId="60F73FE8" w14:textId="77777777" w:rsidTr="000635AB">
        <w:tc>
          <w:tcPr>
            <w:tcW w:w="1555" w:type="dxa"/>
            <w:vAlign w:val="center"/>
          </w:tcPr>
          <w:p w14:paraId="133E6724" w14:textId="77777777" w:rsidR="00EC118C" w:rsidRPr="0060683F" w:rsidRDefault="00EC118C" w:rsidP="00B205BA">
            <w:pPr>
              <w:pStyle w:val="NormalWeb"/>
              <w:spacing w:before="0" w:beforeAutospacing="0" w:after="120" w:afterAutospacing="0"/>
              <w:jc w:val="center"/>
              <w:rPr>
                <w:sz w:val="20"/>
                <w:szCs w:val="20"/>
              </w:rPr>
            </w:pPr>
          </w:p>
          <w:p w14:paraId="5C079A7B" w14:textId="77777777" w:rsidR="00EC118C" w:rsidRPr="0060683F" w:rsidRDefault="00EC118C" w:rsidP="00B205BA">
            <w:pPr>
              <w:pStyle w:val="NormalWeb"/>
              <w:spacing w:before="0" w:beforeAutospacing="0" w:after="120" w:afterAutospacing="0"/>
              <w:jc w:val="center"/>
              <w:rPr>
                <w:rFonts w:ascii="Arial" w:hAnsi="Arial" w:cs="Arial"/>
                <w:sz w:val="20"/>
                <w:szCs w:val="20"/>
              </w:rPr>
            </w:pPr>
            <w:r w:rsidRPr="0060683F">
              <w:rPr>
                <w:rFonts w:ascii="Arial" w:hAnsi="Arial" w:cs="Arial"/>
                <w:sz w:val="20"/>
                <w:szCs w:val="20"/>
              </w:rPr>
              <w:t>Primarias</w:t>
            </w:r>
          </w:p>
        </w:tc>
        <w:tc>
          <w:tcPr>
            <w:tcW w:w="6940" w:type="dxa"/>
          </w:tcPr>
          <w:p w14:paraId="2ABE48B0" w14:textId="77777777" w:rsidR="00EC118C" w:rsidRPr="0041736F" w:rsidRDefault="00EC118C" w:rsidP="00B205BA">
            <w:pPr>
              <w:pStyle w:val="NormalWeb"/>
              <w:spacing w:before="0" w:beforeAutospacing="0" w:after="120" w:afterAutospacing="0"/>
              <w:jc w:val="both"/>
              <w:rPr>
                <w:rFonts w:ascii="Arial" w:hAnsi="Arial" w:cs="Arial"/>
                <w:b/>
                <w:bCs/>
                <w:sz w:val="20"/>
                <w:szCs w:val="20"/>
              </w:rPr>
            </w:pPr>
            <w:r>
              <w:rPr>
                <w:rFonts w:ascii="Arial" w:hAnsi="Arial" w:cs="Arial"/>
                <w:sz w:val="20"/>
                <w:szCs w:val="20"/>
              </w:rPr>
              <w:t>V</w:t>
            </w:r>
            <w:r w:rsidRPr="0041736F">
              <w:rPr>
                <w:rFonts w:ascii="Arial" w:hAnsi="Arial" w:cs="Arial"/>
                <w:sz w:val="20"/>
                <w:szCs w:val="20"/>
              </w:rPr>
              <w:t xml:space="preserve">ías de alta capacidad que permiten el flujo del tránsito vehicular continuo o controlado entre las distintas áreas de la ciudad. </w:t>
            </w:r>
          </w:p>
        </w:tc>
      </w:tr>
      <w:tr w:rsidR="00EC118C" w14:paraId="17AD00D7" w14:textId="77777777" w:rsidTr="000635AB">
        <w:tc>
          <w:tcPr>
            <w:tcW w:w="1555" w:type="dxa"/>
            <w:vAlign w:val="center"/>
          </w:tcPr>
          <w:p w14:paraId="085B9B6C" w14:textId="77777777" w:rsidR="00EC118C" w:rsidRPr="0060683F" w:rsidRDefault="00EC118C" w:rsidP="00B205BA">
            <w:pPr>
              <w:pStyle w:val="NormalWeb"/>
              <w:spacing w:before="0" w:beforeAutospacing="0" w:after="120" w:afterAutospacing="0"/>
              <w:jc w:val="center"/>
              <w:rPr>
                <w:rFonts w:ascii="Arial" w:hAnsi="Arial" w:cs="Arial"/>
                <w:sz w:val="20"/>
                <w:szCs w:val="20"/>
              </w:rPr>
            </w:pPr>
            <w:r w:rsidRPr="0060683F">
              <w:rPr>
                <w:rFonts w:ascii="Arial" w:hAnsi="Arial" w:cs="Arial"/>
                <w:sz w:val="20"/>
                <w:szCs w:val="20"/>
              </w:rPr>
              <w:t>Secundarias</w:t>
            </w:r>
          </w:p>
        </w:tc>
        <w:tc>
          <w:tcPr>
            <w:tcW w:w="6940" w:type="dxa"/>
          </w:tcPr>
          <w:p w14:paraId="3D66468A" w14:textId="77777777" w:rsidR="00EC118C" w:rsidRPr="0041736F" w:rsidRDefault="00EC118C" w:rsidP="00B205BA">
            <w:pPr>
              <w:pStyle w:val="NormalWeb"/>
              <w:spacing w:before="0" w:beforeAutospacing="0" w:after="120" w:afterAutospacing="0"/>
              <w:jc w:val="both"/>
              <w:rPr>
                <w:rFonts w:ascii="Arial" w:hAnsi="Arial" w:cs="Arial"/>
                <w:b/>
                <w:bCs/>
                <w:sz w:val="20"/>
                <w:szCs w:val="20"/>
              </w:rPr>
            </w:pPr>
            <w:r>
              <w:rPr>
                <w:rFonts w:ascii="Arial" w:hAnsi="Arial" w:cs="Arial"/>
                <w:sz w:val="20"/>
                <w:szCs w:val="20"/>
              </w:rPr>
              <w:t>V</w:t>
            </w:r>
            <w:r w:rsidRPr="0041736F">
              <w:rPr>
                <w:rFonts w:ascii="Arial" w:hAnsi="Arial" w:cs="Arial"/>
                <w:sz w:val="20"/>
                <w:szCs w:val="20"/>
              </w:rPr>
              <w:t xml:space="preserve">ías cuya función es conectar las vías locales con las primarias. Aunque tienen generalmente una sección más reducida que las calles primarias, por su capacidad vial son las calles principales dentro de los barrios y colonias, </w:t>
            </w:r>
            <w:r>
              <w:rPr>
                <w:rFonts w:ascii="Arial" w:hAnsi="Arial" w:cs="Arial"/>
                <w:sz w:val="20"/>
                <w:szCs w:val="20"/>
              </w:rPr>
              <w:t>aunque</w:t>
            </w:r>
            <w:r w:rsidRPr="0041736F">
              <w:rPr>
                <w:rFonts w:ascii="Arial" w:hAnsi="Arial" w:cs="Arial"/>
                <w:sz w:val="20"/>
                <w:szCs w:val="20"/>
              </w:rPr>
              <w:t xml:space="preserve"> presentan una dinámica distinta al tener mayor movimiento de vueltas, estacionamiento, así como carga y descarga de mercancías. </w:t>
            </w:r>
          </w:p>
        </w:tc>
      </w:tr>
      <w:tr w:rsidR="00EC118C" w14:paraId="332CFEDE" w14:textId="77777777" w:rsidTr="000635AB">
        <w:tc>
          <w:tcPr>
            <w:tcW w:w="1555" w:type="dxa"/>
            <w:vAlign w:val="center"/>
          </w:tcPr>
          <w:p w14:paraId="6305F060" w14:textId="77777777" w:rsidR="00EC118C" w:rsidRPr="0060683F" w:rsidRDefault="00EC118C" w:rsidP="00B205BA">
            <w:pPr>
              <w:pStyle w:val="NormalWeb"/>
              <w:spacing w:before="0" w:beforeAutospacing="0" w:after="120" w:afterAutospacing="0"/>
              <w:jc w:val="center"/>
              <w:rPr>
                <w:rFonts w:ascii="Arial" w:hAnsi="Arial" w:cs="Arial"/>
                <w:sz w:val="20"/>
                <w:szCs w:val="20"/>
              </w:rPr>
            </w:pPr>
            <w:r w:rsidRPr="0060683F">
              <w:rPr>
                <w:rFonts w:ascii="Arial" w:hAnsi="Arial" w:cs="Arial"/>
                <w:sz w:val="20"/>
                <w:szCs w:val="20"/>
              </w:rPr>
              <w:t>Terciarias</w:t>
            </w:r>
          </w:p>
        </w:tc>
        <w:tc>
          <w:tcPr>
            <w:tcW w:w="6940" w:type="dxa"/>
          </w:tcPr>
          <w:p w14:paraId="75E37C85" w14:textId="77777777" w:rsidR="00EC118C" w:rsidRPr="0041736F" w:rsidRDefault="00EC118C" w:rsidP="00B205BA">
            <w:pPr>
              <w:pStyle w:val="NormalWeb"/>
              <w:spacing w:before="0" w:beforeAutospacing="0" w:after="120" w:afterAutospacing="0"/>
              <w:jc w:val="both"/>
              <w:rPr>
                <w:rFonts w:ascii="Arial" w:hAnsi="Arial" w:cs="Arial"/>
                <w:b/>
                <w:bCs/>
                <w:sz w:val="20"/>
                <w:szCs w:val="20"/>
              </w:rPr>
            </w:pPr>
            <w:r w:rsidRPr="0041736F">
              <w:rPr>
                <w:rFonts w:ascii="Arial" w:hAnsi="Arial" w:cs="Arial"/>
                <w:sz w:val="20"/>
                <w:szCs w:val="20"/>
              </w:rPr>
              <w:t xml:space="preserve">Con un carácter estrictamente local, su función primordial es brindar acceso a los predios dentro de los barrios y las colonias. Facilitan el tránsito entre la red primaria y colectora. Los volúmenes, velocidades y capacidad vial son los más reducidos dentro de la red vial y generalmente las intersecciones no están semaforizadas. </w:t>
            </w:r>
          </w:p>
        </w:tc>
      </w:tr>
      <w:tr w:rsidR="00EC118C" w14:paraId="5EF59DD9" w14:textId="77777777" w:rsidTr="000635AB">
        <w:tc>
          <w:tcPr>
            <w:tcW w:w="1555" w:type="dxa"/>
            <w:vAlign w:val="center"/>
          </w:tcPr>
          <w:p w14:paraId="603A4A90" w14:textId="77777777" w:rsidR="00EC118C" w:rsidRPr="0060683F" w:rsidRDefault="00EC118C" w:rsidP="00B205BA">
            <w:pPr>
              <w:pStyle w:val="NormalWeb"/>
              <w:spacing w:before="0" w:beforeAutospacing="0" w:after="120" w:afterAutospacing="0"/>
              <w:jc w:val="center"/>
              <w:rPr>
                <w:rFonts w:ascii="Arial" w:hAnsi="Arial" w:cs="Arial"/>
                <w:sz w:val="20"/>
                <w:szCs w:val="20"/>
              </w:rPr>
            </w:pPr>
            <w:r w:rsidRPr="0060683F">
              <w:rPr>
                <w:rFonts w:ascii="Arial" w:hAnsi="Arial" w:cs="Arial"/>
                <w:sz w:val="20"/>
                <w:szCs w:val="20"/>
              </w:rPr>
              <w:t xml:space="preserve">Pares </w:t>
            </w:r>
            <w:r>
              <w:rPr>
                <w:rFonts w:ascii="Arial" w:hAnsi="Arial" w:cs="Arial"/>
                <w:sz w:val="20"/>
                <w:szCs w:val="20"/>
              </w:rPr>
              <w:t>v</w:t>
            </w:r>
            <w:r w:rsidRPr="0060683F">
              <w:rPr>
                <w:rFonts w:ascii="Arial" w:hAnsi="Arial" w:cs="Arial"/>
                <w:sz w:val="20"/>
                <w:szCs w:val="20"/>
              </w:rPr>
              <w:t>iales</w:t>
            </w:r>
          </w:p>
        </w:tc>
        <w:tc>
          <w:tcPr>
            <w:tcW w:w="6940" w:type="dxa"/>
          </w:tcPr>
          <w:p w14:paraId="374B4DD4" w14:textId="77777777" w:rsidR="00EC118C" w:rsidRPr="0041736F" w:rsidRDefault="00EC118C" w:rsidP="00B205BA">
            <w:pPr>
              <w:pStyle w:val="NormalWeb"/>
              <w:spacing w:before="0" w:beforeAutospacing="0" w:after="120" w:afterAutospacing="0"/>
              <w:jc w:val="both"/>
              <w:rPr>
                <w:rFonts w:ascii="Arial" w:hAnsi="Arial" w:cs="Arial"/>
                <w:b/>
                <w:bCs/>
                <w:sz w:val="20"/>
                <w:szCs w:val="20"/>
              </w:rPr>
            </w:pPr>
            <w:r>
              <w:rPr>
                <w:rFonts w:ascii="Arial" w:hAnsi="Arial" w:cs="Arial"/>
                <w:sz w:val="20"/>
                <w:szCs w:val="20"/>
              </w:rPr>
              <w:t>V</w:t>
            </w:r>
            <w:r w:rsidRPr="0041736F">
              <w:rPr>
                <w:rFonts w:ascii="Arial" w:hAnsi="Arial" w:cs="Arial"/>
                <w:sz w:val="20"/>
                <w:szCs w:val="20"/>
              </w:rPr>
              <w:t>ialidades de circulación única organizadas en un sistema de calles paralelas y que tienen el objeto de agilizar los flujos vehiculares.</w:t>
            </w:r>
          </w:p>
        </w:tc>
      </w:tr>
      <w:tr w:rsidR="00EC118C" w14:paraId="04F65B1A" w14:textId="77777777" w:rsidTr="000635AB">
        <w:tc>
          <w:tcPr>
            <w:tcW w:w="1555" w:type="dxa"/>
            <w:vAlign w:val="center"/>
          </w:tcPr>
          <w:p w14:paraId="0FB573E3" w14:textId="77777777" w:rsidR="00EC118C" w:rsidRPr="0060683F" w:rsidRDefault="00EC118C" w:rsidP="00B205BA">
            <w:pPr>
              <w:pStyle w:val="NormalWeb"/>
              <w:spacing w:before="0" w:beforeAutospacing="0" w:after="120" w:afterAutospacing="0"/>
              <w:jc w:val="center"/>
              <w:rPr>
                <w:rFonts w:ascii="Arial" w:hAnsi="Arial" w:cs="Arial"/>
                <w:sz w:val="20"/>
                <w:szCs w:val="20"/>
              </w:rPr>
            </w:pPr>
            <w:r w:rsidRPr="0060683F">
              <w:rPr>
                <w:rFonts w:ascii="Arial" w:hAnsi="Arial" w:cs="Arial"/>
                <w:sz w:val="20"/>
                <w:szCs w:val="20"/>
              </w:rPr>
              <w:t xml:space="preserve">Vías </w:t>
            </w:r>
            <w:r>
              <w:rPr>
                <w:rFonts w:ascii="Arial" w:hAnsi="Arial" w:cs="Arial"/>
                <w:sz w:val="20"/>
                <w:szCs w:val="20"/>
              </w:rPr>
              <w:t>p</w:t>
            </w:r>
            <w:r w:rsidRPr="0060683F">
              <w:rPr>
                <w:rFonts w:ascii="Arial" w:hAnsi="Arial" w:cs="Arial"/>
                <w:sz w:val="20"/>
                <w:szCs w:val="20"/>
              </w:rPr>
              <w:t>eatonales</w:t>
            </w:r>
          </w:p>
        </w:tc>
        <w:tc>
          <w:tcPr>
            <w:tcW w:w="6940" w:type="dxa"/>
          </w:tcPr>
          <w:p w14:paraId="3F2B8E14" w14:textId="77777777" w:rsidR="00EC118C" w:rsidRPr="0041736F" w:rsidRDefault="00EC118C" w:rsidP="00B205BA">
            <w:pPr>
              <w:pStyle w:val="NormalWeb"/>
              <w:spacing w:before="0" w:beforeAutospacing="0" w:after="120" w:afterAutospacing="0"/>
              <w:jc w:val="both"/>
              <w:rPr>
                <w:rFonts w:ascii="Arial" w:hAnsi="Arial" w:cs="Arial"/>
                <w:sz w:val="20"/>
                <w:szCs w:val="20"/>
              </w:rPr>
            </w:pPr>
            <w:r>
              <w:rPr>
                <w:rFonts w:ascii="Arial" w:hAnsi="Arial" w:cs="Arial"/>
                <w:sz w:val="20"/>
                <w:szCs w:val="20"/>
              </w:rPr>
              <w:t>V</w:t>
            </w:r>
            <w:r w:rsidRPr="0041736F">
              <w:rPr>
                <w:rFonts w:ascii="Arial" w:hAnsi="Arial" w:cs="Arial"/>
                <w:sz w:val="20"/>
                <w:szCs w:val="20"/>
              </w:rPr>
              <w:t>ías exclusivas para personas peatonas</w:t>
            </w:r>
            <w:r>
              <w:rPr>
                <w:rFonts w:ascii="Arial" w:hAnsi="Arial" w:cs="Arial"/>
                <w:sz w:val="20"/>
                <w:szCs w:val="20"/>
              </w:rPr>
              <w:t>,</w:t>
            </w:r>
            <w:r w:rsidRPr="0041736F">
              <w:rPr>
                <w:rFonts w:ascii="Arial" w:hAnsi="Arial" w:cs="Arial"/>
                <w:sz w:val="20"/>
                <w:szCs w:val="20"/>
              </w:rPr>
              <w:t xml:space="preserve"> o </w:t>
            </w:r>
            <w:r>
              <w:rPr>
                <w:rFonts w:ascii="Arial" w:hAnsi="Arial" w:cs="Arial"/>
                <w:sz w:val="20"/>
                <w:szCs w:val="20"/>
              </w:rPr>
              <w:t xml:space="preserve">que </w:t>
            </w:r>
            <w:r w:rsidRPr="0041736F">
              <w:rPr>
                <w:rFonts w:ascii="Arial" w:hAnsi="Arial" w:cs="Arial"/>
                <w:sz w:val="20"/>
                <w:szCs w:val="20"/>
              </w:rPr>
              <w:t>restringen la circulación de vehículos particulares</w:t>
            </w:r>
            <w:r>
              <w:rPr>
                <w:rFonts w:ascii="Arial" w:hAnsi="Arial" w:cs="Arial"/>
                <w:sz w:val="20"/>
                <w:szCs w:val="20"/>
              </w:rPr>
              <w:t>,</w:t>
            </w:r>
            <w:r w:rsidRPr="0041736F">
              <w:rPr>
                <w:rFonts w:ascii="Arial" w:hAnsi="Arial" w:cs="Arial"/>
                <w:sz w:val="20"/>
                <w:szCs w:val="20"/>
              </w:rPr>
              <w:t xml:space="preserve"> o </w:t>
            </w:r>
            <w:r>
              <w:rPr>
                <w:rFonts w:ascii="Arial" w:hAnsi="Arial" w:cs="Arial"/>
                <w:sz w:val="20"/>
                <w:szCs w:val="20"/>
              </w:rPr>
              <w:t xml:space="preserve">que </w:t>
            </w:r>
            <w:r w:rsidRPr="0041736F">
              <w:rPr>
                <w:rFonts w:ascii="Arial" w:hAnsi="Arial" w:cs="Arial"/>
                <w:sz w:val="20"/>
                <w:szCs w:val="20"/>
              </w:rPr>
              <w:t>estipulan horarios para vehículos de servicio</w:t>
            </w:r>
            <w:r>
              <w:rPr>
                <w:rFonts w:ascii="Arial" w:hAnsi="Arial" w:cs="Arial"/>
                <w:sz w:val="20"/>
                <w:szCs w:val="20"/>
              </w:rPr>
              <w:t>,</w:t>
            </w:r>
            <w:r w:rsidRPr="0041736F">
              <w:rPr>
                <w:rFonts w:ascii="Arial" w:hAnsi="Arial" w:cs="Arial"/>
                <w:sz w:val="20"/>
                <w:szCs w:val="20"/>
              </w:rPr>
              <w:t xml:space="preserve"> como las calles peatonales, callejones, privadas, cerradas y malecones.</w:t>
            </w:r>
          </w:p>
        </w:tc>
      </w:tr>
    </w:tbl>
    <w:p w14:paraId="7A11B302" w14:textId="77777777" w:rsidR="00EC118C" w:rsidRPr="000635AB" w:rsidRDefault="00EC118C" w:rsidP="00B205BA">
      <w:pPr>
        <w:pStyle w:val="NormalWeb"/>
        <w:spacing w:before="0" w:beforeAutospacing="0" w:after="120" w:afterAutospacing="0"/>
        <w:jc w:val="both"/>
        <w:rPr>
          <w:rFonts w:ascii="Arial" w:hAnsi="Arial" w:cs="Arial"/>
          <w:sz w:val="18"/>
          <w:szCs w:val="18"/>
        </w:rPr>
      </w:pPr>
      <w:r w:rsidRPr="000635AB">
        <w:rPr>
          <w:rFonts w:ascii="Arial" w:hAnsi="Arial" w:cs="Arial"/>
          <w:sz w:val="18"/>
          <w:szCs w:val="18"/>
        </w:rPr>
        <w:t>Fuente: Elaboración propia con datos del IMPLAN.</w:t>
      </w:r>
    </w:p>
    <w:p w14:paraId="140D4745" w14:textId="77777777" w:rsidR="00EC118C" w:rsidRDefault="00EC118C" w:rsidP="00B205BA">
      <w:pPr>
        <w:pStyle w:val="NormalWeb"/>
        <w:spacing w:before="0" w:beforeAutospacing="0" w:after="120" w:afterAutospacing="0"/>
        <w:jc w:val="both"/>
      </w:pPr>
    </w:p>
    <w:p w14:paraId="635E00F5" w14:textId="2E0CB2E5" w:rsidR="00EC118C" w:rsidRDefault="00EC118C" w:rsidP="00B205BA">
      <w:pPr>
        <w:pStyle w:val="NormalWeb"/>
        <w:spacing w:before="0" w:beforeAutospacing="0" w:after="120" w:afterAutospacing="0"/>
        <w:jc w:val="both"/>
        <w:rPr>
          <w:rFonts w:ascii="Arial" w:hAnsi="Arial" w:cs="Arial"/>
          <w:sz w:val="22"/>
          <w:szCs w:val="22"/>
        </w:rPr>
      </w:pPr>
      <w:r w:rsidRPr="008A26AB">
        <w:rPr>
          <w:rFonts w:ascii="Arial" w:hAnsi="Arial" w:cs="Arial"/>
          <w:sz w:val="22"/>
          <w:szCs w:val="22"/>
        </w:rPr>
        <w:t xml:space="preserve">En </w:t>
      </w:r>
      <w:r>
        <w:rPr>
          <w:rFonts w:ascii="Arial" w:hAnsi="Arial" w:cs="Arial"/>
          <w:sz w:val="22"/>
          <w:szCs w:val="22"/>
        </w:rPr>
        <w:t xml:space="preserve">2023, </w:t>
      </w:r>
      <w:r w:rsidRPr="008A26AB">
        <w:rPr>
          <w:rFonts w:ascii="Arial" w:hAnsi="Arial" w:cs="Arial"/>
          <w:sz w:val="22"/>
          <w:szCs w:val="22"/>
        </w:rPr>
        <w:t xml:space="preserve">el municipio </w:t>
      </w:r>
      <w:r>
        <w:rPr>
          <w:rFonts w:ascii="Arial" w:hAnsi="Arial" w:cs="Arial"/>
          <w:sz w:val="22"/>
          <w:szCs w:val="22"/>
        </w:rPr>
        <w:t>contaba</w:t>
      </w:r>
      <w:r w:rsidRPr="008A26AB">
        <w:rPr>
          <w:rFonts w:ascii="Arial" w:hAnsi="Arial" w:cs="Arial"/>
          <w:sz w:val="22"/>
          <w:szCs w:val="22"/>
        </w:rPr>
        <w:t xml:space="preserve"> con un total</w:t>
      </w:r>
      <w:r>
        <w:rPr>
          <w:rFonts w:ascii="Arial" w:hAnsi="Arial" w:cs="Arial"/>
          <w:sz w:val="22"/>
          <w:szCs w:val="22"/>
        </w:rPr>
        <w:t xml:space="preserve"> de</w:t>
      </w:r>
      <w:r w:rsidRPr="008A26AB">
        <w:rPr>
          <w:rFonts w:ascii="Arial" w:hAnsi="Arial" w:cs="Arial"/>
          <w:sz w:val="22"/>
          <w:szCs w:val="22"/>
        </w:rPr>
        <w:t xml:space="preserve"> </w:t>
      </w:r>
      <w:r>
        <w:rPr>
          <w:rFonts w:ascii="Arial" w:hAnsi="Arial" w:cs="Arial"/>
          <w:sz w:val="22"/>
          <w:szCs w:val="22"/>
        </w:rPr>
        <w:t>4949</w:t>
      </w:r>
      <w:r w:rsidRPr="008A26AB">
        <w:rPr>
          <w:rFonts w:ascii="Arial" w:hAnsi="Arial" w:cs="Arial"/>
          <w:sz w:val="22"/>
          <w:szCs w:val="22"/>
        </w:rPr>
        <w:t xml:space="preserve"> kilómetros de vialidad construida, de </w:t>
      </w:r>
      <w:r>
        <w:rPr>
          <w:rFonts w:ascii="Arial" w:hAnsi="Arial" w:cs="Arial"/>
          <w:sz w:val="22"/>
          <w:szCs w:val="22"/>
        </w:rPr>
        <w:t>los</w:t>
      </w:r>
      <w:r w:rsidRPr="008A26AB">
        <w:rPr>
          <w:rFonts w:ascii="Arial" w:hAnsi="Arial" w:cs="Arial"/>
          <w:sz w:val="22"/>
          <w:szCs w:val="22"/>
        </w:rPr>
        <w:t xml:space="preserve"> cuales</w:t>
      </w:r>
      <w:r>
        <w:rPr>
          <w:rFonts w:ascii="Arial" w:hAnsi="Arial" w:cs="Arial"/>
          <w:sz w:val="22"/>
          <w:szCs w:val="22"/>
        </w:rPr>
        <w:t>,</w:t>
      </w:r>
      <w:r w:rsidRPr="008A26AB">
        <w:rPr>
          <w:rFonts w:ascii="Arial" w:hAnsi="Arial" w:cs="Arial"/>
          <w:sz w:val="22"/>
          <w:szCs w:val="22"/>
        </w:rPr>
        <w:t xml:space="preserve"> 10.</w:t>
      </w:r>
      <w:r>
        <w:rPr>
          <w:rFonts w:ascii="Arial" w:hAnsi="Arial" w:cs="Arial"/>
          <w:sz w:val="22"/>
          <w:szCs w:val="22"/>
        </w:rPr>
        <w:t>1</w:t>
      </w:r>
      <w:r w:rsidRPr="008A26AB">
        <w:rPr>
          <w:rFonts w:ascii="Arial" w:hAnsi="Arial" w:cs="Arial"/>
          <w:sz w:val="22"/>
          <w:szCs w:val="22"/>
        </w:rPr>
        <w:t xml:space="preserve"> kilómetros </w:t>
      </w:r>
      <w:r>
        <w:rPr>
          <w:rFonts w:ascii="Arial" w:hAnsi="Arial" w:cs="Arial"/>
          <w:sz w:val="22"/>
          <w:szCs w:val="22"/>
        </w:rPr>
        <w:t>corresponden a</w:t>
      </w:r>
      <w:r w:rsidRPr="008A26AB">
        <w:rPr>
          <w:rFonts w:ascii="Arial" w:hAnsi="Arial" w:cs="Arial"/>
          <w:sz w:val="22"/>
          <w:szCs w:val="22"/>
        </w:rPr>
        <w:t xml:space="preserve"> vialidades </w:t>
      </w:r>
      <w:r>
        <w:rPr>
          <w:rFonts w:ascii="Arial" w:hAnsi="Arial" w:cs="Arial"/>
          <w:sz w:val="22"/>
          <w:szCs w:val="22"/>
        </w:rPr>
        <w:t>peatonales</w:t>
      </w:r>
      <w:r w:rsidRPr="008A26AB">
        <w:rPr>
          <w:rFonts w:ascii="Arial" w:hAnsi="Arial" w:cs="Arial"/>
          <w:sz w:val="22"/>
          <w:szCs w:val="22"/>
        </w:rPr>
        <w:t xml:space="preserve">, </w:t>
      </w:r>
      <w:r>
        <w:rPr>
          <w:rFonts w:ascii="Arial" w:hAnsi="Arial" w:cs="Arial"/>
          <w:sz w:val="22"/>
          <w:szCs w:val="22"/>
        </w:rPr>
        <w:t xml:space="preserve">253.64 </w:t>
      </w:r>
      <w:r w:rsidRPr="008A26AB">
        <w:rPr>
          <w:rFonts w:ascii="Arial" w:hAnsi="Arial" w:cs="Arial"/>
          <w:sz w:val="22"/>
          <w:szCs w:val="22"/>
        </w:rPr>
        <w:t xml:space="preserve">kilómetros de vialidades </w:t>
      </w:r>
      <w:r>
        <w:rPr>
          <w:rFonts w:ascii="Arial" w:hAnsi="Arial" w:cs="Arial"/>
          <w:sz w:val="22"/>
          <w:szCs w:val="22"/>
        </w:rPr>
        <w:t>primarias;</w:t>
      </w:r>
      <w:r w:rsidRPr="008A26AB">
        <w:rPr>
          <w:rFonts w:ascii="Arial" w:hAnsi="Arial" w:cs="Arial"/>
          <w:sz w:val="22"/>
          <w:szCs w:val="22"/>
        </w:rPr>
        <w:t xml:space="preserve"> </w:t>
      </w:r>
      <w:r>
        <w:rPr>
          <w:rFonts w:ascii="Arial" w:hAnsi="Arial" w:cs="Arial"/>
          <w:sz w:val="22"/>
          <w:szCs w:val="22"/>
        </w:rPr>
        <w:t>209.78</w:t>
      </w:r>
      <w:r w:rsidRPr="008A26AB">
        <w:rPr>
          <w:rFonts w:ascii="Arial" w:hAnsi="Arial" w:cs="Arial"/>
          <w:sz w:val="22"/>
          <w:szCs w:val="22"/>
        </w:rPr>
        <w:t xml:space="preserve"> kilómetros de vialidades </w:t>
      </w:r>
      <w:r>
        <w:rPr>
          <w:rFonts w:ascii="Arial" w:hAnsi="Arial" w:cs="Arial"/>
          <w:sz w:val="22"/>
          <w:szCs w:val="22"/>
        </w:rPr>
        <w:t>secundarias</w:t>
      </w:r>
      <w:r w:rsidRPr="008A26AB">
        <w:rPr>
          <w:rFonts w:ascii="Arial" w:hAnsi="Arial" w:cs="Arial"/>
          <w:sz w:val="22"/>
          <w:szCs w:val="22"/>
        </w:rPr>
        <w:t>,</w:t>
      </w:r>
      <w:r>
        <w:rPr>
          <w:rFonts w:ascii="Arial" w:hAnsi="Arial" w:cs="Arial"/>
          <w:sz w:val="22"/>
          <w:szCs w:val="22"/>
        </w:rPr>
        <w:t xml:space="preserve"> </w:t>
      </w:r>
      <w:r w:rsidRPr="00C46A7B">
        <w:rPr>
          <w:rFonts w:ascii="Arial" w:hAnsi="Arial" w:cs="Arial"/>
          <w:sz w:val="22"/>
          <w:szCs w:val="22"/>
        </w:rPr>
        <w:t>4,104.18</w:t>
      </w:r>
      <w:r>
        <w:rPr>
          <w:rFonts w:ascii="Arial" w:hAnsi="Arial" w:cs="Arial"/>
          <w:sz w:val="22"/>
          <w:szCs w:val="22"/>
        </w:rPr>
        <w:t xml:space="preserve"> kilómetros de vialidades terciarias, </w:t>
      </w:r>
      <w:r w:rsidRPr="008A26AB">
        <w:rPr>
          <w:rFonts w:ascii="Arial" w:hAnsi="Arial" w:cs="Arial"/>
          <w:sz w:val="22"/>
          <w:szCs w:val="22"/>
        </w:rPr>
        <w:t>85.6 kilómetros de pares viales</w:t>
      </w:r>
      <w:r>
        <w:rPr>
          <w:rFonts w:ascii="Arial" w:hAnsi="Arial" w:cs="Arial"/>
          <w:sz w:val="22"/>
          <w:szCs w:val="22"/>
        </w:rPr>
        <w:t xml:space="preserve"> y</w:t>
      </w:r>
      <w:r w:rsidRPr="008A26AB">
        <w:rPr>
          <w:rFonts w:ascii="Arial" w:hAnsi="Arial" w:cs="Arial"/>
          <w:sz w:val="22"/>
          <w:szCs w:val="22"/>
        </w:rPr>
        <w:t xml:space="preserve"> </w:t>
      </w:r>
      <w:r>
        <w:rPr>
          <w:rFonts w:ascii="Arial" w:hAnsi="Arial" w:cs="Arial"/>
          <w:sz w:val="22"/>
          <w:szCs w:val="22"/>
        </w:rPr>
        <w:t xml:space="preserve">287.42 kilómetros de </w:t>
      </w:r>
      <w:r w:rsidRPr="008A26AB">
        <w:rPr>
          <w:rFonts w:ascii="Arial" w:hAnsi="Arial" w:cs="Arial"/>
          <w:sz w:val="22"/>
          <w:szCs w:val="22"/>
        </w:rPr>
        <w:t xml:space="preserve">vías </w:t>
      </w:r>
      <w:r>
        <w:rPr>
          <w:rFonts w:ascii="Arial" w:hAnsi="Arial" w:cs="Arial"/>
          <w:sz w:val="22"/>
          <w:szCs w:val="22"/>
        </w:rPr>
        <w:t>regionales</w:t>
      </w:r>
      <w:r w:rsidRPr="008A26AB">
        <w:rPr>
          <w:rFonts w:ascii="Arial" w:hAnsi="Arial" w:cs="Arial"/>
          <w:sz w:val="22"/>
          <w:szCs w:val="22"/>
        </w:rPr>
        <w:t xml:space="preserve">. </w:t>
      </w:r>
    </w:p>
    <w:p w14:paraId="4725090C" w14:textId="551E41EB" w:rsidR="00EC118C" w:rsidRPr="00A033CE" w:rsidRDefault="00EC118C" w:rsidP="00A033CE">
      <w:pPr>
        <w:pStyle w:val="NormalWeb"/>
        <w:spacing w:before="0" w:beforeAutospacing="0" w:after="120" w:afterAutospacing="0"/>
        <w:jc w:val="both"/>
        <w:rPr>
          <w:rFonts w:ascii="Arial" w:hAnsi="Arial" w:cs="Arial"/>
          <w:b/>
          <w:bCs/>
          <w:sz w:val="22"/>
          <w:szCs w:val="22"/>
        </w:rPr>
      </w:pPr>
      <w:r w:rsidRPr="004C4925">
        <w:rPr>
          <w:rFonts w:ascii="Arial" w:hAnsi="Arial" w:cs="Arial"/>
          <w:sz w:val="22"/>
          <w:szCs w:val="22"/>
        </w:rPr>
        <w:t xml:space="preserve">En la tabla </w:t>
      </w:r>
      <w:r>
        <w:rPr>
          <w:rFonts w:ascii="Arial" w:hAnsi="Arial" w:cs="Arial"/>
          <w:sz w:val="22"/>
          <w:szCs w:val="22"/>
        </w:rPr>
        <w:t xml:space="preserve">5 </w:t>
      </w:r>
      <w:r w:rsidRPr="004C4925">
        <w:rPr>
          <w:rFonts w:ascii="Arial" w:hAnsi="Arial" w:cs="Arial"/>
          <w:sz w:val="22"/>
          <w:szCs w:val="22"/>
        </w:rPr>
        <w:t xml:space="preserve">se presenta </w:t>
      </w:r>
      <w:r>
        <w:rPr>
          <w:rFonts w:ascii="Arial" w:hAnsi="Arial" w:cs="Arial"/>
          <w:sz w:val="22"/>
          <w:szCs w:val="22"/>
        </w:rPr>
        <w:t>la distribución</w:t>
      </w:r>
      <w:r w:rsidRPr="004C4925">
        <w:rPr>
          <w:rFonts w:ascii="Arial" w:hAnsi="Arial" w:cs="Arial"/>
          <w:sz w:val="22"/>
          <w:szCs w:val="22"/>
        </w:rPr>
        <w:t xml:space="preserve"> de vialidades </w:t>
      </w:r>
      <w:r>
        <w:rPr>
          <w:rFonts w:ascii="Arial" w:hAnsi="Arial" w:cs="Arial"/>
          <w:sz w:val="22"/>
          <w:szCs w:val="22"/>
        </w:rPr>
        <w:t>según</w:t>
      </w:r>
      <w:r w:rsidRPr="004C4925">
        <w:rPr>
          <w:rFonts w:ascii="Arial" w:hAnsi="Arial" w:cs="Arial"/>
          <w:sz w:val="22"/>
          <w:szCs w:val="22"/>
        </w:rPr>
        <w:t xml:space="preserve"> su jerarquía </w:t>
      </w:r>
      <w:r>
        <w:rPr>
          <w:rFonts w:ascii="Arial" w:hAnsi="Arial" w:cs="Arial"/>
          <w:sz w:val="22"/>
          <w:szCs w:val="22"/>
        </w:rPr>
        <w:t>y</w:t>
      </w:r>
      <w:r w:rsidRPr="004C4925">
        <w:rPr>
          <w:rFonts w:ascii="Arial" w:hAnsi="Arial" w:cs="Arial"/>
          <w:sz w:val="22"/>
          <w:szCs w:val="22"/>
        </w:rPr>
        <w:t xml:space="preserve"> centro de población.</w:t>
      </w:r>
      <w:r>
        <w:rPr>
          <w:rFonts w:ascii="Arial" w:hAnsi="Arial" w:cs="Arial"/>
          <w:sz w:val="22"/>
          <w:szCs w:val="22"/>
        </w:rPr>
        <w:t xml:space="preserve"> </w:t>
      </w:r>
    </w:p>
    <w:tbl>
      <w:tblPr>
        <w:tblStyle w:val="Tablaconcuadrculaclara"/>
        <w:tblW w:w="0" w:type="auto"/>
        <w:tblLook w:val="04A0" w:firstRow="1" w:lastRow="0" w:firstColumn="1" w:lastColumn="0" w:noHBand="0" w:noVBand="1"/>
      </w:tblPr>
      <w:tblGrid>
        <w:gridCol w:w="2275"/>
        <w:gridCol w:w="2218"/>
        <w:gridCol w:w="2135"/>
        <w:gridCol w:w="1867"/>
      </w:tblGrid>
      <w:tr w:rsidR="00EC118C" w14:paraId="08114633" w14:textId="77777777" w:rsidTr="000635AB">
        <w:tc>
          <w:tcPr>
            <w:tcW w:w="8495" w:type="dxa"/>
            <w:gridSpan w:val="4"/>
            <w:shd w:val="clear" w:color="auto" w:fill="ED7D31" w:themeFill="accent2"/>
          </w:tcPr>
          <w:p w14:paraId="72D8F3E3" w14:textId="55B0D2F9" w:rsidR="00EC118C" w:rsidRPr="00E53C38" w:rsidRDefault="00EC118C" w:rsidP="00B205BA">
            <w:pPr>
              <w:spacing w:after="120" w:line="240" w:lineRule="auto"/>
              <w:jc w:val="center"/>
              <w:rPr>
                <w:rFonts w:cs="Arial"/>
                <w:b/>
                <w:bCs/>
              </w:rPr>
            </w:pPr>
            <w:r>
              <w:rPr>
                <w:rFonts w:cs="Arial"/>
                <w:b/>
                <w:bCs/>
                <w:color w:val="FFFFFF" w:themeColor="background1"/>
                <w:sz w:val="18"/>
                <w:szCs w:val="18"/>
              </w:rPr>
              <w:t xml:space="preserve">TABLA 5. </w:t>
            </w:r>
            <w:r w:rsidRPr="00E53C38">
              <w:rPr>
                <w:rFonts w:cs="Arial"/>
                <w:b/>
                <w:bCs/>
                <w:color w:val="FFFFFF" w:themeColor="background1"/>
                <w:sz w:val="18"/>
                <w:szCs w:val="18"/>
              </w:rPr>
              <w:t>CLASIFICACIÓN DE VIALIDADES SEGÚN CENTRO DE POBLACIÓN</w:t>
            </w:r>
            <w:r>
              <w:rPr>
                <w:rFonts w:cs="Arial"/>
                <w:b/>
                <w:bCs/>
                <w:color w:val="FFFFFF" w:themeColor="background1"/>
                <w:sz w:val="18"/>
                <w:szCs w:val="18"/>
              </w:rPr>
              <w:t xml:space="preserve"> (2023)</w:t>
            </w:r>
            <w:r w:rsidR="0086730D">
              <w:rPr>
                <w:rFonts w:cs="Arial"/>
                <w:b/>
                <w:bCs/>
                <w:color w:val="FFFFFF" w:themeColor="background1"/>
                <w:sz w:val="18"/>
                <w:szCs w:val="18"/>
              </w:rPr>
              <w:t>.</w:t>
            </w:r>
          </w:p>
        </w:tc>
      </w:tr>
      <w:tr w:rsidR="00EC118C" w14:paraId="4A4330E1" w14:textId="77777777" w:rsidTr="000635AB">
        <w:trPr>
          <w:trHeight w:val="246"/>
        </w:trPr>
        <w:tc>
          <w:tcPr>
            <w:tcW w:w="2275" w:type="dxa"/>
            <w:shd w:val="clear" w:color="auto" w:fill="808080" w:themeFill="background1" w:themeFillShade="80"/>
            <w:vAlign w:val="center"/>
          </w:tcPr>
          <w:p w14:paraId="19BEDA63" w14:textId="77777777" w:rsidR="00EC118C" w:rsidRPr="000635AB" w:rsidRDefault="00EC118C" w:rsidP="00B205BA">
            <w:pPr>
              <w:spacing w:after="120" w:line="240" w:lineRule="auto"/>
              <w:jc w:val="center"/>
              <w:rPr>
                <w:rFonts w:cs="Arial"/>
                <w:color w:val="FFFFFF" w:themeColor="background1"/>
                <w:sz w:val="20"/>
                <w:szCs w:val="20"/>
              </w:rPr>
            </w:pPr>
            <w:r w:rsidRPr="000635AB">
              <w:rPr>
                <w:rFonts w:cs="Arial"/>
                <w:color w:val="FFFFFF" w:themeColor="background1"/>
                <w:sz w:val="20"/>
                <w:szCs w:val="20"/>
              </w:rPr>
              <w:t>Clasificación</w:t>
            </w:r>
          </w:p>
        </w:tc>
        <w:tc>
          <w:tcPr>
            <w:tcW w:w="2218" w:type="dxa"/>
            <w:shd w:val="clear" w:color="auto" w:fill="767171" w:themeFill="background2" w:themeFillShade="80"/>
            <w:vAlign w:val="center"/>
          </w:tcPr>
          <w:p w14:paraId="49CCC2DC" w14:textId="77777777" w:rsidR="00EC118C" w:rsidRPr="00E53C38" w:rsidRDefault="00EC118C" w:rsidP="00B205BA">
            <w:pPr>
              <w:spacing w:after="120" w:line="240" w:lineRule="auto"/>
              <w:jc w:val="center"/>
              <w:rPr>
                <w:rFonts w:cs="Arial"/>
                <w:color w:val="FFFFFF" w:themeColor="background1"/>
                <w:sz w:val="20"/>
                <w:szCs w:val="20"/>
              </w:rPr>
            </w:pPr>
            <w:r w:rsidRPr="00E53C38">
              <w:rPr>
                <w:rFonts w:cs="Arial"/>
                <w:color w:val="FFFFFF" w:themeColor="background1"/>
                <w:sz w:val="20"/>
                <w:szCs w:val="20"/>
              </w:rPr>
              <w:t>CP Hermosillo</w:t>
            </w:r>
          </w:p>
        </w:tc>
        <w:tc>
          <w:tcPr>
            <w:tcW w:w="2135" w:type="dxa"/>
            <w:shd w:val="clear" w:color="auto" w:fill="767171" w:themeFill="background2" w:themeFillShade="80"/>
            <w:vAlign w:val="center"/>
          </w:tcPr>
          <w:p w14:paraId="4F5C42EB" w14:textId="77777777" w:rsidR="00EC118C" w:rsidRPr="00E53C38" w:rsidRDefault="00EC118C" w:rsidP="00B205BA">
            <w:pPr>
              <w:spacing w:after="120" w:line="240" w:lineRule="auto"/>
              <w:jc w:val="center"/>
              <w:rPr>
                <w:rFonts w:cs="Arial"/>
                <w:color w:val="FFFFFF" w:themeColor="background1"/>
                <w:sz w:val="20"/>
                <w:szCs w:val="20"/>
              </w:rPr>
            </w:pPr>
            <w:r w:rsidRPr="00E53C38">
              <w:rPr>
                <w:rFonts w:cs="Arial"/>
                <w:color w:val="FFFFFF" w:themeColor="background1"/>
                <w:sz w:val="20"/>
                <w:szCs w:val="20"/>
              </w:rPr>
              <w:t>CP Miguel Alemán</w:t>
            </w:r>
          </w:p>
        </w:tc>
        <w:tc>
          <w:tcPr>
            <w:tcW w:w="1867" w:type="dxa"/>
            <w:shd w:val="clear" w:color="auto" w:fill="767171" w:themeFill="background2" w:themeFillShade="80"/>
            <w:vAlign w:val="center"/>
          </w:tcPr>
          <w:p w14:paraId="218018C6" w14:textId="77777777" w:rsidR="00EC118C" w:rsidRPr="00E53C38" w:rsidRDefault="00EC118C" w:rsidP="00B205BA">
            <w:pPr>
              <w:spacing w:after="120" w:line="240" w:lineRule="auto"/>
              <w:jc w:val="center"/>
              <w:rPr>
                <w:rFonts w:cs="Arial"/>
                <w:color w:val="FFFFFF" w:themeColor="background1"/>
                <w:sz w:val="20"/>
                <w:szCs w:val="20"/>
              </w:rPr>
            </w:pPr>
            <w:r w:rsidRPr="00E53C38">
              <w:rPr>
                <w:rFonts w:cs="Arial"/>
                <w:color w:val="FFFFFF" w:themeColor="background1"/>
                <w:sz w:val="20"/>
                <w:szCs w:val="20"/>
              </w:rPr>
              <w:t>CP Bahía Kino</w:t>
            </w:r>
          </w:p>
        </w:tc>
      </w:tr>
      <w:tr w:rsidR="00EC118C" w14:paraId="5B29DC79" w14:textId="77777777" w:rsidTr="000635AB">
        <w:tc>
          <w:tcPr>
            <w:tcW w:w="2275" w:type="dxa"/>
            <w:vAlign w:val="center"/>
          </w:tcPr>
          <w:p w14:paraId="0EB7167C" w14:textId="77777777" w:rsidR="00EC118C" w:rsidRPr="00E53C38" w:rsidRDefault="00EC118C" w:rsidP="00B205BA">
            <w:pPr>
              <w:spacing w:after="120" w:line="240" w:lineRule="auto"/>
              <w:rPr>
                <w:rFonts w:cs="Arial"/>
                <w:sz w:val="20"/>
                <w:szCs w:val="20"/>
              </w:rPr>
            </w:pPr>
            <w:r w:rsidRPr="00E53C38">
              <w:rPr>
                <w:rFonts w:cs="Arial"/>
                <w:sz w:val="20"/>
                <w:szCs w:val="20"/>
              </w:rPr>
              <w:t>Vías peatonales</w:t>
            </w:r>
            <w:r>
              <w:rPr>
                <w:rFonts w:cs="Arial"/>
                <w:sz w:val="20"/>
                <w:szCs w:val="20"/>
              </w:rPr>
              <w:t xml:space="preserve"> (km)</w:t>
            </w:r>
          </w:p>
        </w:tc>
        <w:tc>
          <w:tcPr>
            <w:tcW w:w="2218" w:type="dxa"/>
            <w:vAlign w:val="center"/>
          </w:tcPr>
          <w:p w14:paraId="20E6585C" w14:textId="77777777" w:rsidR="00EC118C" w:rsidRPr="00E53C38" w:rsidRDefault="00EC118C" w:rsidP="00B205BA">
            <w:pPr>
              <w:spacing w:after="120" w:line="240" w:lineRule="auto"/>
              <w:jc w:val="center"/>
              <w:rPr>
                <w:rFonts w:cs="Arial"/>
                <w:sz w:val="20"/>
                <w:szCs w:val="20"/>
              </w:rPr>
            </w:pPr>
            <w:r w:rsidRPr="00E53C38">
              <w:rPr>
                <w:rFonts w:cs="Arial"/>
                <w:sz w:val="20"/>
                <w:szCs w:val="20"/>
              </w:rPr>
              <w:t>8.44</w:t>
            </w:r>
          </w:p>
        </w:tc>
        <w:tc>
          <w:tcPr>
            <w:tcW w:w="2135" w:type="dxa"/>
            <w:vAlign w:val="center"/>
          </w:tcPr>
          <w:p w14:paraId="3FD87593" w14:textId="77777777" w:rsidR="00EC118C" w:rsidRPr="00E53C38" w:rsidRDefault="00EC118C" w:rsidP="00B205BA">
            <w:pPr>
              <w:spacing w:after="120" w:line="240" w:lineRule="auto"/>
              <w:jc w:val="center"/>
              <w:rPr>
                <w:rFonts w:cs="Arial"/>
                <w:sz w:val="20"/>
                <w:szCs w:val="20"/>
              </w:rPr>
            </w:pPr>
            <w:r w:rsidRPr="00E53C38">
              <w:rPr>
                <w:rFonts w:cs="Arial"/>
                <w:sz w:val="20"/>
                <w:szCs w:val="20"/>
              </w:rPr>
              <w:t>1.51</w:t>
            </w:r>
          </w:p>
        </w:tc>
        <w:tc>
          <w:tcPr>
            <w:tcW w:w="1867" w:type="dxa"/>
            <w:vAlign w:val="center"/>
          </w:tcPr>
          <w:p w14:paraId="6E234C0F" w14:textId="77777777" w:rsidR="00EC118C" w:rsidRPr="00E53C38" w:rsidRDefault="00EC118C" w:rsidP="00B205BA">
            <w:pPr>
              <w:spacing w:after="120" w:line="240" w:lineRule="auto"/>
              <w:jc w:val="center"/>
              <w:rPr>
                <w:rFonts w:cs="Arial"/>
                <w:sz w:val="20"/>
                <w:szCs w:val="20"/>
              </w:rPr>
            </w:pPr>
            <w:r w:rsidRPr="00E53C38">
              <w:rPr>
                <w:rFonts w:cs="Arial"/>
                <w:sz w:val="20"/>
                <w:szCs w:val="20"/>
              </w:rPr>
              <w:t>0.15</w:t>
            </w:r>
          </w:p>
        </w:tc>
      </w:tr>
      <w:tr w:rsidR="00EC118C" w14:paraId="3920551A" w14:textId="77777777" w:rsidTr="000635AB">
        <w:tc>
          <w:tcPr>
            <w:tcW w:w="2275" w:type="dxa"/>
            <w:vAlign w:val="center"/>
          </w:tcPr>
          <w:p w14:paraId="6FFC0611" w14:textId="77777777" w:rsidR="00EC118C" w:rsidRPr="00E53C38" w:rsidRDefault="00EC118C" w:rsidP="00B205BA">
            <w:pPr>
              <w:spacing w:after="120" w:line="240" w:lineRule="auto"/>
              <w:rPr>
                <w:rFonts w:cs="Arial"/>
                <w:sz w:val="20"/>
                <w:szCs w:val="20"/>
              </w:rPr>
            </w:pPr>
            <w:r w:rsidRPr="00E53C38">
              <w:rPr>
                <w:rFonts w:cs="Arial"/>
                <w:sz w:val="20"/>
                <w:szCs w:val="20"/>
              </w:rPr>
              <w:t>Vías primarias</w:t>
            </w:r>
            <w:r>
              <w:rPr>
                <w:rFonts w:cs="Arial"/>
                <w:sz w:val="20"/>
                <w:szCs w:val="20"/>
              </w:rPr>
              <w:t xml:space="preserve"> (km)</w:t>
            </w:r>
          </w:p>
        </w:tc>
        <w:tc>
          <w:tcPr>
            <w:tcW w:w="2218" w:type="dxa"/>
            <w:vAlign w:val="center"/>
          </w:tcPr>
          <w:p w14:paraId="32819A89" w14:textId="77777777" w:rsidR="00EC118C" w:rsidRPr="00E53C38" w:rsidRDefault="00EC118C" w:rsidP="00B205BA">
            <w:pPr>
              <w:spacing w:after="120" w:line="240" w:lineRule="auto"/>
              <w:jc w:val="center"/>
              <w:rPr>
                <w:rFonts w:cs="Arial"/>
                <w:sz w:val="20"/>
                <w:szCs w:val="20"/>
              </w:rPr>
            </w:pPr>
            <w:r w:rsidRPr="00E53C38">
              <w:rPr>
                <w:rFonts w:cs="Arial"/>
                <w:sz w:val="20"/>
                <w:szCs w:val="20"/>
              </w:rPr>
              <w:t>189.27</w:t>
            </w:r>
          </w:p>
        </w:tc>
        <w:tc>
          <w:tcPr>
            <w:tcW w:w="2135" w:type="dxa"/>
            <w:vAlign w:val="center"/>
          </w:tcPr>
          <w:p w14:paraId="31124406" w14:textId="77777777" w:rsidR="00EC118C" w:rsidRPr="00E53C38" w:rsidRDefault="00EC118C" w:rsidP="00B205BA">
            <w:pPr>
              <w:spacing w:after="120" w:line="240" w:lineRule="auto"/>
              <w:jc w:val="center"/>
              <w:rPr>
                <w:rFonts w:cs="Arial"/>
                <w:sz w:val="20"/>
                <w:szCs w:val="20"/>
              </w:rPr>
            </w:pPr>
            <w:r w:rsidRPr="00E53C38">
              <w:rPr>
                <w:rFonts w:cs="Arial"/>
                <w:sz w:val="20"/>
                <w:szCs w:val="20"/>
              </w:rPr>
              <w:t>15.95</w:t>
            </w:r>
          </w:p>
        </w:tc>
        <w:tc>
          <w:tcPr>
            <w:tcW w:w="1867" w:type="dxa"/>
            <w:vAlign w:val="center"/>
          </w:tcPr>
          <w:p w14:paraId="24C8743F" w14:textId="77777777" w:rsidR="00EC118C" w:rsidRPr="00E53C38" w:rsidRDefault="00EC118C" w:rsidP="00B205BA">
            <w:pPr>
              <w:spacing w:after="120" w:line="240" w:lineRule="auto"/>
              <w:jc w:val="center"/>
              <w:rPr>
                <w:rFonts w:cs="Arial"/>
                <w:sz w:val="20"/>
                <w:szCs w:val="20"/>
              </w:rPr>
            </w:pPr>
            <w:r w:rsidRPr="00E53C38">
              <w:rPr>
                <w:rFonts w:cs="Arial"/>
                <w:sz w:val="20"/>
                <w:szCs w:val="20"/>
              </w:rPr>
              <w:t>48.42</w:t>
            </w:r>
          </w:p>
        </w:tc>
      </w:tr>
      <w:tr w:rsidR="00EC118C" w14:paraId="5581AD32" w14:textId="77777777" w:rsidTr="000635AB">
        <w:tc>
          <w:tcPr>
            <w:tcW w:w="2275" w:type="dxa"/>
            <w:vAlign w:val="center"/>
          </w:tcPr>
          <w:p w14:paraId="286D9379" w14:textId="77777777" w:rsidR="00EC118C" w:rsidRPr="00E53C38" w:rsidRDefault="00EC118C" w:rsidP="00B205BA">
            <w:pPr>
              <w:spacing w:after="120" w:line="240" w:lineRule="auto"/>
              <w:rPr>
                <w:rFonts w:cs="Arial"/>
                <w:sz w:val="20"/>
                <w:szCs w:val="20"/>
              </w:rPr>
            </w:pPr>
            <w:r w:rsidRPr="00E53C38">
              <w:rPr>
                <w:rFonts w:cs="Arial"/>
                <w:sz w:val="20"/>
                <w:szCs w:val="20"/>
              </w:rPr>
              <w:t>Vías secundarias</w:t>
            </w:r>
            <w:r>
              <w:rPr>
                <w:rFonts w:cs="Arial"/>
                <w:sz w:val="20"/>
                <w:szCs w:val="20"/>
              </w:rPr>
              <w:t xml:space="preserve"> (km)</w:t>
            </w:r>
            <w:r w:rsidRPr="00E53C38">
              <w:rPr>
                <w:rFonts w:cs="Arial"/>
                <w:sz w:val="20"/>
                <w:szCs w:val="20"/>
              </w:rPr>
              <w:t xml:space="preserve"> </w:t>
            </w:r>
          </w:p>
        </w:tc>
        <w:tc>
          <w:tcPr>
            <w:tcW w:w="2218" w:type="dxa"/>
            <w:vAlign w:val="center"/>
          </w:tcPr>
          <w:p w14:paraId="0EBF584F" w14:textId="77777777" w:rsidR="00EC118C" w:rsidRPr="00E53C38" w:rsidRDefault="00EC118C" w:rsidP="00B205BA">
            <w:pPr>
              <w:spacing w:after="120" w:line="240" w:lineRule="auto"/>
              <w:jc w:val="center"/>
              <w:rPr>
                <w:rFonts w:cs="Arial"/>
                <w:sz w:val="20"/>
                <w:szCs w:val="20"/>
              </w:rPr>
            </w:pPr>
            <w:r w:rsidRPr="00E53C38">
              <w:rPr>
                <w:rFonts w:cs="Arial"/>
                <w:sz w:val="20"/>
                <w:szCs w:val="20"/>
              </w:rPr>
              <w:t>191.13</w:t>
            </w:r>
          </w:p>
        </w:tc>
        <w:tc>
          <w:tcPr>
            <w:tcW w:w="2135" w:type="dxa"/>
            <w:vAlign w:val="center"/>
          </w:tcPr>
          <w:p w14:paraId="5DAB8FE3" w14:textId="77777777" w:rsidR="00EC118C" w:rsidRPr="00E53C38" w:rsidRDefault="00EC118C" w:rsidP="00B205BA">
            <w:pPr>
              <w:spacing w:after="120" w:line="240" w:lineRule="auto"/>
              <w:jc w:val="center"/>
              <w:rPr>
                <w:rFonts w:cs="Arial"/>
                <w:sz w:val="20"/>
                <w:szCs w:val="20"/>
              </w:rPr>
            </w:pPr>
            <w:r w:rsidRPr="00E53C38">
              <w:rPr>
                <w:rFonts w:cs="Arial"/>
                <w:sz w:val="20"/>
                <w:szCs w:val="20"/>
              </w:rPr>
              <w:t>0</w:t>
            </w:r>
          </w:p>
        </w:tc>
        <w:tc>
          <w:tcPr>
            <w:tcW w:w="1867" w:type="dxa"/>
            <w:vAlign w:val="center"/>
          </w:tcPr>
          <w:p w14:paraId="19BBD25B" w14:textId="77777777" w:rsidR="00EC118C" w:rsidRPr="00E53C38" w:rsidRDefault="00EC118C" w:rsidP="00B205BA">
            <w:pPr>
              <w:spacing w:after="120" w:line="240" w:lineRule="auto"/>
              <w:jc w:val="center"/>
              <w:rPr>
                <w:rFonts w:cs="Arial"/>
                <w:sz w:val="20"/>
                <w:szCs w:val="20"/>
              </w:rPr>
            </w:pPr>
            <w:r w:rsidRPr="00E53C38">
              <w:rPr>
                <w:rFonts w:cs="Arial"/>
                <w:sz w:val="20"/>
                <w:szCs w:val="20"/>
              </w:rPr>
              <w:t>18.65</w:t>
            </w:r>
          </w:p>
        </w:tc>
      </w:tr>
      <w:tr w:rsidR="00EC118C" w14:paraId="46720EAD" w14:textId="77777777" w:rsidTr="000635AB">
        <w:tc>
          <w:tcPr>
            <w:tcW w:w="2275" w:type="dxa"/>
            <w:vAlign w:val="center"/>
          </w:tcPr>
          <w:p w14:paraId="6ADE4395" w14:textId="77777777" w:rsidR="00EC118C" w:rsidRPr="000635AB" w:rsidRDefault="00EC118C" w:rsidP="00B205BA">
            <w:pPr>
              <w:spacing w:after="120" w:line="240" w:lineRule="auto"/>
              <w:rPr>
                <w:rFonts w:asciiTheme="minorHAnsi" w:hAnsiTheme="minorHAnsi"/>
              </w:rPr>
            </w:pPr>
            <w:r w:rsidRPr="00E53C38">
              <w:rPr>
                <w:rFonts w:cs="Arial"/>
                <w:sz w:val="20"/>
                <w:szCs w:val="20"/>
              </w:rPr>
              <w:t>Vías terciarias</w:t>
            </w:r>
            <w:r>
              <w:rPr>
                <w:rFonts w:cs="Arial"/>
                <w:sz w:val="20"/>
                <w:szCs w:val="20"/>
              </w:rPr>
              <w:t xml:space="preserve"> (km)</w:t>
            </w:r>
          </w:p>
        </w:tc>
        <w:tc>
          <w:tcPr>
            <w:tcW w:w="2218" w:type="dxa"/>
            <w:vAlign w:val="center"/>
          </w:tcPr>
          <w:p w14:paraId="6BD3A4F6" w14:textId="77777777" w:rsidR="00EC118C" w:rsidRPr="00E53C38" w:rsidRDefault="00EC118C" w:rsidP="00B205BA">
            <w:pPr>
              <w:spacing w:after="120" w:line="240" w:lineRule="auto"/>
              <w:jc w:val="center"/>
              <w:rPr>
                <w:rFonts w:cs="Arial"/>
                <w:sz w:val="20"/>
                <w:szCs w:val="20"/>
              </w:rPr>
            </w:pPr>
            <w:r w:rsidRPr="00E53C38">
              <w:rPr>
                <w:rFonts w:cs="Arial"/>
                <w:sz w:val="20"/>
                <w:szCs w:val="20"/>
              </w:rPr>
              <w:t>3778.48</w:t>
            </w:r>
          </w:p>
        </w:tc>
        <w:tc>
          <w:tcPr>
            <w:tcW w:w="2135" w:type="dxa"/>
            <w:vAlign w:val="center"/>
          </w:tcPr>
          <w:p w14:paraId="316C58B2" w14:textId="77777777" w:rsidR="00EC118C" w:rsidRPr="00E53C38" w:rsidRDefault="00EC118C" w:rsidP="00B205BA">
            <w:pPr>
              <w:spacing w:after="120" w:line="240" w:lineRule="auto"/>
              <w:jc w:val="center"/>
              <w:rPr>
                <w:rFonts w:cs="Arial"/>
                <w:sz w:val="20"/>
                <w:szCs w:val="20"/>
              </w:rPr>
            </w:pPr>
            <w:r w:rsidRPr="00E53C38">
              <w:rPr>
                <w:rFonts w:cs="Arial"/>
                <w:sz w:val="20"/>
                <w:szCs w:val="20"/>
              </w:rPr>
              <w:t>147.81</w:t>
            </w:r>
          </w:p>
        </w:tc>
        <w:tc>
          <w:tcPr>
            <w:tcW w:w="1867" w:type="dxa"/>
            <w:vAlign w:val="center"/>
          </w:tcPr>
          <w:p w14:paraId="24936AB9" w14:textId="77777777" w:rsidR="00EC118C" w:rsidRPr="00E53C38" w:rsidRDefault="00EC118C" w:rsidP="00B205BA">
            <w:pPr>
              <w:spacing w:after="120" w:line="240" w:lineRule="auto"/>
              <w:jc w:val="center"/>
              <w:rPr>
                <w:rFonts w:cs="Arial"/>
                <w:sz w:val="20"/>
                <w:szCs w:val="20"/>
              </w:rPr>
            </w:pPr>
            <w:r w:rsidRPr="00E53C38">
              <w:rPr>
                <w:rFonts w:cs="Arial"/>
                <w:sz w:val="20"/>
                <w:szCs w:val="20"/>
              </w:rPr>
              <w:t>177.89</w:t>
            </w:r>
          </w:p>
        </w:tc>
      </w:tr>
      <w:tr w:rsidR="00EC118C" w14:paraId="2CA20A11" w14:textId="77777777" w:rsidTr="000635AB">
        <w:tc>
          <w:tcPr>
            <w:tcW w:w="2275" w:type="dxa"/>
            <w:vAlign w:val="center"/>
          </w:tcPr>
          <w:p w14:paraId="20A9EA07" w14:textId="77777777" w:rsidR="00EC118C" w:rsidRPr="00E53C38" w:rsidRDefault="00EC118C" w:rsidP="00B205BA">
            <w:pPr>
              <w:spacing w:after="120" w:line="240" w:lineRule="auto"/>
              <w:rPr>
                <w:rFonts w:cs="Arial"/>
                <w:sz w:val="20"/>
                <w:szCs w:val="20"/>
              </w:rPr>
            </w:pPr>
            <w:r w:rsidRPr="00E53C38">
              <w:rPr>
                <w:rFonts w:cs="Arial"/>
                <w:sz w:val="20"/>
                <w:szCs w:val="20"/>
              </w:rPr>
              <w:t>Pares viales</w:t>
            </w:r>
            <w:r>
              <w:rPr>
                <w:rFonts w:cs="Arial"/>
                <w:sz w:val="20"/>
                <w:szCs w:val="20"/>
              </w:rPr>
              <w:t xml:space="preserve"> (km)</w:t>
            </w:r>
          </w:p>
        </w:tc>
        <w:tc>
          <w:tcPr>
            <w:tcW w:w="2218" w:type="dxa"/>
            <w:vAlign w:val="center"/>
          </w:tcPr>
          <w:p w14:paraId="3183C697" w14:textId="77777777" w:rsidR="00EC118C" w:rsidRPr="00E53C38" w:rsidRDefault="00EC118C" w:rsidP="00B205BA">
            <w:pPr>
              <w:spacing w:after="120" w:line="240" w:lineRule="auto"/>
              <w:jc w:val="center"/>
              <w:rPr>
                <w:rFonts w:cs="Arial"/>
                <w:sz w:val="20"/>
                <w:szCs w:val="20"/>
              </w:rPr>
            </w:pPr>
            <w:r w:rsidRPr="00E53C38">
              <w:rPr>
                <w:rFonts w:cs="Arial"/>
                <w:sz w:val="20"/>
                <w:szCs w:val="20"/>
              </w:rPr>
              <w:t>85.60</w:t>
            </w:r>
          </w:p>
        </w:tc>
        <w:tc>
          <w:tcPr>
            <w:tcW w:w="2135" w:type="dxa"/>
            <w:vAlign w:val="center"/>
          </w:tcPr>
          <w:p w14:paraId="2766639A" w14:textId="77777777" w:rsidR="00EC118C" w:rsidRPr="00E53C38" w:rsidRDefault="00EC118C" w:rsidP="00B205BA">
            <w:pPr>
              <w:spacing w:after="120" w:line="240" w:lineRule="auto"/>
              <w:jc w:val="center"/>
              <w:rPr>
                <w:rFonts w:cs="Arial"/>
                <w:sz w:val="20"/>
                <w:szCs w:val="20"/>
              </w:rPr>
            </w:pPr>
            <w:r w:rsidRPr="00E53C38">
              <w:rPr>
                <w:rFonts w:cs="Arial"/>
                <w:sz w:val="20"/>
                <w:szCs w:val="20"/>
              </w:rPr>
              <w:t>0</w:t>
            </w:r>
          </w:p>
        </w:tc>
        <w:tc>
          <w:tcPr>
            <w:tcW w:w="1867" w:type="dxa"/>
            <w:vAlign w:val="center"/>
          </w:tcPr>
          <w:p w14:paraId="1E07CF22" w14:textId="77777777" w:rsidR="00EC118C" w:rsidRPr="00E53C38" w:rsidRDefault="00EC118C" w:rsidP="00B205BA">
            <w:pPr>
              <w:spacing w:after="120" w:line="240" w:lineRule="auto"/>
              <w:jc w:val="center"/>
              <w:rPr>
                <w:rFonts w:cs="Arial"/>
                <w:sz w:val="20"/>
                <w:szCs w:val="20"/>
              </w:rPr>
            </w:pPr>
            <w:r w:rsidRPr="00E53C38">
              <w:rPr>
                <w:rFonts w:cs="Arial"/>
                <w:sz w:val="20"/>
                <w:szCs w:val="20"/>
              </w:rPr>
              <w:t>0</w:t>
            </w:r>
          </w:p>
        </w:tc>
      </w:tr>
      <w:tr w:rsidR="00EC118C" w14:paraId="1A7BC33D" w14:textId="77777777" w:rsidTr="000635AB">
        <w:tc>
          <w:tcPr>
            <w:tcW w:w="2275" w:type="dxa"/>
            <w:vAlign w:val="center"/>
          </w:tcPr>
          <w:p w14:paraId="5F690949" w14:textId="77777777" w:rsidR="00EC118C" w:rsidRPr="00E53C38" w:rsidRDefault="00EC118C" w:rsidP="00B205BA">
            <w:pPr>
              <w:spacing w:after="120" w:line="240" w:lineRule="auto"/>
              <w:rPr>
                <w:rFonts w:cs="Arial"/>
                <w:sz w:val="20"/>
                <w:szCs w:val="20"/>
              </w:rPr>
            </w:pPr>
            <w:r w:rsidRPr="00E53C38">
              <w:rPr>
                <w:rFonts w:cs="Arial"/>
                <w:sz w:val="20"/>
                <w:szCs w:val="20"/>
              </w:rPr>
              <w:t>Vías regionales</w:t>
            </w:r>
            <w:r>
              <w:rPr>
                <w:rFonts w:cs="Arial"/>
                <w:sz w:val="20"/>
                <w:szCs w:val="20"/>
              </w:rPr>
              <w:t xml:space="preserve"> (km)</w:t>
            </w:r>
          </w:p>
        </w:tc>
        <w:tc>
          <w:tcPr>
            <w:tcW w:w="2218" w:type="dxa"/>
            <w:vAlign w:val="center"/>
          </w:tcPr>
          <w:p w14:paraId="5B9630ED" w14:textId="77777777" w:rsidR="00EC118C" w:rsidRPr="00E53C38" w:rsidRDefault="00EC118C" w:rsidP="00B205BA">
            <w:pPr>
              <w:spacing w:after="120" w:line="240" w:lineRule="auto"/>
              <w:jc w:val="center"/>
              <w:rPr>
                <w:rFonts w:cs="Arial"/>
                <w:sz w:val="20"/>
                <w:szCs w:val="20"/>
              </w:rPr>
            </w:pPr>
            <w:r w:rsidRPr="00E53C38">
              <w:rPr>
                <w:rFonts w:cs="Arial"/>
                <w:sz w:val="20"/>
                <w:szCs w:val="20"/>
              </w:rPr>
              <w:t>245.74</w:t>
            </w:r>
          </w:p>
        </w:tc>
        <w:tc>
          <w:tcPr>
            <w:tcW w:w="2135" w:type="dxa"/>
            <w:vAlign w:val="center"/>
          </w:tcPr>
          <w:p w14:paraId="2BDFD428" w14:textId="77777777" w:rsidR="00EC118C" w:rsidRPr="00E53C38" w:rsidRDefault="00EC118C" w:rsidP="00B205BA">
            <w:pPr>
              <w:spacing w:after="120" w:line="240" w:lineRule="auto"/>
              <w:jc w:val="center"/>
              <w:rPr>
                <w:rFonts w:cs="Arial"/>
                <w:sz w:val="20"/>
                <w:szCs w:val="20"/>
              </w:rPr>
            </w:pPr>
            <w:r w:rsidRPr="00E53C38">
              <w:rPr>
                <w:rFonts w:cs="Arial"/>
                <w:sz w:val="20"/>
                <w:szCs w:val="20"/>
              </w:rPr>
              <w:t>14.92</w:t>
            </w:r>
          </w:p>
        </w:tc>
        <w:tc>
          <w:tcPr>
            <w:tcW w:w="1867" w:type="dxa"/>
            <w:vAlign w:val="center"/>
          </w:tcPr>
          <w:p w14:paraId="44DAD720" w14:textId="77777777" w:rsidR="00EC118C" w:rsidRPr="00E53C38" w:rsidRDefault="00EC118C" w:rsidP="00B205BA">
            <w:pPr>
              <w:spacing w:after="120" w:line="240" w:lineRule="auto"/>
              <w:jc w:val="center"/>
              <w:rPr>
                <w:rFonts w:cs="Arial"/>
                <w:sz w:val="20"/>
                <w:szCs w:val="20"/>
              </w:rPr>
            </w:pPr>
            <w:r w:rsidRPr="00E53C38">
              <w:rPr>
                <w:rFonts w:cs="Arial"/>
                <w:sz w:val="20"/>
                <w:szCs w:val="20"/>
              </w:rPr>
              <w:t>26.76</w:t>
            </w:r>
          </w:p>
        </w:tc>
      </w:tr>
      <w:tr w:rsidR="00EC118C" w14:paraId="41EE32B6" w14:textId="77777777" w:rsidTr="000635AB">
        <w:tc>
          <w:tcPr>
            <w:tcW w:w="2275" w:type="dxa"/>
            <w:shd w:val="clear" w:color="auto" w:fill="D9D9D9" w:themeFill="background1" w:themeFillShade="D9"/>
            <w:vAlign w:val="center"/>
          </w:tcPr>
          <w:p w14:paraId="18FDC21F" w14:textId="77777777" w:rsidR="00EC118C" w:rsidRPr="000635AB" w:rsidRDefault="00EC118C" w:rsidP="00B205BA">
            <w:pPr>
              <w:spacing w:after="120" w:line="240" w:lineRule="auto"/>
              <w:rPr>
                <w:rFonts w:cs="Arial"/>
                <w:sz w:val="20"/>
                <w:szCs w:val="20"/>
              </w:rPr>
            </w:pPr>
            <w:r w:rsidRPr="000635AB">
              <w:rPr>
                <w:rFonts w:cs="Arial"/>
                <w:sz w:val="20"/>
                <w:szCs w:val="20"/>
              </w:rPr>
              <w:t xml:space="preserve">Longitud total </w:t>
            </w:r>
          </w:p>
        </w:tc>
        <w:tc>
          <w:tcPr>
            <w:tcW w:w="2218" w:type="dxa"/>
            <w:shd w:val="clear" w:color="auto" w:fill="D9D9D9" w:themeFill="background1" w:themeFillShade="D9"/>
            <w:vAlign w:val="center"/>
          </w:tcPr>
          <w:p w14:paraId="5A0CD343" w14:textId="77777777" w:rsidR="00EC118C" w:rsidRPr="00E53C38" w:rsidRDefault="00EC118C" w:rsidP="00B205BA">
            <w:pPr>
              <w:spacing w:after="120" w:line="240" w:lineRule="auto"/>
              <w:jc w:val="center"/>
              <w:rPr>
                <w:rFonts w:cs="Arial"/>
                <w:sz w:val="20"/>
                <w:szCs w:val="20"/>
              </w:rPr>
            </w:pPr>
            <w:r w:rsidRPr="00E53C38">
              <w:rPr>
                <w:rFonts w:cs="Arial"/>
                <w:sz w:val="20"/>
                <w:szCs w:val="20"/>
              </w:rPr>
              <w:t>4498.66</w:t>
            </w:r>
            <w:r>
              <w:rPr>
                <w:rFonts w:cs="Arial"/>
                <w:sz w:val="20"/>
                <w:szCs w:val="20"/>
              </w:rPr>
              <w:t xml:space="preserve"> km</w:t>
            </w:r>
          </w:p>
        </w:tc>
        <w:tc>
          <w:tcPr>
            <w:tcW w:w="2135" w:type="dxa"/>
            <w:shd w:val="clear" w:color="auto" w:fill="D9D9D9" w:themeFill="background1" w:themeFillShade="D9"/>
            <w:vAlign w:val="center"/>
          </w:tcPr>
          <w:p w14:paraId="39118D6D" w14:textId="65C04E3A" w:rsidR="00EC118C" w:rsidRPr="00E53C38" w:rsidRDefault="00EC118C" w:rsidP="00B205BA">
            <w:pPr>
              <w:spacing w:after="120" w:line="240" w:lineRule="auto"/>
              <w:jc w:val="center"/>
              <w:rPr>
                <w:rFonts w:cs="Arial"/>
                <w:sz w:val="20"/>
                <w:szCs w:val="20"/>
              </w:rPr>
            </w:pPr>
            <w:r w:rsidRPr="00E53C38">
              <w:rPr>
                <w:rFonts w:cs="Arial"/>
                <w:sz w:val="20"/>
                <w:szCs w:val="20"/>
              </w:rPr>
              <w:t>180.1</w:t>
            </w:r>
            <w:r w:rsidR="007503ED">
              <w:rPr>
                <w:rFonts w:cs="Arial"/>
                <w:sz w:val="20"/>
                <w:szCs w:val="20"/>
              </w:rPr>
              <w:t>9</w:t>
            </w:r>
            <w:r>
              <w:rPr>
                <w:rFonts w:cs="Arial"/>
                <w:sz w:val="20"/>
                <w:szCs w:val="20"/>
              </w:rPr>
              <w:t xml:space="preserve"> km</w:t>
            </w:r>
          </w:p>
        </w:tc>
        <w:tc>
          <w:tcPr>
            <w:tcW w:w="1867" w:type="dxa"/>
            <w:shd w:val="clear" w:color="auto" w:fill="D9D9D9" w:themeFill="background1" w:themeFillShade="D9"/>
            <w:vAlign w:val="center"/>
          </w:tcPr>
          <w:p w14:paraId="716B7180" w14:textId="259705B9" w:rsidR="00EC118C" w:rsidRPr="00E53C38" w:rsidRDefault="00EC118C" w:rsidP="00B205BA">
            <w:pPr>
              <w:spacing w:after="120" w:line="240" w:lineRule="auto"/>
              <w:jc w:val="center"/>
              <w:rPr>
                <w:rFonts w:cs="Arial"/>
                <w:sz w:val="20"/>
                <w:szCs w:val="20"/>
              </w:rPr>
            </w:pPr>
            <w:r w:rsidRPr="00E53C38">
              <w:rPr>
                <w:rFonts w:cs="Arial"/>
                <w:sz w:val="20"/>
                <w:szCs w:val="20"/>
              </w:rPr>
              <w:t>27</w:t>
            </w:r>
            <w:r w:rsidR="007503ED">
              <w:rPr>
                <w:rFonts w:cs="Arial"/>
                <w:sz w:val="20"/>
                <w:szCs w:val="20"/>
              </w:rPr>
              <w:t>1</w:t>
            </w:r>
            <w:r w:rsidRPr="00E53C38">
              <w:rPr>
                <w:rFonts w:cs="Arial"/>
                <w:sz w:val="20"/>
                <w:szCs w:val="20"/>
              </w:rPr>
              <w:t>.</w:t>
            </w:r>
            <w:r w:rsidR="007503ED">
              <w:rPr>
                <w:rFonts w:cs="Arial"/>
                <w:sz w:val="20"/>
                <w:szCs w:val="20"/>
              </w:rPr>
              <w:t>87</w:t>
            </w:r>
            <w:r>
              <w:rPr>
                <w:rFonts w:cs="Arial"/>
                <w:sz w:val="20"/>
                <w:szCs w:val="20"/>
              </w:rPr>
              <w:t xml:space="preserve"> km</w:t>
            </w:r>
          </w:p>
        </w:tc>
      </w:tr>
    </w:tbl>
    <w:p w14:paraId="6A1C49A7" w14:textId="77777777" w:rsidR="00EC118C" w:rsidRPr="00061674" w:rsidRDefault="00EC118C" w:rsidP="00B205BA">
      <w:pPr>
        <w:pStyle w:val="NormalWeb"/>
        <w:spacing w:before="0" w:beforeAutospacing="0" w:after="120" w:afterAutospacing="0"/>
        <w:rPr>
          <w:rFonts w:ascii="Arial" w:hAnsi="Arial" w:cs="Arial"/>
          <w:color w:val="000000"/>
          <w:sz w:val="18"/>
          <w:szCs w:val="18"/>
        </w:rPr>
      </w:pPr>
      <w:r w:rsidRPr="009B7E39">
        <w:rPr>
          <w:rFonts w:ascii="Arial" w:hAnsi="Arial" w:cs="Arial"/>
          <w:sz w:val="16"/>
          <w:szCs w:val="16"/>
        </w:rPr>
        <w:t>Fuente: Programa Municipal de Desarrollo Urbano</w:t>
      </w:r>
      <w:r>
        <w:rPr>
          <w:rFonts w:ascii="Arial" w:hAnsi="Arial" w:cs="Arial"/>
          <w:sz w:val="16"/>
          <w:szCs w:val="16"/>
        </w:rPr>
        <w:t xml:space="preserve"> de Hermosillo 2023 (IMPLAN, 2023).</w:t>
      </w:r>
    </w:p>
    <w:p w14:paraId="5A428E31" w14:textId="77777777" w:rsidR="00EC118C" w:rsidRDefault="00EC118C" w:rsidP="00B205BA">
      <w:pPr>
        <w:spacing w:after="120" w:line="240" w:lineRule="auto"/>
      </w:pPr>
    </w:p>
    <w:p w14:paraId="663FD492" w14:textId="04D3AB11" w:rsidR="00EC118C" w:rsidRDefault="00EC118C" w:rsidP="00B205BA">
      <w:pPr>
        <w:pStyle w:val="NormalWeb"/>
        <w:spacing w:before="0" w:beforeAutospacing="0" w:after="120" w:afterAutospacing="0"/>
        <w:jc w:val="both"/>
        <w:rPr>
          <w:rFonts w:ascii="Arial" w:hAnsi="Arial" w:cs="Arial"/>
          <w:sz w:val="22"/>
          <w:szCs w:val="22"/>
        </w:rPr>
      </w:pPr>
      <w:r w:rsidRPr="007248E2">
        <w:rPr>
          <w:rFonts w:ascii="Arial" w:hAnsi="Arial" w:cs="Arial"/>
          <w:sz w:val="22"/>
          <w:szCs w:val="22"/>
        </w:rPr>
        <w:t xml:space="preserve">En cuanto al estado de las calles, de acuerdo con </w:t>
      </w:r>
      <w:r>
        <w:rPr>
          <w:rFonts w:ascii="Arial" w:hAnsi="Arial" w:cs="Arial"/>
          <w:sz w:val="22"/>
          <w:szCs w:val="22"/>
        </w:rPr>
        <w:t>el documento</w:t>
      </w:r>
      <w:r w:rsidRPr="007248E2">
        <w:rPr>
          <w:rFonts w:ascii="Arial" w:hAnsi="Arial" w:cs="Arial"/>
          <w:sz w:val="22"/>
          <w:szCs w:val="22"/>
        </w:rPr>
        <w:t xml:space="preserve"> </w:t>
      </w:r>
      <w:r w:rsidRPr="000635AB">
        <w:rPr>
          <w:rFonts w:ascii="Arial" w:hAnsi="Arial" w:cs="Arial"/>
          <w:i/>
          <w:iCs/>
          <w:sz w:val="22"/>
          <w:szCs w:val="22"/>
        </w:rPr>
        <w:t>Características de Localidades y del Entorno Urbano</w:t>
      </w:r>
      <w:r>
        <w:rPr>
          <w:rFonts w:ascii="Arial" w:hAnsi="Arial" w:cs="Arial"/>
          <w:i/>
          <w:iCs/>
          <w:sz w:val="22"/>
          <w:szCs w:val="22"/>
        </w:rPr>
        <w:t xml:space="preserve"> 2020</w:t>
      </w:r>
      <w:r w:rsidRPr="008A26AB">
        <w:rPr>
          <w:rFonts w:ascii="Arial" w:hAnsi="Arial" w:cs="Arial"/>
          <w:sz w:val="22"/>
          <w:szCs w:val="22"/>
        </w:rPr>
        <w:t xml:space="preserve"> </w:t>
      </w:r>
      <w:r>
        <w:rPr>
          <w:rFonts w:ascii="Arial" w:hAnsi="Arial" w:cs="Arial"/>
          <w:sz w:val="22"/>
          <w:szCs w:val="22"/>
        </w:rPr>
        <w:t>del INEGI,</w:t>
      </w:r>
      <w:r w:rsidRPr="008A26AB">
        <w:rPr>
          <w:rFonts w:ascii="Arial" w:hAnsi="Arial" w:cs="Arial"/>
          <w:sz w:val="22"/>
          <w:szCs w:val="22"/>
        </w:rPr>
        <w:t xml:space="preserve"> el centro de población de Hermosillo cuenta con una cobertura de pavimento</w:t>
      </w:r>
      <w:r>
        <w:rPr>
          <w:rFonts w:ascii="Arial" w:hAnsi="Arial" w:cs="Arial"/>
          <w:sz w:val="22"/>
          <w:szCs w:val="22"/>
        </w:rPr>
        <w:t xml:space="preserve"> asfáltico</w:t>
      </w:r>
      <w:r w:rsidRPr="008A26AB">
        <w:rPr>
          <w:rFonts w:ascii="Arial" w:hAnsi="Arial" w:cs="Arial"/>
          <w:sz w:val="22"/>
          <w:szCs w:val="22"/>
        </w:rPr>
        <w:t xml:space="preserve"> o concreto </w:t>
      </w:r>
      <w:r>
        <w:rPr>
          <w:rFonts w:ascii="Arial" w:hAnsi="Arial" w:cs="Arial"/>
          <w:sz w:val="22"/>
          <w:szCs w:val="22"/>
        </w:rPr>
        <w:t>en</w:t>
      </w:r>
      <w:r w:rsidRPr="008A26AB">
        <w:rPr>
          <w:rFonts w:ascii="Arial" w:hAnsi="Arial" w:cs="Arial"/>
          <w:sz w:val="22"/>
          <w:szCs w:val="22"/>
        </w:rPr>
        <w:t xml:space="preserve"> </w:t>
      </w:r>
      <w:r>
        <w:rPr>
          <w:rFonts w:ascii="Arial" w:hAnsi="Arial" w:cs="Arial"/>
          <w:sz w:val="22"/>
          <w:szCs w:val="22"/>
        </w:rPr>
        <w:t>63.9</w:t>
      </w:r>
      <w:r w:rsidRPr="008A26AB">
        <w:rPr>
          <w:rFonts w:ascii="Arial" w:hAnsi="Arial" w:cs="Arial"/>
          <w:sz w:val="22"/>
          <w:szCs w:val="22"/>
        </w:rPr>
        <w:t xml:space="preserve"> % de </w:t>
      </w:r>
      <w:r>
        <w:rPr>
          <w:rFonts w:ascii="Arial" w:hAnsi="Arial" w:cs="Arial"/>
          <w:sz w:val="22"/>
          <w:szCs w:val="22"/>
        </w:rPr>
        <w:t>sus</w:t>
      </w:r>
      <w:r w:rsidRPr="008A26AB">
        <w:rPr>
          <w:rFonts w:ascii="Arial" w:hAnsi="Arial" w:cs="Arial"/>
          <w:sz w:val="22"/>
          <w:szCs w:val="22"/>
        </w:rPr>
        <w:t xml:space="preserve"> vialidades urbanas</w:t>
      </w:r>
      <w:r>
        <w:rPr>
          <w:rFonts w:ascii="Arial" w:hAnsi="Arial" w:cs="Arial"/>
          <w:sz w:val="22"/>
          <w:szCs w:val="22"/>
        </w:rPr>
        <w:t>. Así mismo,</w:t>
      </w:r>
      <w:r w:rsidRPr="008A26AB">
        <w:rPr>
          <w:rFonts w:ascii="Arial" w:hAnsi="Arial" w:cs="Arial"/>
          <w:sz w:val="22"/>
          <w:szCs w:val="22"/>
        </w:rPr>
        <w:t xml:space="preserve"> el </w:t>
      </w:r>
      <w:r>
        <w:rPr>
          <w:rFonts w:ascii="Arial" w:hAnsi="Arial" w:cs="Arial"/>
          <w:sz w:val="22"/>
          <w:szCs w:val="22"/>
        </w:rPr>
        <w:t>centro de población</w:t>
      </w:r>
      <w:r w:rsidRPr="008A26AB">
        <w:rPr>
          <w:rFonts w:ascii="Arial" w:hAnsi="Arial" w:cs="Arial"/>
          <w:sz w:val="22"/>
          <w:szCs w:val="22"/>
        </w:rPr>
        <w:t xml:space="preserve"> Miguel Alemán </w:t>
      </w:r>
      <w:r>
        <w:rPr>
          <w:rFonts w:ascii="Arial" w:hAnsi="Arial" w:cs="Arial"/>
          <w:sz w:val="22"/>
          <w:szCs w:val="22"/>
        </w:rPr>
        <w:t>presenta</w:t>
      </w:r>
      <w:r w:rsidRPr="008A26AB">
        <w:rPr>
          <w:rFonts w:ascii="Arial" w:hAnsi="Arial" w:cs="Arial"/>
          <w:sz w:val="22"/>
          <w:szCs w:val="22"/>
        </w:rPr>
        <w:t xml:space="preserve"> un 23.</w:t>
      </w:r>
      <w:r>
        <w:rPr>
          <w:rFonts w:ascii="Arial" w:hAnsi="Arial" w:cs="Arial"/>
          <w:sz w:val="22"/>
          <w:szCs w:val="22"/>
        </w:rPr>
        <w:t>8</w:t>
      </w:r>
      <w:r w:rsidRPr="008A26AB">
        <w:rPr>
          <w:rFonts w:ascii="Arial" w:hAnsi="Arial" w:cs="Arial"/>
          <w:sz w:val="22"/>
          <w:szCs w:val="22"/>
        </w:rPr>
        <w:t xml:space="preserve"> %</w:t>
      </w:r>
      <w:r>
        <w:rPr>
          <w:rFonts w:ascii="Arial" w:hAnsi="Arial" w:cs="Arial"/>
          <w:sz w:val="22"/>
          <w:szCs w:val="22"/>
        </w:rPr>
        <w:t xml:space="preserve"> de cobertura,</w:t>
      </w:r>
      <w:r w:rsidRPr="008A26AB">
        <w:rPr>
          <w:rFonts w:ascii="Arial" w:hAnsi="Arial" w:cs="Arial"/>
          <w:sz w:val="22"/>
          <w:szCs w:val="22"/>
        </w:rPr>
        <w:t xml:space="preserve"> y el </w:t>
      </w:r>
      <w:r>
        <w:rPr>
          <w:rFonts w:ascii="Arial" w:hAnsi="Arial" w:cs="Arial"/>
          <w:sz w:val="22"/>
          <w:szCs w:val="22"/>
        </w:rPr>
        <w:t>de</w:t>
      </w:r>
      <w:r w:rsidRPr="008A26AB">
        <w:rPr>
          <w:rFonts w:ascii="Arial" w:hAnsi="Arial" w:cs="Arial"/>
          <w:sz w:val="22"/>
          <w:szCs w:val="22"/>
        </w:rPr>
        <w:t xml:space="preserve"> Bahía </w:t>
      </w:r>
      <w:r>
        <w:rPr>
          <w:rFonts w:ascii="Arial" w:hAnsi="Arial" w:cs="Arial"/>
          <w:sz w:val="22"/>
          <w:szCs w:val="22"/>
        </w:rPr>
        <w:t xml:space="preserve">de </w:t>
      </w:r>
      <w:r w:rsidRPr="008A26AB">
        <w:rPr>
          <w:rFonts w:ascii="Arial" w:hAnsi="Arial" w:cs="Arial"/>
          <w:sz w:val="22"/>
          <w:szCs w:val="22"/>
        </w:rPr>
        <w:t>Kino</w:t>
      </w:r>
      <w:r>
        <w:rPr>
          <w:rFonts w:ascii="Arial" w:hAnsi="Arial" w:cs="Arial"/>
          <w:sz w:val="22"/>
          <w:szCs w:val="22"/>
        </w:rPr>
        <w:t>,</w:t>
      </w:r>
      <w:r w:rsidRPr="008A26AB">
        <w:rPr>
          <w:rFonts w:ascii="Arial" w:hAnsi="Arial" w:cs="Arial"/>
          <w:sz w:val="22"/>
          <w:szCs w:val="22"/>
        </w:rPr>
        <w:t xml:space="preserve"> 24.</w:t>
      </w:r>
      <w:r>
        <w:rPr>
          <w:rFonts w:ascii="Arial" w:hAnsi="Arial" w:cs="Arial"/>
          <w:sz w:val="22"/>
          <w:szCs w:val="22"/>
        </w:rPr>
        <w:t xml:space="preserve">9 </w:t>
      </w:r>
      <w:r w:rsidRPr="008A26AB">
        <w:rPr>
          <w:rFonts w:ascii="Arial" w:hAnsi="Arial" w:cs="Arial"/>
          <w:sz w:val="22"/>
          <w:szCs w:val="22"/>
        </w:rPr>
        <w:t xml:space="preserve">%. </w:t>
      </w:r>
      <w:r>
        <w:rPr>
          <w:rFonts w:ascii="Arial" w:hAnsi="Arial" w:cs="Arial"/>
          <w:sz w:val="22"/>
          <w:szCs w:val="22"/>
        </w:rPr>
        <w:t xml:space="preserve">En </w:t>
      </w:r>
      <w:r w:rsidRPr="008A26AB">
        <w:rPr>
          <w:rFonts w:ascii="Arial" w:hAnsi="Arial" w:cs="Arial"/>
          <w:sz w:val="22"/>
          <w:szCs w:val="22"/>
        </w:rPr>
        <w:t>Miguel Alemán</w:t>
      </w:r>
      <w:r>
        <w:rPr>
          <w:rFonts w:ascii="Arial" w:hAnsi="Arial" w:cs="Arial"/>
          <w:sz w:val="22"/>
          <w:szCs w:val="22"/>
        </w:rPr>
        <w:t>,</w:t>
      </w:r>
      <w:r w:rsidRPr="008A26AB">
        <w:rPr>
          <w:rFonts w:ascii="Arial" w:hAnsi="Arial" w:cs="Arial"/>
          <w:sz w:val="22"/>
          <w:szCs w:val="22"/>
        </w:rPr>
        <w:t xml:space="preserve"> 66</w:t>
      </w:r>
      <w:r>
        <w:rPr>
          <w:rFonts w:ascii="Arial" w:hAnsi="Arial" w:cs="Arial"/>
          <w:sz w:val="22"/>
          <w:szCs w:val="22"/>
        </w:rPr>
        <w:t xml:space="preserve"> </w:t>
      </w:r>
      <w:r w:rsidRPr="008A26AB">
        <w:rPr>
          <w:rFonts w:ascii="Arial" w:hAnsi="Arial" w:cs="Arial"/>
          <w:sz w:val="22"/>
          <w:szCs w:val="22"/>
        </w:rPr>
        <w:t xml:space="preserve">% de </w:t>
      </w:r>
      <w:r>
        <w:rPr>
          <w:rFonts w:ascii="Arial" w:hAnsi="Arial" w:cs="Arial"/>
          <w:sz w:val="22"/>
          <w:szCs w:val="22"/>
        </w:rPr>
        <w:t xml:space="preserve">las </w:t>
      </w:r>
      <w:r w:rsidRPr="008A26AB">
        <w:rPr>
          <w:rFonts w:ascii="Arial" w:hAnsi="Arial" w:cs="Arial"/>
          <w:sz w:val="22"/>
          <w:szCs w:val="22"/>
        </w:rPr>
        <w:t xml:space="preserve">calles </w:t>
      </w:r>
      <w:r>
        <w:rPr>
          <w:rFonts w:ascii="Arial" w:hAnsi="Arial" w:cs="Arial"/>
          <w:sz w:val="22"/>
          <w:szCs w:val="22"/>
        </w:rPr>
        <w:t>no cuentan con</w:t>
      </w:r>
      <w:r w:rsidRPr="008A26AB">
        <w:rPr>
          <w:rFonts w:ascii="Arial" w:hAnsi="Arial" w:cs="Arial"/>
          <w:sz w:val="22"/>
          <w:szCs w:val="22"/>
        </w:rPr>
        <w:t xml:space="preserve"> ningún recubrimiento, </w:t>
      </w:r>
      <w:r>
        <w:rPr>
          <w:rFonts w:ascii="Arial" w:hAnsi="Arial" w:cs="Arial"/>
          <w:sz w:val="22"/>
          <w:szCs w:val="22"/>
        </w:rPr>
        <w:t xml:space="preserve">y </w:t>
      </w:r>
      <w:r w:rsidRPr="008A26AB">
        <w:rPr>
          <w:rFonts w:ascii="Arial" w:hAnsi="Arial" w:cs="Arial"/>
          <w:sz w:val="22"/>
          <w:szCs w:val="22"/>
        </w:rPr>
        <w:t>61</w:t>
      </w:r>
      <w:r>
        <w:rPr>
          <w:rFonts w:ascii="Arial" w:hAnsi="Arial" w:cs="Arial"/>
          <w:sz w:val="22"/>
          <w:szCs w:val="22"/>
        </w:rPr>
        <w:t xml:space="preserve"> </w:t>
      </w:r>
      <w:r w:rsidRPr="008A26AB">
        <w:rPr>
          <w:rFonts w:ascii="Arial" w:hAnsi="Arial" w:cs="Arial"/>
          <w:sz w:val="22"/>
          <w:szCs w:val="22"/>
        </w:rPr>
        <w:t xml:space="preserve">% de las calles </w:t>
      </w:r>
      <w:r>
        <w:rPr>
          <w:rFonts w:ascii="Arial" w:hAnsi="Arial" w:cs="Arial"/>
          <w:sz w:val="22"/>
          <w:szCs w:val="22"/>
        </w:rPr>
        <w:t>de Bahía de Kino están en esa misma condición</w:t>
      </w:r>
      <w:r w:rsidRPr="008A26AB">
        <w:rPr>
          <w:rFonts w:ascii="Arial" w:hAnsi="Arial" w:cs="Arial"/>
          <w:sz w:val="22"/>
          <w:szCs w:val="22"/>
        </w:rPr>
        <w:t xml:space="preserve">. </w:t>
      </w:r>
    </w:p>
    <w:p w14:paraId="37C94D32" w14:textId="475664B8" w:rsidR="00EC118C" w:rsidRDefault="00EC118C" w:rsidP="00B205BA">
      <w:pPr>
        <w:pStyle w:val="NormalWeb"/>
        <w:spacing w:before="0" w:beforeAutospacing="0" w:after="120" w:afterAutospacing="0"/>
        <w:jc w:val="both"/>
        <w:rPr>
          <w:rFonts w:ascii="Arial" w:hAnsi="Arial" w:cs="Arial"/>
          <w:sz w:val="22"/>
          <w:szCs w:val="22"/>
        </w:rPr>
      </w:pPr>
      <w:r>
        <w:rPr>
          <w:rFonts w:ascii="Arial" w:hAnsi="Arial" w:cs="Arial"/>
          <w:sz w:val="22"/>
          <w:szCs w:val="22"/>
        </w:rPr>
        <w:t>La tabla 6 contiene la información sobre</w:t>
      </w:r>
      <w:r w:rsidRPr="008A26AB">
        <w:rPr>
          <w:rFonts w:ascii="Arial" w:hAnsi="Arial" w:cs="Arial"/>
          <w:sz w:val="22"/>
          <w:szCs w:val="22"/>
        </w:rPr>
        <w:t xml:space="preserve"> cobertura </w:t>
      </w:r>
      <w:r>
        <w:rPr>
          <w:rFonts w:ascii="Arial" w:hAnsi="Arial" w:cs="Arial"/>
          <w:sz w:val="22"/>
          <w:szCs w:val="22"/>
        </w:rPr>
        <w:t>de banquetas, alumbrado público y árboles</w:t>
      </w:r>
      <w:r w:rsidRPr="008A26AB">
        <w:rPr>
          <w:rFonts w:ascii="Arial" w:hAnsi="Arial" w:cs="Arial"/>
          <w:sz w:val="22"/>
          <w:szCs w:val="22"/>
        </w:rPr>
        <w:t xml:space="preserve"> en </w:t>
      </w:r>
      <w:r>
        <w:rPr>
          <w:rFonts w:ascii="Arial" w:hAnsi="Arial" w:cs="Arial"/>
          <w:sz w:val="22"/>
          <w:szCs w:val="22"/>
        </w:rPr>
        <w:t>estos</w:t>
      </w:r>
      <w:r w:rsidRPr="008A26AB">
        <w:rPr>
          <w:rFonts w:ascii="Arial" w:hAnsi="Arial" w:cs="Arial"/>
          <w:sz w:val="22"/>
          <w:szCs w:val="22"/>
        </w:rPr>
        <w:t xml:space="preserve"> tres centros de </w:t>
      </w:r>
      <w:r w:rsidRPr="00D53EFF">
        <w:rPr>
          <w:rFonts w:ascii="Arial" w:hAnsi="Arial" w:cs="Arial"/>
          <w:sz w:val="22"/>
          <w:szCs w:val="22"/>
        </w:rPr>
        <w:t>población.</w:t>
      </w:r>
    </w:p>
    <w:tbl>
      <w:tblPr>
        <w:tblStyle w:val="Tablaconcuadrculaclara"/>
        <w:tblW w:w="0" w:type="auto"/>
        <w:jc w:val="center"/>
        <w:tblLook w:val="04A0" w:firstRow="1" w:lastRow="0" w:firstColumn="1" w:lastColumn="0" w:noHBand="0" w:noVBand="1"/>
      </w:tblPr>
      <w:tblGrid>
        <w:gridCol w:w="2839"/>
        <w:gridCol w:w="1982"/>
        <w:gridCol w:w="1845"/>
        <w:gridCol w:w="1698"/>
      </w:tblGrid>
      <w:tr w:rsidR="00EC118C" w:rsidRPr="006C439B" w14:paraId="545625CF" w14:textId="77777777" w:rsidTr="000635AB">
        <w:trPr>
          <w:trHeight w:val="154"/>
          <w:jc w:val="center"/>
        </w:trPr>
        <w:tc>
          <w:tcPr>
            <w:tcW w:w="8364" w:type="dxa"/>
            <w:gridSpan w:val="4"/>
            <w:shd w:val="clear" w:color="auto" w:fill="ED7D31" w:themeFill="accent2"/>
          </w:tcPr>
          <w:p w14:paraId="40A3508E" w14:textId="2C863D96" w:rsidR="00EC118C" w:rsidRPr="006C439B" w:rsidRDefault="00EC118C" w:rsidP="00B205BA">
            <w:pPr>
              <w:pStyle w:val="NormalWeb"/>
              <w:spacing w:before="0" w:beforeAutospacing="0" w:after="120" w:afterAutospacing="0"/>
              <w:jc w:val="center"/>
              <w:rPr>
                <w:rFonts w:ascii="Arial" w:hAnsi="Arial" w:cs="Arial"/>
                <w:color w:val="FFFFFF" w:themeColor="background1"/>
                <w:sz w:val="18"/>
                <w:szCs w:val="18"/>
              </w:rPr>
            </w:pPr>
            <w:r>
              <w:rPr>
                <w:rFonts w:ascii="Arial" w:hAnsi="Arial" w:cs="Arial"/>
                <w:b/>
                <w:bCs/>
                <w:color w:val="FFFFFF" w:themeColor="background1"/>
                <w:sz w:val="18"/>
                <w:szCs w:val="18"/>
              </w:rPr>
              <w:t xml:space="preserve">TABLA 6. </w:t>
            </w:r>
            <w:r w:rsidRPr="008F3A0C">
              <w:rPr>
                <w:rFonts w:ascii="Arial" w:hAnsi="Arial" w:cs="Arial"/>
                <w:b/>
                <w:bCs/>
                <w:color w:val="FFFFFF" w:themeColor="background1"/>
                <w:sz w:val="18"/>
                <w:szCs w:val="18"/>
              </w:rPr>
              <w:t xml:space="preserve">CARACTERÍSTICAS DEL ENTORNO URBANO </w:t>
            </w:r>
            <w:r>
              <w:rPr>
                <w:rFonts w:ascii="Arial" w:hAnsi="Arial" w:cs="Arial"/>
                <w:b/>
                <w:bCs/>
                <w:color w:val="FFFFFF" w:themeColor="background1"/>
                <w:sz w:val="18"/>
                <w:szCs w:val="18"/>
              </w:rPr>
              <w:t xml:space="preserve">SEGÚN </w:t>
            </w:r>
            <w:r w:rsidRPr="008F3A0C">
              <w:rPr>
                <w:rFonts w:ascii="Arial" w:hAnsi="Arial" w:cs="Arial"/>
                <w:b/>
                <w:bCs/>
                <w:color w:val="FFFFFF" w:themeColor="background1"/>
                <w:sz w:val="18"/>
                <w:szCs w:val="18"/>
              </w:rPr>
              <w:t>CENTRO POBLACIONAL</w:t>
            </w:r>
            <w:r w:rsidR="0086730D">
              <w:rPr>
                <w:rFonts w:ascii="Arial" w:hAnsi="Arial" w:cs="Arial"/>
                <w:b/>
                <w:bCs/>
                <w:color w:val="FFFFFF" w:themeColor="background1"/>
                <w:sz w:val="18"/>
                <w:szCs w:val="18"/>
              </w:rPr>
              <w:t>.</w:t>
            </w:r>
          </w:p>
        </w:tc>
      </w:tr>
      <w:tr w:rsidR="00EC118C" w:rsidRPr="006C439B" w14:paraId="2CA2204A" w14:textId="77777777" w:rsidTr="000635AB">
        <w:trPr>
          <w:trHeight w:val="237"/>
          <w:jc w:val="center"/>
        </w:trPr>
        <w:tc>
          <w:tcPr>
            <w:tcW w:w="2839" w:type="dxa"/>
            <w:shd w:val="clear" w:color="auto" w:fill="D9D9D9" w:themeFill="background1" w:themeFillShade="D9"/>
          </w:tcPr>
          <w:p w14:paraId="07F56852" w14:textId="77777777" w:rsidR="00EC118C" w:rsidRPr="000635AB" w:rsidRDefault="00EC118C" w:rsidP="00B205BA">
            <w:pPr>
              <w:pStyle w:val="NormalWeb"/>
              <w:spacing w:before="0" w:beforeAutospacing="0" w:after="120" w:afterAutospacing="0"/>
              <w:jc w:val="center"/>
              <w:rPr>
                <w:rFonts w:ascii="Arial" w:hAnsi="Arial" w:cs="Arial"/>
                <w:b/>
                <w:bCs/>
                <w:sz w:val="18"/>
                <w:szCs w:val="18"/>
              </w:rPr>
            </w:pPr>
            <w:r w:rsidRPr="000635AB">
              <w:rPr>
                <w:rFonts w:ascii="Arial" w:hAnsi="Arial" w:cs="Arial"/>
                <w:b/>
                <w:bCs/>
                <w:sz w:val="18"/>
                <w:szCs w:val="18"/>
              </w:rPr>
              <w:t>Características</w:t>
            </w:r>
          </w:p>
        </w:tc>
        <w:tc>
          <w:tcPr>
            <w:tcW w:w="1982" w:type="dxa"/>
            <w:shd w:val="clear" w:color="auto" w:fill="D9D9D9" w:themeFill="background1" w:themeFillShade="D9"/>
          </w:tcPr>
          <w:p w14:paraId="6CAFB767" w14:textId="77777777" w:rsidR="00EC118C" w:rsidRPr="000635AB" w:rsidRDefault="00EC118C" w:rsidP="00B205BA">
            <w:pPr>
              <w:pStyle w:val="NormalWeb"/>
              <w:spacing w:before="0" w:beforeAutospacing="0" w:after="120" w:afterAutospacing="0"/>
              <w:jc w:val="center"/>
              <w:rPr>
                <w:rFonts w:ascii="Arial" w:hAnsi="Arial" w:cs="Arial"/>
                <w:b/>
                <w:bCs/>
                <w:sz w:val="18"/>
                <w:szCs w:val="18"/>
              </w:rPr>
            </w:pPr>
            <w:r w:rsidRPr="000635AB">
              <w:rPr>
                <w:rFonts w:ascii="Arial" w:hAnsi="Arial" w:cs="Arial"/>
                <w:b/>
                <w:bCs/>
                <w:sz w:val="18"/>
                <w:szCs w:val="18"/>
              </w:rPr>
              <w:t>Frentes de manzana</w:t>
            </w:r>
          </w:p>
        </w:tc>
        <w:tc>
          <w:tcPr>
            <w:tcW w:w="1845" w:type="dxa"/>
            <w:shd w:val="clear" w:color="auto" w:fill="D9D9D9" w:themeFill="background1" w:themeFillShade="D9"/>
          </w:tcPr>
          <w:p w14:paraId="2C1BCB4D" w14:textId="77777777" w:rsidR="00EC118C" w:rsidRPr="000635AB" w:rsidRDefault="00EC118C" w:rsidP="00B205BA">
            <w:pPr>
              <w:pStyle w:val="NormalWeb"/>
              <w:spacing w:before="0" w:beforeAutospacing="0" w:after="120" w:afterAutospacing="0"/>
              <w:jc w:val="center"/>
              <w:rPr>
                <w:rFonts w:ascii="Arial" w:hAnsi="Arial" w:cs="Arial"/>
                <w:b/>
                <w:bCs/>
                <w:sz w:val="18"/>
                <w:szCs w:val="18"/>
              </w:rPr>
            </w:pPr>
            <w:r w:rsidRPr="000635AB">
              <w:rPr>
                <w:rFonts w:ascii="Arial" w:hAnsi="Arial" w:cs="Arial"/>
                <w:b/>
                <w:bCs/>
                <w:sz w:val="18"/>
                <w:szCs w:val="18"/>
              </w:rPr>
              <w:t>Extensión (km)</w:t>
            </w:r>
          </w:p>
        </w:tc>
        <w:tc>
          <w:tcPr>
            <w:tcW w:w="1698" w:type="dxa"/>
            <w:shd w:val="clear" w:color="auto" w:fill="D9D9D9" w:themeFill="background1" w:themeFillShade="D9"/>
          </w:tcPr>
          <w:p w14:paraId="41531D91" w14:textId="77777777" w:rsidR="00EC118C" w:rsidRPr="000635AB" w:rsidRDefault="00EC118C" w:rsidP="00B205BA">
            <w:pPr>
              <w:pStyle w:val="NormalWeb"/>
              <w:spacing w:before="0" w:beforeAutospacing="0" w:after="120" w:afterAutospacing="0"/>
              <w:jc w:val="center"/>
              <w:rPr>
                <w:rFonts w:ascii="Arial" w:hAnsi="Arial" w:cs="Arial"/>
                <w:b/>
                <w:bCs/>
                <w:sz w:val="18"/>
                <w:szCs w:val="18"/>
              </w:rPr>
            </w:pPr>
            <w:r w:rsidRPr="000635AB">
              <w:rPr>
                <w:rFonts w:ascii="Arial" w:hAnsi="Arial" w:cs="Arial"/>
                <w:b/>
                <w:bCs/>
                <w:sz w:val="18"/>
                <w:szCs w:val="18"/>
              </w:rPr>
              <w:t>% total</w:t>
            </w:r>
          </w:p>
        </w:tc>
      </w:tr>
      <w:tr w:rsidR="00EC118C" w:rsidRPr="006C439B" w14:paraId="479DE3BF" w14:textId="77777777" w:rsidTr="000635AB">
        <w:trPr>
          <w:trHeight w:val="237"/>
          <w:jc w:val="center"/>
        </w:trPr>
        <w:tc>
          <w:tcPr>
            <w:tcW w:w="2839" w:type="dxa"/>
            <w:shd w:val="clear" w:color="auto" w:fill="767171" w:themeFill="background2" w:themeFillShade="80"/>
          </w:tcPr>
          <w:p w14:paraId="62BD7DD7" w14:textId="77777777" w:rsidR="00EC118C" w:rsidRPr="00F477C9" w:rsidRDefault="00EC118C" w:rsidP="00B205BA">
            <w:pPr>
              <w:pStyle w:val="NormalWeb"/>
              <w:spacing w:before="0" w:beforeAutospacing="0" w:after="120" w:afterAutospacing="0"/>
              <w:jc w:val="both"/>
              <w:rPr>
                <w:rFonts w:ascii="Arial" w:hAnsi="Arial" w:cs="Arial"/>
                <w:color w:val="FFFFFF" w:themeColor="background1"/>
                <w:sz w:val="18"/>
                <w:szCs w:val="18"/>
              </w:rPr>
            </w:pPr>
            <w:r w:rsidRPr="00F477C9">
              <w:rPr>
                <w:rFonts w:ascii="Arial" w:hAnsi="Arial" w:cs="Arial"/>
                <w:b/>
                <w:bCs/>
                <w:color w:val="FFFFFF" w:themeColor="background1"/>
                <w:sz w:val="18"/>
                <w:szCs w:val="18"/>
              </w:rPr>
              <w:t>Hermosillo</w:t>
            </w:r>
          </w:p>
        </w:tc>
        <w:tc>
          <w:tcPr>
            <w:tcW w:w="1982" w:type="dxa"/>
          </w:tcPr>
          <w:p w14:paraId="1A917B79"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p>
        </w:tc>
        <w:tc>
          <w:tcPr>
            <w:tcW w:w="1845" w:type="dxa"/>
          </w:tcPr>
          <w:p w14:paraId="5A3A86AE"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p>
        </w:tc>
        <w:tc>
          <w:tcPr>
            <w:tcW w:w="1698" w:type="dxa"/>
          </w:tcPr>
          <w:p w14:paraId="124DA41F"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p>
        </w:tc>
      </w:tr>
      <w:tr w:rsidR="00EC118C" w:rsidRPr="006C439B" w14:paraId="19F18F35" w14:textId="77777777" w:rsidTr="000635AB">
        <w:trPr>
          <w:trHeight w:val="226"/>
          <w:jc w:val="center"/>
        </w:trPr>
        <w:tc>
          <w:tcPr>
            <w:tcW w:w="2839" w:type="dxa"/>
          </w:tcPr>
          <w:p w14:paraId="0F36EFDB"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Pavimento</w:t>
            </w:r>
          </w:p>
        </w:tc>
        <w:tc>
          <w:tcPr>
            <w:tcW w:w="1982" w:type="dxa"/>
          </w:tcPr>
          <w:p w14:paraId="499C5363"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60</w:t>
            </w:r>
            <w:r>
              <w:rPr>
                <w:rFonts w:ascii="Arial" w:hAnsi="Arial" w:cs="Arial"/>
                <w:color w:val="000000"/>
                <w:sz w:val="18"/>
                <w:szCs w:val="18"/>
              </w:rPr>
              <w:t xml:space="preserve"> </w:t>
            </w:r>
            <w:r w:rsidRPr="006C439B">
              <w:rPr>
                <w:rFonts w:ascii="Arial" w:hAnsi="Arial" w:cs="Arial"/>
                <w:color w:val="000000"/>
                <w:sz w:val="18"/>
                <w:szCs w:val="18"/>
              </w:rPr>
              <w:t>719</w:t>
            </w:r>
          </w:p>
        </w:tc>
        <w:tc>
          <w:tcPr>
            <w:tcW w:w="1845" w:type="dxa"/>
          </w:tcPr>
          <w:p w14:paraId="0D37EAF7"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4714.66</w:t>
            </w:r>
          </w:p>
        </w:tc>
        <w:tc>
          <w:tcPr>
            <w:tcW w:w="1698" w:type="dxa"/>
            <w:shd w:val="clear" w:color="auto" w:fill="E7E6E6" w:themeFill="background2"/>
          </w:tcPr>
          <w:p w14:paraId="353DABB8"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66.77</w:t>
            </w:r>
          </w:p>
        </w:tc>
      </w:tr>
      <w:tr w:rsidR="00EC118C" w:rsidRPr="006C439B" w14:paraId="6F4712C4" w14:textId="77777777" w:rsidTr="000635AB">
        <w:trPr>
          <w:trHeight w:val="237"/>
          <w:jc w:val="center"/>
        </w:trPr>
        <w:tc>
          <w:tcPr>
            <w:tcW w:w="2839" w:type="dxa"/>
          </w:tcPr>
          <w:p w14:paraId="630FA42A"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Banqueta</w:t>
            </w:r>
          </w:p>
        </w:tc>
        <w:tc>
          <w:tcPr>
            <w:tcW w:w="1982" w:type="dxa"/>
          </w:tcPr>
          <w:p w14:paraId="6A19DD23"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54</w:t>
            </w:r>
            <w:r>
              <w:rPr>
                <w:rFonts w:ascii="Arial" w:hAnsi="Arial" w:cs="Arial"/>
                <w:color w:val="000000"/>
                <w:sz w:val="18"/>
                <w:szCs w:val="18"/>
              </w:rPr>
              <w:t xml:space="preserve"> </w:t>
            </w:r>
            <w:r w:rsidRPr="006C439B">
              <w:rPr>
                <w:rFonts w:ascii="Arial" w:hAnsi="Arial" w:cs="Arial"/>
                <w:color w:val="000000"/>
                <w:sz w:val="18"/>
                <w:szCs w:val="18"/>
              </w:rPr>
              <w:t>512</w:t>
            </w:r>
          </w:p>
        </w:tc>
        <w:tc>
          <w:tcPr>
            <w:tcW w:w="1845" w:type="dxa"/>
          </w:tcPr>
          <w:p w14:paraId="7D45678B"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4249.39</w:t>
            </w:r>
          </w:p>
        </w:tc>
        <w:tc>
          <w:tcPr>
            <w:tcW w:w="1698" w:type="dxa"/>
            <w:shd w:val="clear" w:color="auto" w:fill="E7E6E6" w:themeFill="background2"/>
          </w:tcPr>
          <w:p w14:paraId="6AA24BE9"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59.95</w:t>
            </w:r>
          </w:p>
        </w:tc>
      </w:tr>
      <w:tr w:rsidR="00EC118C" w:rsidRPr="006C439B" w14:paraId="1B073020" w14:textId="77777777" w:rsidTr="000635AB">
        <w:trPr>
          <w:trHeight w:val="237"/>
          <w:jc w:val="center"/>
        </w:trPr>
        <w:tc>
          <w:tcPr>
            <w:tcW w:w="2839" w:type="dxa"/>
            <w:shd w:val="clear" w:color="auto" w:fill="auto"/>
          </w:tcPr>
          <w:p w14:paraId="14A7E357" w14:textId="77777777" w:rsidR="00EC118C" w:rsidRPr="00284041" w:rsidRDefault="00EC118C" w:rsidP="00B205BA">
            <w:pPr>
              <w:pStyle w:val="NormalWeb"/>
              <w:spacing w:before="0" w:beforeAutospacing="0" w:after="120" w:afterAutospacing="0"/>
              <w:jc w:val="both"/>
              <w:rPr>
                <w:rFonts w:ascii="Arial" w:hAnsi="Arial" w:cs="Arial"/>
                <w:color w:val="000000"/>
                <w:sz w:val="18"/>
                <w:szCs w:val="18"/>
              </w:rPr>
            </w:pPr>
            <w:r w:rsidRPr="00284041">
              <w:rPr>
                <w:rFonts w:ascii="Arial" w:hAnsi="Arial" w:cs="Arial"/>
                <w:color w:val="000000"/>
                <w:sz w:val="18"/>
                <w:szCs w:val="18"/>
              </w:rPr>
              <w:t xml:space="preserve">Alumbrado </w:t>
            </w:r>
            <w:r>
              <w:rPr>
                <w:rFonts w:ascii="Arial" w:hAnsi="Arial" w:cs="Arial"/>
                <w:color w:val="000000"/>
                <w:sz w:val="18"/>
                <w:szCs w:val="18"/>
              </w:rPr>
              <w:t>p</w:t>
            </w:r>
            <w:r w:rsidRPr="00284041">
              <w:rPr>
                <w:rFonts w:ascii="Arial" w:hAnsi="Arial" w:cs="Arial"/>
                <w:color w:val="000000"/>
                <w:sz w:val="18"/>
                <w:szCs w:val="18"/>
              </w:rPr>
              <w:t>úblico</w:t>
            </w:r>
          </w:p>
        </w:tc>
        <w:tc>
          <w:tcPr>
            <w:tcW w:w="1982" w:type="dxa"/>
            <w:shd w:val="clear" w:color="auto" w:fill="auto"/>
          </w:tcPr>
          <w:p w14:paraId="07C93715" w14:textId="77777777" w:rsidR="00EC118C" w:rsidRPr="00284041" w:rsidRDefault="00EC118C" w:rsidP="00B205BA">
            <w:pPr>
              <w:pStyle w:val="NormalWeb"/>
              <w:spacing w:after="120" w:afterAutospacing="0"/>
              <w:jc w:val="center"/>
              <w:rPr>
                <w:rFonts w:ascii="Arial" w:hAnsi="Arial" w:cs="Arial"/>
                <w:color w:val="000000"/>
                <w:sz w:val="18"/>
                <w:szCs w:val="18"/>
              </w:rPr>
            </w:pPr>
            <w:r w:rsidRPr="00284041">
              <w:rPr>
                <w:rFonts w:ascii="Arial" w:hAnsi="Arial" w:cs="Arial"/>
                <w:color w:val="000000"/>
                <w:sz w:val="18"/>
                <w:szCs w:val="18"/>
              </w:rPr>
              <w:t>33</w:t>
            </w:r>
            <w:r>
              <w:rPr>
                <w:rFonts w:ascii="Arial" w:hAnsi="Arial" w:cs="Arial"/>
                <w:color w:val="000000"/>
                <w:sz w:val="18"/>
                <w:szCs w:val="18"/>
              </w:rPr>
              <w:t xml:space="preserve"> </w:t>
            </w:r>
            <w:r w:rsidRPr="00284041">
              <w:rPr>
                <w:rFonts w:ascii="Arial" w:hAnsi="Arial" w:cs="Arial"/>
                <w:color w:val="000000"/>
                <w:sz w:val="18"/>
                <w:szCs w:val="18"/>
              </w:rPr>
              <w:t>830</w:t>
            </w:r>
          </w:p>
        </w:tc>
        <w:tc>
          <w:tcPr>
            <w:tcW w:w="1845" w:type="dxa"/>
            <w:shd w:val="clear" w:color="auto" w:fill="auto"/>
          </w:tcPr>
          <w:p w14:paraId="4D52D621" w14:textId="77777777" w:rsidR="00EC118C" w:rsidRPr="00284041" w:rsidRDefault="00EC118C" w:rsidP="00B205BA">
            <w:pPr>
              <w:pStyle w:val="NormalWeb"/>
              <w:spacing w:after="120" w:afterAutospacing="0"/>
              <w:jc w:val="center"/>
              <w:rPr>
                <w:rFonts w:ascii="Arial" w:hAnsi="Arial" w:cs="Arial"/>
                <w:color w:val="000000"/>
                <w:sz w:val="18"/>
                <w:szCs w:val="18"/>
              </w:rPr>
            </w:pPr>
            <w:r w:rsidRPr="00284041">
              <w:rPr>
                <w:rFonts w:ascii="Arial" w:hAnsi="Arial" w:cs="Arial"/>
                <w:color w:val="000000"/>
                <w:sz w:val="18"/>
                <w:szCs w:val="18"/>
              </w:rPr>
              <w:t>2987.39</w:t>
            </w:r>
          </w:p>
        </w:tc>
        <w:tc>
          <w:tcPr>
            <w:tcW w:w="1698" w:type="dxa"/>
            <w:shd w:val="clear" w:color="auto" w:fill="auto"/>
          </w:tcPr>
          <w:p w14:paraId="7DED7DFC" w14:textId="77777777" w:rsidR="00EC118C" w:rsidRPr="00284041" w:rsidRDefault="00EC118C" w:rsidP="00B205BA">
            <w:pPr>
              <w:pStyle w:val="NormalWeb"/>
              <w:spacing w:after="120" w:afterAutospacing="0"/>
              <w:jc w:val="center"/>
              <w:rPr>
                <w:rFonts w:ascii="Arial" w:hAnsi="Arial" w:cs="Arial"/>
                <w:color w:val="000000"/>
                <w:sz w:val="18"/>
                <w:szCs w:val="18"/>
              </w:rPr>
            </w:pPr>
            <w:r w:rsidRPr="00284041">
              <w:rPr>
                <w:rFonts w:ascii="Arial" w:hAnsi="Arial" w:cs="Arial"/>
                <w:color w:val="000000"/>
                <w:sz w:val="18"/>
                <w:szCs w:val="18"/>
              </w:rPr>
              <w:t>37.20</w:t>
            </w:r>
          </w:p>
        </w:tc>
      </w:tr>
      <w:tr w:rsidR="00EC118C" w:rsidRPr="006C439B" w14:paraId="68E3F979" w14:textId="77777777" w:rsidTr="000635AB">
        <w:trPr>
          <w:trHeight w:val="237"/>
          <w:jc w:val="center"/>
        </w:trPr>
        <w:tc>
          <w:tcPr>
            <w:tcW w:w="2839" w:type="dxa"/>
          </w:tcPr>
          <w:p w14:paraId="7DCDED99"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Árboles</w:t>
            </w:r>
          </w:p>
        </w:tc>
        <w:tc>
          <w:tcPr>
            <w:tcW w:w="1982" w:type="dxa"/>
          </w:tcPr>
          <w:p w14:paraId="60210CB4"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39</w:t>
            </w:r>
            <w:r>
              <w:rPr>
                <w:rFonts w:ascii="Arial" w:hAnsi="Arial" w:cs="Arial"/>
                <w:color w:val="000000"/>
                <w:sz w:val="18"/>
                <w:szCs w:val="18"/>
              </w:rPr>
              <w:t xml:space="preserve"> </w:t>
            </w:r>
            <w:r w:rsidRPr="006C439B">
              <w:rPr>
                <w:rFonts w:ascii="Arial" w:hAnsi="Arial" w:cs="Arial"/>
                <w:color w:val="000000"/>
                <w:sz w:val="18"/>
                <w:szCs w:val="18"/>
              </w:rPr>
              <w:t>985</w:t>
            </w:r>
          </w:p>
        </w:tc>
        <w:tc>
          <w:tcPr>
            <w:tcW w:w="1845" w:type="dxa"/>
          </w:tcPr>
          <w:p w14:paraId="6EF1349F"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3550.66</w:t>
            </w:r>
          </w:p>
        </w:tc>
        <w:tc>
          <w:tcPr>
            <w:tcW w:w="1698" w:type="dxa"/>
            <w:shd w:val="clear" w:color="auto" w:fill="E7E6E6" w:themeFill="background2"/>
          </w:tcPr>
          <w:p w14:paraId="367CB2CB"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4..97</w:t>
            </w:r>
          </w:p>
        </w:tc>
      </w:tr>
      <w:tr w:rsidR="00EC118C" w:rsidRPr="006C439B" w14:paraId="1F016A86" w14:textId="77777777" w:rsidTr="000635AB">
        <w:trPr>
          <w:trHeight w:val="226"/>
          <w:jc w:val="center"/>
        </w:trPr>
        <w:tc>
          <w:tcPr>
            <w:tcW w:w="2839" w:type="dxa"/>
            <w:shd w:val="clear" w:color="auto" w:fill="767171" w:themeFill="background2" w:themeFillShade="80"/>
          </w:tcPr>
          <w:p w14:paraId="0CE68E19" w14:textId="77777777" w:rsidR="00EC118C" w:rsidRPr="00F477C9" w:rsidRDefault="00EC118C" w:rsidP="00B205BA">
            <w:pPr>
              <w:pStyle w:val="NormalWeb"/>
              <w:spacing w:before="0" w:beforeAutospacing="0" w:after="120" w:afterAutospacing="0"/>
              <w:jc w:val="both"/>
              <w:rPr>
                <w:rFonts w:ascii="Arial" w:hAnsi="Arial" w:cs="Arial"/>
                <w:color w:val="FFFFFF" w:themeColor="background1"/>
                <w:sz w:val="18"/>
                <w:szCs w:val="18"/>
              </w:rPr>
            </w:pPr>
            <w:r w:rsidRPr="00F477C9">
              <w:rPr>
                <w:rFonts w:ascii="Arial" w:hAnsi="Arial" w:cs="Arial"/>
                <w:b/>
                <w:bCs/>
                <w:color w:val="FFFFFF" w:themeColor="background1"/>
                <w:sz w:val="18"/>
                <w:szCs w:val="18"/>
              </w:rPr>
              <w:t>Miguel Alemán</w:t>
            </w:r>
          </w:p>
        </w:tc>
        <w:tc>
          <w:tcPr>
            <w:tcW w:w="1982" w:type="dxa"/>
          </w:tcPr>
          <w:p w14:paraId="03E60138" w14:textId="77777777" w:rsidR="00EC118C" w:rsidRPr="006C439B" w:rsidRDefault="00EC118C" w:rsidP="00B205BA">
            <w:pPr>
              <w:pStyle w:val="NormalWeb"/>
              <w:spacing w:after="120" w:afterAutospacing="0"/>
              <w:jc w:val="center"/>
              <w:rPr>
                <w:rFonts w:ascii="Arial" w:hAnsi="Arial" w:cs="Arial"/>
                <w:color w:val="000000"/>
                <w:sz w:val="18"/>
                <w:szCs w:val="18"/>
              </w:rPr>
            </w:pPr>
          </w:p>
        </w:tc>
        <w:tc>
          <w:tcPr>
            <w:tcW w:w="1845" w:type="dxa"/>
          </w:tcPr>
          <w:p w14:paraId="29C9744C" w14:textId="77777777" w:rsidR="00EC118C" w:rsidRPr="006C439B" w:rsidRDefault="00EC118C" w:rsidP="00B205BA">
            <w:pPr>
              <w:pStyle w:val="NormalWeb"/>
              <w:spacing w:after="120" w:afterAutospacing="0"/>
              <w:jc w:val="center"/>
              <w:rPr>
                <w:rFonts w:ascii="Arial" w:hAnsi="Arial" w:cs="Arial"/>
                <w:color w:val="000000"/>
                <w:sz w:val="18"/>
                <w:szCs w:val="18"/>
              </w:rPr>
            </w:pPr>
          </w:p>
        </w:tc>
        <w:tc>
          <w:tcPr>
            <w:tcW w:w="1698" w:type="dxa"/>
          </w:tcPr>
          <w:p w14:paraId="307F4EDE" w14:textId="77777777" w:rsidR="00EC118C" w:rsidRPr="006C439B" w:rsidRDefault="00EC118C" w:rsidP="00B205BA">
            <w:pPr>
              <w:pStyle w:val="NormalWeb"/>
              <w:spacing w:after="120" w:afterAutospacing="0"/>
              <w:jc w:val="center"/>
              <w:rPr>
                <w:rFonts w:ascii="Arial" w:hAnsi="Arial" w:cs="Arial"/>
                <w:color w:val="000000"/>
                <w:sz w:val="18"/>
                <w:szCs w:val="18"/>
              </w:rPr>
            </w:pPr>
          </w:p>
        </w:tc>
      </w:tr>
      <w:tr w:rsidR="00EC118C" w:rsidRPr="006C439B" w14:paraId="7015D62B" w14:textId="77777777" w:rsidTr="000635AB">
        <w:trPr>
          <w:trHeight w:val="237"/>
          <w:jc w:val="center"/>
        </w:trPr>
        <w:tc>
          <w:tcPr>
            <w:tcW w:w="2839" w:type="dxa"/>
          </w:tcPr>
          <w:p w14:paraId="14606249"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Pavimento</w:t>
            </w:r>
          </w:p>
        </w:tc>
        <w:tc>
          <w:tcPr>
            <w:tcW w:w="1982" w:type="dxa"/>
          </w:tcPr>
          <w:p w14:paraId="50A7488F"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780</w:t>
            </w:r>
          </w:p>
        </w:tc>
        <w:tc>
          <w:tcPr>
            <w:tcW w:w="1845" w:type="dxa"/>
          </w:tcPr>
          <w:p w14:paraId="3C977F13"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62.97</w:t>
            </w:r>
          </w:p>
        </w:tc>
        <w:tc>
          <w:tcPr>
            <w:tcW w:w="1698" w:type="dxa"/>
            <w:shd w:val="clear" w:color="auto" w:fill="E7E6E6" w:themeFill="background2"/>
          </w:tcPr>
          <w:p w14:paraId="1AF2CFAD"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24.88</w:t>
            </w:r>
          </w:p>
        </w:tc>
      </w:tr>
      <w:tr w:rsidR="00EC118C" w:rsidRPr="006C439B" w14:paraId="1D597B4B" w14:textId="77777777" w:rsidTr="000635AB">
        <w:trPr>
          <w:trHeight w:val="237"/>
          <w:jc w:val="center"/>
        </w:trPr>
        <w:tc>
          <w:tcPr>
            <w:tcW w:w="2839" w:type="dxa"/>
          </w:tcPr>
          <w:p w14:paraId="10C623EA"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Banqueta</w:t>
            </w:r>
          </w:p>
        </w:tc>
        <w:tc>
          <w:tcPr>
            <w:tcW w:w="1982" w:type="dxa"/>
          </w:tcPr>
          <w:p w14:paraId="1C5C77E4"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468</w:t>
            </w:r>
          </w:p>
        </w:tc>
        <w:tc>
          <w:tcPr>
            <w:tcW w:w="1845" w:type="dxa"/>
          </w:tcPr>
          <w:p w14:paraId="22701BEE"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36.88</w:t>
            </w:r>
          </w:p>
        </w:tc>
        <w:tc>
          <w:tcPr>
            <w:tcW w:w="1698" w:type="dxa"/>
            <w:shd w:val="clear" w:color="auto" w:fill="E7E6E6" w:themeFill="background2"/>
          </w:tcPr>
          <w:p w14:paraId="41EC327B"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14.57</w:t>
            </w:r>
          </w:p>
        </w:tc>
      </w:tr>
      <w:tr w:rsidR="00EC118C" w:rsidRPr="006C439B" w14:paraId="2D15F71D" w14:textId="77777777" w:rsidTr="000635AB">
        <w:trPr>
          <w:trHeight w:val="226"/>
          <w:jc w:val="center"/>
        </w:trPr>
        <w:tc>
          <w:tcPr>
            <w:tcW w:w="2839" w:type="dxa"/>
            <w:shd w:val="clear" w:color="auto" w:fill="auto"/>
          </w:tcPr>
          <w:p w14:paraId="0CDBA139"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 xml:space="preserve">Alumbrado </w:t>
            </w:r>
            <w:r>
              <w:rPr>
                <w:rFonts w:ascii="Arial" w:hAnsi="Arial" w:cs="Arial"/>
                <w:color w:val="000000"/>
                <w:sz w:val="18"/>
                <w:szCs w:val="18"/>
              </w:rPr>
              <w:t>p</w:t>
            </w:r>
            <w:r w:rsidRPr="006C439B">
              <w:rPr>
                <w:rFonts w:ascii="Arial" w:hAnsi="Arial" w:cs="Arial"/>
                <w:color w:val="000000"/>
                <w:sz w:val="18"/>
                <w:szCs w:val="18"/>
              </w:rPr>
              <w:t>úblico</w:t>
            </w:r>
          </w:p>
        </w:tc>
        <w:tc>
          <w:tcPr>
            <w:tcW w:w="1982" w:type="dxa"/>
            <w:shd w:val="clear" w:color="auto" w:fill="auto"/>
          </w:tcPr>
          <w:p w14:paraId="60C4CB4A"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1753</w:t>
            </w:r>
          </w:p>
        </w:tc>
        <w:tc>
          <w:tcPr>
            <w:tcW w:w="1845" w:type="dxa"/>
            <w:shd w:val="clear" w:color="auto" w:fill="auto"/>
          </w:tcPr>
          <w:p w14:paraId="78B7CFF0"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155.60</w:t>
            </w:r>
          </w:p>
        </w:tc>
        <w:tc>
          <w:tcPr>
            <w:tcW w:w="1698" w:type="dxa"/>
            <w:shd w:val="clear" w:color="auto" w:fill="auto"/>
          </w:tcPr>
          <w:p w14:paraId="3EB12645"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48.33</w:t>
            </w:r>
          </w:p>
        </w:tc>
      </w:tr>
      <w:tr w:rsidR="00EC118C" w:rsidRPr="006C439B" w14:paraId="02102385" w14:textId="77777777" w:rsidTr="000635AB">
        <w:trPr>
          <w:trHeight w:val="237"/>
          <w:jc w:val="center"/>
        </w:trPr>
        <w:tc>
          <w:tcPr>
            <w:tcW w:w="2839" w:type="dxa"/>
          </w:tcPr>
          <w:p w14:paraId="3EB5E967"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Árboles</w:t>
            </w:r>
          </w:p>
        </w:tc>
        <w:tc>
          <w:tcPr>
            <w:tcW w:w="1982" w:type="dxa"/>
          </w:tcPr>
          <w:p w14:paraId="63C7F466"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1753</w:t>
            </w:r>
          </w:p>
        </w:tc>
        <w:tc>
          <w:tcPr>
            <w:tcW w:w="1845" w:type="dxa"/>
          </w:tcPr>
          <w:p w14:paraId="08F7E10C"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155.60</w:t>
            </w:r>
          </w:p>
        </w:tc>
        <w:tc>
          <w:tcPr>
            <w:tcW w:w="1698" w:type="dxa"/>
            <w:shd w:val="clear" w:color="auto" w:fill="E7E6E6" w:themeFill="background2"/>
          </w:tcPr>
          <w:p w14:paraId="288143BB"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72.95</w:t>
            </w:r>
          </w:p>
        </w:tc>
      </w:tr>
      <w:tr w:rsidR="00EC118C" w:rsidRPr="006C439B" w14:paraId="3EF9A388" w14:textId="77777777" w:rsidTr="000635AB">
        <w:trPr>
          <w:trHeight w:val="237"/>
          <w:jc w:val="center"/>
        </w:trPr>
        <w:tc>
          <w:tcPr>
            <w:tcW w:w="2839" w:type="dxa"/>
            <w:shd w:val="clear" w:color="auto" w:fill="767171" w:themeFill="background2" w:themeFillShade="80"/>
          </w:tcPr>
          <w:p w14:paraId="402F5CD7" w14:textId="77777777" w:rsidR="00EC118C" w:rsidRPr="00F477C9" w:rsidRDefault="00EC118C" w:rsidP="00B205BA">
            <w:pPr>
              <w:pStyle w:val="NormalWeb"/>
              <w:spacing w:before="0" w:beforeAutospacing="0" w:after="120" w:afterAutospacing="0"/>
              <w:jc w:val="both"/>
              <w:rPr>
                <w:rFonts w:ascii="Arial" w:hAnsi="Arial" w:cs="Arial"/>
                <w:color w:val="FFFFFF" w:themeColor="background1"/>
                <w:sz w:val="18"/>
                <w:szCs w:val="18"/>
              </w:rPr>
            </w:pPr>
            <w:r w:rsidRPr="00F477C9">
              <w:rPr>
                <w:rFonts w:ascii="Arial" w:hAnsi="Arial" w:cs="Arial"/>
                <w:b/>
                <w:bCs/>
                <w:color w:val="FFFFFF" w:themeColor="background1"/>
                <w:sz w:val="18"/>
                <w:szCs w:val="18"/>
              </w:rPr>
              <w:lastRenderedPageBreak/>
              <w:t>Bahía de Kino</w:t>
            </w:r>
          </w:p>
        </w:tc>
        <w:tc>
          <w:tcPr>
            <w:tcW w:w="1982" w:type="dxa"/>
          </w:tcPr>
          <w:p w14:paraId="74096E6F" w14:textId="77777777" w:rsidR="00EC118C" w:rsidRPr="006C439B" w:rsidRDefault="00EC118C" w:rsidP="00B205BA">
            <w:pPr>
              <w:pStyle w:val="NormalWeb"/>
              <w:spacing w:after="120" w:afterAutospacing="0"/>
              <w:jc w:val="center"/>
              <w:rPr>
                <w:rFonts w:ascii="Arial" w:hAnsi="Arial" w:cs="Arial"/>
                <w:color w:val="000000"/>
                <w:sz w:val="18"/>
                <w:szCs w:val="18"/>
              </w:rPr>
            </w:pPr>
          </w:p>
        </w:tc>
        <w:tc>
          <w:tcPr>
            <w:tcW w:w="1845" w:type="dxa"/>
          </w:tcPr>
          <w:p w14:paraId="28DE905C" w14:textId="77777777" w:rsidR="00EC118C" w:rsidRPr="006C439B" w:rsidRDefault="00EC118C" w:rsidP="00B205BA">
            <w:pPr>
              <w:pStyle w:val="NormalWeb"/>
              <w:spacing w:after="120" w:afterAutospacing="0"/>
              <w:jc w:val="center"/>
              <w:rPr>
                <w:rFonts w:ascii="Arial" w:hAnsi="Arial" w:cs="Arial"/>
                <w:color w:val="000000"/>
                <w:sz w:val="18"/>
                <w:szCs w:val="18"/>
              </w:rPr>
            </w:pPr>
          </w:p>
        </w:tc>
        <w:tc>
          <w:tcPr>
            <w:tcW w:w="1698" w:type="dxa"/>
          </w:tcPr>
          <w:p w14:paraId="7D54F2F5" w14:textId="77777777" w:rsidR="00EC118C" w:rsidRPr="006C439B" w:rsidRDefault="00EC118C" w:rsidP="00B205BA">
            <w:pPr>
              <w:pStyle w:val="NormalWeb"/>
              <w:spacing w:after="120" w:afterAutospacing="0"/>
              <w:jc w:val="center"/>
              <w:rPr>
                <w:rFonts w:ascii="Arial" w:hAnsi="Arial" w:cs="Arial"/>
                <w:color w:val="000000"/>
                <w:sz w:val="18"/>
                <w:szCs w:val="18"/>
              </w:rPr>
            </w:pPr>
          </w:p>
        </w:tc>
      </w:tr>
      <w:tr w:rsidR="00EC118C" w:rsidRPr="006C439B" w14:paraId="5582E7E8" w14:textId="77777777" w:rsidTr="000635AB">
        <w:trPr>
          <w:trHeight w:val="226"/>
          <w:jc w:val="center"/>
        </w:trPr>
        <w:tc>
          <w:tcPr>
            <w:tcW w:w="2839" w:type="dxa"/>
          </w:tcPr>
          <w:p w14:paraId="0A035C12"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Pavimento</w:t>
            </w:r>
          </w:p>
        </w:tc>
        <w:tc>
          <w:tcPr>
            <w:tcW w:w="1982" w:type="dxa"/>
          </w:tcPr>
          <w:p w14:paraId="3DEFD2D7"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596</w:t>
            </w:r>
          </w:p>
        </w:tc>
        <w:tc>
          <w:tcPr>
            <w:tcW w:w="1845" w:type="dxa"/>
          </w:tcPr>
          <w:p w14:paraId="347853B4"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52.96</w:t>
            </w:r>
          </w:p>
        </w:tc>
        <w:tc>
          <w:tcPr>
            <w:tcW w:w="1698" w:type="dxa"/>
            <w:shd w:val="clear" w:color="auto" w:fill="E7E6E6" w:themeFill="background2"/>
          </w:tcPr>
          <w:p w14:paraId="072FF2D1"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23.76</w:t>
            </w:r>
          </w:p>
        </w:tc>
      </w:tr>
      <w:tr w:rsidR="00EC118C" w:rsidRPr="006C439B" w14:paraId="467318B7" w14:textId="77777777" w:rsidTr="000635AB">
        <w:trPr>
          <w:trHeight w:val="237"/>
          <w:jc w:val="center"/>
        </w:trPr>
        <w:tc>
          <w:tcPr>
            <w:tcW w:w="2839" w:type="dxa"/>
          </w:tcPr>
          <w:p w14:paraId="1A07A106"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Banqueta</w:t>
            </w:r>
          </w:p>
        </w:tc>
        <w:tc>
          <w:tcPr>
            <w:tcW w:w="1982" w:type="dxa"/>
          </w:tcPr>
          <w:p w14:paraId="31B932AE"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624</w:t>
            </w:r>
          </w:p>
        </w:tc>
        <w:tc>
          <w:tcPr>
            <w:tcW w:w="1845" w:type="dxa"/>
          </w:tcPr>
          <w:p w14:paraId="28DA0C56"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53.80</w:t>
            </w:r>
          </w:p>
        </w:tc>
        <w:tc>
          <w:tcPr>
            <w:tcW w:w="1698" w:type="dxa"/>
            <w:shd w:val="clear" w:color="auto" w:fill="E7E6E6" w:themeFill="background2"/>
          </w:tcPr>
          <w:p w14:paraId="501811E3"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24.14</w:t>
            </w:r>
          </w:p>
        </w:tc>
      </w:tr>
      <w:tr w:rsidR="00EC118C" w:rsidRPr="006C439B" w14:paraId="2EAF7C78" w14:textId="77777777" w:rsidTr="000635AB">
        <w:trPr>
          <w:trHeight w:val="237"/>
          <w:jc w:val="center"/>
        </w:trPr>
        <w:tc>
          <w:tcPr>
            <w:tcW w:w="2839" w:type="dxa"/>
            <w:shd w:val="clear" w:color="auto" w:fill="auto"/>
          </w:tcPr>
          <w:p w14:paraId="488809DC"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 xml:space="preserve">Alumbrado </w:t>
            </w:r>
            <w:r>
              <w:rPr>
                <w:rFonts w:ascii="Arial" w:hAnsi="Arial" w:cs="Arial"/>
                <w:color w:val="000000"/>
                <w:sz w:val="18"/>
                <w:szCs w:val="18"/>
              </w:rPr>
              <w:t>p</w:t>
            </w:r>
            <w:r w:rsidRPr="006C439B">
              <w:rPr>
                <w:rFonts w:ascii="Arial" w:hAnsi="Arial" w:cs="Arial"/>
                <w:color w:val="000000"/>
                <w:sz w:val="18"/>
                <w:szCs w:val="18"/>
              </w:rPr>
              <w:t>úblico</w:t>
            </w:r>
          </w:p>
        </w:tc>
        <w:tc>
          <w:tcPr>
            <w:tcW w:w="1982" w:type="dxa"/>
            <w:shd w:val="clear" w:color="auto" w:fill="auto"/>
          </w:tcPr>
          <w:p w14:paraId="25EF0D8C"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620</w:t>
            </w:r>
          </w:p>
        </w:tc>
        <w:tc>
          <w:tcPr>
            <w:tcW w:w="1845" w:type="dxa"/>
            <w:shd w:val="clear" w:color="auto" w:fill="auto"/>
          </w:tcPr>
          <w:p w14:paraId="5EE7786B"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52.10</w:t>
            </w:r>
          </w:p>
        </w:tc>
        <w:tc>
          <w:tcPr>
            <w:tcW w:w="1698" w:type="dxa"/>
            <w:shd w:val="clear" w:color="auto" w:fill="auto"/>
          </w:tcPr>
          <w:p w14:paraId="7103826D"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21.70</w:t>
            </w:r>
          </w:p>
        </w:tc>
      </w:tr>
      <w:tr w:rsidR="00EC118C" w:rsidRPr="006C439B" w14:paraId="5D660B4C" w14:textId="77777777" w:rsidTr="000635AB">
        <w:trPr>
          <w:trHeight w:val="237"/>
          <w:jc w:val="center"/>
        </w:trPr>
        <w:tc>
          <w:tcPr>
            <w:tcW w:w="2839" w:type="dxa"/>
          </w:tcPr>
          <w:p w14:paraId="1D46DE97" w14:textId="77777777" w:rsidR="00EC118C" w:rsidRPr="006C439B" w:rsidRDefault="00EC118C" w:rsidP="00B205BA">
            <w:pPr>
              <w:pStyle w:val="NormalWeb"/>
              <w:spacing w:before="0" w:beforeAutospacing="0" w:after="120" w:afterAutospacing="0"/>
              <w:jc w:val="both"/>
              <w:rPr>
                <w:rFonts w:ascii="Arial" w:hAnsi="Arial" w:cs="Arial"/>
                <w:color w:val="000000"/>
                <w:sz w:val="18"/>
                <w:szCs w:val="18"/>
              </w:rPr>
            </w:pPr>
            <w:r w:rsidRPr="006C439B">
              <w:rPr>
                <w:rFonts w:ascii="Arial" w:hAnsi="Arial" w:cs="Arial"/>
                <w:color w:val="000000"/>
                <w:sz w:val="18"/>
                <w:szCs w:val="18"/>
              </w:rPr>
              <w:t>Árboles</w:t>
            </w:r>
          </w:p>
        </w:tc>
        <w:tc>
          <w:tcPr>
            <w:tcW w:w="1982" w:type="dxa"/>
          </w:tcPr>
          <w:p w14:paraId="42D5F5E9"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1023</w:t>
            </w:r>
          </w:p>
        </w:tc>
        <w:tc>
          <w:tcPr>
            <w:tcW w:w="1845" w:type="dxa"/>
          </w:tcPr>
          <w:p w14:paraId="2547C82F"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98.50</w:t>
            </w:r>
          </w:p>
        </w:tc>
        <w:tc>
          <w:tcPr>
            <w:tcW w:w="1698" w:type="dxa"/>
            <w:shd w:val="clear" w:color="auto" w:fill="E7E6E6" w:themeFill="background2"/>
          </w:tcPr>
          <w:p w14:paraId="4DD77310" w14:textId="77777777" w:rsidR="00EC118C" w:rsidRPr="006C439B" w:rsidRDefault="00EC118C" w:rsidP="00B205BA">
            <w:pPr>
              <w:pStyle w:val="NormalWeb"/>
              <w:spacing w:after="120" w:afterAutospacing="0"/>
              <w:jc w:val="center"/>
              <w:rPr>
                <w:rFonts w:ascii="Arial" w:hAnsi="Arial" w:cs="Arial"/>
                <w:color w:val="000000"/>
                <w:sz w:val="18"/>
                <w:szCs w:val="18"/>
              </w:rPr>
            </w:pPr>
            <w:r w:rsidRPr="006C439B">
              <w:rPr>
                <w:rFonts w:ascii="Arial" w:hAnsi="Arial" w:cs="Arial"/>
                <w:color w:val="000000"/>
                <w:sz w:val="18"/>
                <w:szCs w:val="18"/>
              </w:rPr>
              <w:t>42.70</w:t>
            </w:r>
          </w:p>
        </w:tc>
      </w:tr>
    </w:tbl>
    <w:p w14:paraId="2ECC3E53" w14:textId="77777777" w:rsidR="00EC118C" w:rsidRPr="00061674" w:rsidRDefault="00EC118C" w:rsidP="00B205BA">
      <w:pPr>
        <w:pStyle w:val="NormalWeb"/>
        <w:spacing w:before="0" w:beforeAutospacing="0" w:after="120" w:afterAutospacing="0"/>
        <w:rPr>
          <w:rFonts w:ascii="Arial" w:hAnsi="Arial" w:cs="Arial"/>
          <w:color w:val="000000"/>
          <w:sz w:val="18"/>
          <w:szCs w:val="18"/>
        </w:rPr>
      </w:pPr>
      <w:r>
        <w:rPr>
          <w:rFonts w:ascii="Arial" w:hAnsi="Arial" w:cs="Arial"/>
          <w:color w:val="000000"/>
          <w:sz w:val="16"/>
          <w:szCs w:val="16"/>
        </w:rPr>
        <w:t xml:space="preserve"> </w:t>
      </w:r>
      <w:r w:rsidRPr="009B7E39">
        <w:rPr>
          <w:rFonts w:ascii="Arial" w:hAnsi="Arial" w:cs="Arial"/>
          <w:sz w:val="16"/>
          <w:szCs w:val="16"/>
        </w:rPr>
        <w:t>Fuente: Programa Municipal de Desarrollo Urbano</w:t>
      </w:r>
      <w:r>
        <w:rPr>
          <w:rFonts w:ascii="Arial" w:hAnsi="Arial" w:cs="Arial"/>
          <w:sz w:val="16"/>
          <w:szCs w:val="16"/>
        </w:rPr>
        <w:t xml:space="preserve"> de Hermosillo 2023 (IMPLAN, 2023).</w:t>
      </w:r>
    </w:p>
    <w:p w14:paraId="6C7FB637" w14:textId="77777777" w:rsidR="00EC118C" w:rsidRPr="00C74B4C" w:rsidRDefault="00EC118C" w:rsidP="00B205BA">
      <w:pPr>
        <w:pStyle w:val="NormalWeb"/>
        <w:spacing w:before="0" w:beforeAutospacing="0" w:after="120" w:afterAutospacing="0"/>
        <w:jc w:val="both"/>
        <w:rPr>
          <w:rFonts w:ascii="Arial" w:hAnsi="Arial" w:cs="Arial"/>
          <w:b/>
          <w:bCs/>
          <w:sz w:val="22"/>
          <w:szCs w:val="22"/>
        </w:rPr>
      </w:pPr>
    </w:p>
    <w:p w14:paraId="58A11710" w14:textId="5862D3DD" w:rsidR="00EC118C" w:rsidRPr="00A033CE" w:rsidRDefault="00EC118C" w:rsidP="00B205BA">
      <w:pPr>
        <w:pStyle w:val="NormalWeb"/>
        <w:spacing w:before="0" w:beforeAutospacing="0" w:after="120" w:afterAutospacing="0"/>
        <w:jc w:val="both"/>
        <w:rPr>
          <w:rFonts w:ascii="Arial" w:hAnsi="Arial" w:cs="Arial"/>
          <w:sz w:val="22"/>
          <w:szCs w:val="22"/>
        </w:rPr>
      </w:pPr>
      <w:r w:rsidRPr="00C74B4C">
        <w:rPr>
          <w:rFonts w:ascii="Arial" w:hAnsi="Arial" w:cs="Arial"/>
          <w:sz w:val="22"/>
          <w:szCs w:val="22"/>
        </w:rPr>
        <w:t>El análisis de los espacios públicos y el sistema de vialidades pone de manifiesto diversas áreas de oportunidad para mejorar la infraestructura urbana y la calidad de vida de la población. La implementación de programa</w:t>
      </w:r>
      <w:r>
        <w:rPr>
          <w:rFonts w:ascii="Arial" w:hAnsi="Arial" w:cs="Arial"/>
          <w:sz w:val="22"/>
          <w:szCs w:val="22"/>
        </w:rPr>
        <w:t>s</w:t>
      </w:r>
      <w:r w:rsidRPr="00C74B4C">
        <w:rPr>
          <w:rFonts w:ascii="Arial" w:hAnsi="Arial" w:cs="Arial"/>
          <w:sz w:val="22"/>
          <w:szCs w:val="22"/>
        </w:rPr>
        <w:t xml:space="preserve"> que contemple</w:t>
      </w:r>
      <w:r>
        <w:rPr>
          <w:rFonts w:ascii="Arial" w:hAnsi="Arial" w:cs="Arial"/>
          <w:sz w:val="22"/>
          <w:szCs w:val="22"/>
        </w:rPr>
        <w:t>n</w:t>
      </w:r>
      <w:r w:rsidRPr="00C74B4C">
        <w:rPr>
          <w:rFonts w:ascii="Arial" w:hAnsi="Arial" w:cs="Arial"/>
          <w:sz w:val="22"/>
          <w:szCs w:val="22"/>
        </w:rPr>
        <w:t xml:space="preserve"> la pavimentación de vialidades junto con la inclusión de banquetas, ciclovías, alumbrado público e infraestructura verde</w:t>
      </w:r>
      <w:r>
        <w:rPr>
          <w:rFonts w:ascii="Arial" w:hAnsi="Arial" w:cs="Arial"/>
          <w:sz w:val="22"/>
          <w:szCs w:val="22"/>
        </w:rPr>
        <w:t xml:space="preserve"> que favorezcan la movilidad sostenible </w:t>
      </w:r>
      <w:r w:rsidRPr="00C74B4C">
        <w:rPr>
          <w:rFonts w:ascii="Arial" w:hAnsi="Arial" w:cs="Arial"/>
          <w:sz w:val="22"/>
          <w:szCs w:val="22"/>
        </w:rPr>
        <w:t>contribuirá al desarrollo de una ciudad más accesible, segura, saludable y sostenible para sus habitantes.</w:t>
      </w:r>
    </w:p>
    <w:p w14:paraId="36FEB5A0" w14:textId="7B7E02E8" w:rsidR="00EC118C" w:rsidRPr="00A033CE" w:rsidRDefault="00EC118C" w:rsidP="00B205BA">
      <w:pPr>
        <w:pStyle w:val="NormalWeb"/>
        <w:spacing w:before="0" w:beforeAutospacing="0" w:after="120" w:afterAutospacing="0"/>
        <w:jc w:val="both"/>
        <w:rPr>
          <w:rFonts w:ascii="Arial" w:hAnsi="Arial" w:cs="Arial"/>
          <w:b/>
          <w:bCs/>
          <w:sz w:val="22"/>
          <w:szCs w:val="28"/>
        </w:rPr>
      </w:pPr>
      <w:r w:rsidRPr="00A033CE">
        <w:rPr>
          <w:rFonts w:ascii="Arial" w:hAnsi="Arial" w:cs="Arial"/>
          <w:b/>
          <w:bCs/>
          <w:sz w:val="22"/>
          <w:szCs w:val="28"/>
        </w:rPr>
        <w:t>Inventario vehicular y motorización</w:t>
      </w:r>
      <w:r w:rsidR="00261A27" w:rsidRPr="00A033CE">
        <w:rPr>
          <w:rFonts w:ascii="Arial" w:hAnsi="Arial" w:cs="Arial"/>
          <w:b/>
          <w:bCs/>
          <w:sz w:val="22"/>
          <w:szCs w:val="28"/>
        </w:rPr>
        <w:t>.</w:t>
      </w:r>
    </w:p>
    <w:p w14:paraId="0730EAEE" w14:textId="738E9F43" w:rsidR="00A033CE" w:rsidRDefault="00EC118C" w:rsidP="00B205BA">
      <w:pPr>
        <w:pStyle w:val="NormalWeb"/>
        <w:spacing w:before="0" w:beforeAutospacing="0" w:after="120" w:afterAutospacing="0"/>
        <w:jc w:val="both"/>
        <w:rPr>
          <w:rFonts w:ascii="Arial" w:hAnsi="Arial" w:cs="Arial"/>
          <w:sz w:val="22"/>
          <w:szCs w:val="28"/>
        </w:rPr>
      </w:pPr>
      <w:r w:rsidRPr="00245C08">
        <w:rPr>
          <w:rFonts w:ascii="Arial" w:hAnsi="Arial" w:cs="Arial"/>
          <w:sz w:val="22"/>
          <w:szCs w:val="28"/>
        </w:rPr>
        <w:t xml:space="preserve">En los últimos </w:t>
      </w:r>
      <w:r w:rsidR="00F15563">
        <w:rPr>
          <w:rFonts w:ascii="Arial" w:hAnsi="Arial" w:cs="Arial"/>
          <w:sz w:val="22"/>
          <w:szCs w:val="28"/>
        </w:rPr>
        <w:t>tres</w:t>
      </w:r>
      <w:r w:rsidRPr="00245C08">
        <w:rPr>
          <w:rFonts w:ascii="Arial" w:hAnsi="Arial" w:cs="Arial"/>
          <w:sz w:val="22"/>
          <w:szCs w:val="28"/>
        </w:rPr>
        <w:t xml:space="preserve"> años, Sonora experimentó un </w:t>
      </w:r>
      <w:r>
        <w:rPr>
          <w:rFonts w:ascii="Arial" w:hAnsi="Arial" w:cs="Arial"/>
          <w:sz w:val="22"/>
          <w:szCs w:val="28"/>
        </w:rPr>
        <w:t>incremento</w:t>
      </w:r>
      <w:r w:rsidRPr="00245C08">
        <w:rPr>
          <w:rFonts w:ascii="Arial" w:hAnsi="Arial" w:cs="Arial"/>
          <w:sz w:val="22"/>
          <w:szCs w:val="28"/>
        </w:rPr>
        <w:t xml:space="preserve"> </w:t>
      </w:r>
      <w:r>
        <w:rPr>
          <w:rFonts w:ascii="Arial" w:hAnsi="Arial" w:cs="Arial"/>
          <w:sz w:val="22"/>
          <w:szCs w:val="28"/>
        </w:rPr>
        <w:t xml:space="preserve">de casi 23 % </w:t>
      </w:r>
      <w:r w:rsidRPr="00245C08">
        <w:rPr>
          <w:rFonts w:ascii="Arial" w:hAnsi="Arial" w:cs="Arial"/>
          <w:sz w:val="22"/>
          <w:szCs w:val="28"/>
        </w:rPr>
        <w:t>en el número de vehículos registrados, pasando de 1</w:t>
      </w:r>
      <w:r>
        <w:rPr>
          <w:rFonts w:ascii="Arial" w:hAnsi="Arial" w:cs="Arial"/>
          <w:sz w:val="22"/>
          <w:szCs w:val="28"/>
        </w:rPr>
        <w:t xml:space="preserve"> </w:t>
      </w:r>
      <w:r w:rsidRPr="00245C08">
        <w:rPr>
          <w:rFonts w:ascii="Arial" w:hAnsi="Arial" w:cs="Arial"/>
          <w:sz w:val="22"/>
          <w:szCs w:val="28"/>
        </w:rPr>
        <w:t>4</w:t>
      </w:r>
      <w:r w:rsidR="00114FD4">
        <w:rPr>
          <w:rFonts w:ascii="Arial" w:hAnsi="Arial" w:cs="Arial"/>
          <w:sz w:val="22"/>
          <w:szCs w:val="28"/>
        </w:rPr>
        <w:t>35</w:t>
      </w:r>
      <w:r>
        <w:rPr>
          <w:rFonts w:ascii="Arial" w:hAnsi="Arial" w:cs="Arial"/>
          <w:sz w:val="22"/>
          <w:szCs w:val="28"/>
        </w:rPr>
        <w:t xml:space="preserve"> </w:t>
      </w:r>
      <w:r w:rsidR="00114FD4">
        <w:rPr>
          <w:rFonts w:ascii="Arial" w:hAnsi="Arial" w:cs="Arial"/>
          <w:sz w:val="22"/>
          <w:szCs w:val="28"/>
        </w:rPr>
        <w:t>992</w:t>
      </w:r>
      <w:r w:rsidRPr="00245C08">
        <w:rPr>
          <w:rFonts w:ascii="Arial" w:hAnsi="Arial" w:cs="Arial"/>
          <w:sz w:val="22"/>
          <w:szCs w:val="28"/>
        </w:rPr>
        <w:t xml:space="preserve"> en 202</w:t>
      </w:r>
      <w:r w:rsidR="00114FD4">
        <w:rPr>
          <w:rFonts w:ascii="Arial" w:hAnsi="Arial" w:cs="Arial"/>
          <w:sz w:val="22"/>
          <w:szCs w:val="28"/>
        </w:rPr>
        <w:t>1</w:t>
      </w:r>
      <w:r w:rsidRPr="00245C08">
        <w:rPr>
          <w:rFonts w:ascii="Arial" w:hAnsi="Arial" w:cs="Arial"/>
          <w:sz w:val="22"/>
          <w:szCs w:val="28"/>
        </w:rPr>
        <w:t xml:space="preserve"> a 1</w:t>
      </w:r>
      <w:r>
        <w:rPr>
          <w:rFonts w:ascii="Arial" w:hAnsi="Arial" w:cs="Arial"/>
          <w:sz w:val="22"/>
          <w:szCs w:val="28"/>
        </w:rPr>
        <w:t xml:space="preserve"> </w:t>
      </w:r>
      <w:r w:rsidRPr="00245C08">
        <w:rPr>
          <w:rFonts w:ascii="Arial" w:hAnsi="Arial" w:cs="Arial"/>
          <w:sz w:val="22"/>
          <w:szCs w:val="28"/>
        </w:rPr>
        <w:t>822</w:t>
      </w:r>
      <w:r>
        <w:rPr>
          <w:rFonts w:ascii="Arial" w:hAnsi="Arial" w:cs="Arial"/>
          <w:sz w:val="22"/>
          <w:szCs w:val="28"/>
        </w:rPr>
        <w:t xml:space="preserve"> </w:t>
      </w:r>
      <w:r w:rsidRPr="00245C08">
        <w:rPr>
          <w:rFonts w:ascii="Arial" w:hAnsi="Arial" w:cs="Arial"/>
          <w:sz w:val="22"/>
          <w:szCs w:val="28"/>
        </w:rPr>
        <w:t xml:space="preserve">090 en 2023. </w:t>
      </w:r>
      <w:r>
        <w:rPr>
          <w:rFonts w:ascii="Arial" w:hAnsi="Arial" w:cs="Arial"/>
          <w:sz w:val="22"/>
          <w:szCs w:val="28"/>
        </w:rPr>
        <w:t>Naturalmente, e</w:t>
      </w:r>
      <w:r w:rsidRPr="00245C08">
        <w:rPr>
          <w:rFonts w:ascii="Arial" w:hAnsi="Arial" w:cs="Arial"/>
          <w:sz w:val="22"/>
          <w:szCs w:val="28"/>
        </w:rPr>
        <w:t xml:space="preserve">ste crecimiento de </w:t>
      </w:r>
      <w:r>
        <w:rPr>
          <w:rFonts w:ascii="Arial" w:hAnsi="Arial" w:cs="Arial"/>
          <w:sz w:val="22"/>
          <w:szCs w:val="28"/>
        </w:rPr>
        <w:t>más de</w:t>
      </w:r>
      <w:r w:rsidRPr="00245C08">
        <w:rPr>
          <w:rFonts w:ascii="Arial" w:hAnsi="Arial" w:cs="Arial"/>
          <w:sz w:val="22"/>
          <w:szCs w:val="28"/>
        </w:rPr>
        <w:t xml:space="preserve"> 3</w:t>
      </w:r>
      <w:r w:rsidR="00114FD4">
        <w:rPr>
          <w:rFonts w:ascii="Arial" w:hAnsi="Arial" w:cs="Arial"/>
          <w:sz w:val="22"/>
          <w:szCs w:val="28"/>
        </w:rPr>
        <w:t>86</w:t>
      </w:r>
      <w:r>
        <w:rPr>
          <w:rFonts w:ascii="Arial" w:hAnsi="Arial" w:cs="Arial"/>
          <w:sz w:val="22"/>
          <w:szCs w:val="28"/>
        </w:rPr>
        <w:t xml:space="preserve"> </w:t>
      </w:r>
      <w:r w:rsidRPr="00245C08">
        <w:rPr>
          <w:rFonts w:ascii="Arial" w:hAnsi="Arial" w:cs="Arial"/>
          <w:sz w:val="22"/>
          <w:szCs w:val="28"/>
        </w:rPr>
        <w:t xml:space="preserve">000 vehículos </w:t>
      </w:r>
      <w:r>
        <w:rPr>
          <w:rFonts w:ascii="Arial" w:hAnsi="Arial" w:cs="Arial"/>
          <w:sz w:val="22"/>
          <w:szCs w:val="28"/>
        </w:rPr>
        <w:t>generó</w:t>
      </w:r>
      <w:r w:rsidRPr="00245C08">
        <w:rPr>
          <w:rFonts w:ascii="Arial" w:hAnsi="Arial" w:cs="Arial"/>
          <w:sz w:val="22"/>
          <w:szCs w:val="28"/>
        </w:rPr>
        <w:t xml:space="preserve"> un incremento considerable en </w:t>
      </w:r>
      <w:r>
        <w:rPr>
          <w:rFonts w:ascii="Arial" w:hAnsi="Arial" w:cs="Arial"/>
          <w:sz w:val="22"/>
          <w:szCs w:val="28"/>
        </w:rPr>
        <w:t>el flujo vehicular</w:t>
      </w:r>
      <w:r w:rsidRPr="00245C08">
        <w:rPr>
          <w:rFonts w:ascii="Arial" w:hAnsi="Arial" w:cs="Arial"/>
          <w:sz w:val="22"/>
          <w:szCs w:val="28"/>
        </w:rPr>
        <w:t xml:space="preserve"> </w:t>
      </w:r>
      <w:r>
        <w:rPr>
          <w:rFonts w:ascii="Arial" w:hAnsi="Arial" w:cs="Arial"/>
          <w:sz w:val="22"/>
          <w:szCs w:val="28"/>
        </w:rPr>
        <w:t>en</w:t>
      </w:r>
      <w:r w:rsidRPr="00245C08">
        <w:rPr>
          <w:rFonts w:ascii="Arial" w:hAnsi="Arial" w:cs="Arial"/>
          <w:sz w:val="22"/>
          <w:szCs w:val="28"/>
        </w:rPr>
        <w:t xml:space="preserve"> la entidad.</w:t>
      </w:r>
    </w:p>
    <w:p w14:paraId="2DB13107" w14:textId="7805E6ED" w:rsidR="00A033CE" w:rsidRDefault="00EC118C" w:rsidP="00B205BA">
      <w:pPr>
        <w:pStyle w:val="NormalWeb"/>
        <w:spacing w:before="0" w:beforeAutospacing="0" w:after="120" w:afterAutospacing="0"/>
        <w:jc w:val="both"/>
        <w:rPr>
          <w:rFonts w:ascii="Arial" w:hAnsi="Arial" w:cs="Arial"/>
          <w:sz w:val="22"/>
          <w:szCs w:val="28"/>
        </w:rPr>
      </w:pPr>
      <w:r>
        <w:rPr>
          <w:rFonts w:ascii="Arial" w:hAnsi="Arial" w:cs="Arial"/>
          <w:sz w:val="22"/>
          <w:szCs w:val="28"/>
        </w:rPr>
        <w:t>En lo que toca a</w:t>
      </w:r>
      <w:r w:rsidRPr="00245C08">
        <w:rPr>
          <w:rFonts w:ascii="Arial" w:hAnsi="Arial" w:cs="Arial"/>
          <w:sz w:val="22"/>
          <w:szCs w:val="28"/>
        </w:rPr>
        <w:t xml:space="preserve"> Hermosillo</w:t>
      </w:r>
      <w:r>
        <w:rPr>
          <w:rFonts w:ascii="Arial" w:hAnsi="Arial" w:cs="Arial"/>
          <w:sz w:val="22"/>
          <w:szCs w:val="28"/>
        </w:rPr>
        <w:t>,</w:t>
      </w:r>
      <w:r w:rsidRPr="00245C08">
        <w:rPr>
          <w:rFonts w:ascii="Arial" w:hAnsi="Arial" w:cs="Arial"/>
          <w:sz w:val="22"/>
          <w:szCs w:val="28"/>
        </w:rPr>
        <w:t xml:space="preserve"> </w:t>
      </w:r>
      <w:r>
        <w:rPr>
          <w:rFonts w:ascii="Arial" w:hAnsi="Arial" w:cs="Arial"/>
          <w:sz w:val="22"/>
          <w:szCs w:val="28"/>
        </w:rPr>
        <w:t>el municipio registró un incremento de casi 102 000 unidades en su parque vehicular</w:t>
      </w:r>
      <w:r w:rsidRPr="00245C08">
        <w:rPr>
          <w:rFonts w:ascii="Arial" w:hAnsi="Arial" w:cs="Arial"/>
          <w:sz w:val="22"/>
          <w:szCs w:val="28"/>
        </w:rPr>
        <w:t xml:space="preserve">, </w:t>
      </w:r>
      <w:r>
        <w:rPr>
          <w:rFonts w:ascii="Arial" w:hAnsi="Arial" w:cs="Arial"/>
          <w:sz w:val="22"/>
          <w:szCs w:val="28"/>
        </w:rPr>
        <w:t xml:space="preserve">al pasar </w:t>
      </w:r>
      <w:r w:rsidRPr="00245C08">
        <w:rPr>
          <w:rFonts w:ascii="Arial" w:hAnsi="Arial" w:cs="Arial"/>
          <w:sz w:val="22"/>
          <w:szCs w:val="28"/>
        </w:rPr>
        <w:t>de 5</w:t>
      </w:r>
      <w:r w:rsidR="00114FD4">
        <w:rPr>
          <w:rFonts w:ascii="Arial" w:hAnsi="Arial" w:cs="Arial"/>
          <w:sz w:val="22"/>
          <w:szCs w:val="28"/>
        </w:rPr>
        <w:t>09</w:t>
      </w:r>
      <w:r>
        <w:rPr>
          <w:rFonts w:ascii="Arial" w:hAnsi="Arial" w:cs="Arial"/>
          <w:sz w:val="22"/>
          <w:szCs w:val="28"/>
        </w:rPr>
        <w:t xml:space="preserve"> </w:t>
      </w:r>
      <w:r w:rsidR="00114FD4">
        <w:rPr>
          <w:rFonts w:ascii="Arial" w:hAnsi="Arial" w:cs="Arial"/>
          <w:sz w:val="22"/>
          <w:szCs w:val="28"/>
        </w:rPr>
        <w:t>453</w:t>
      </w:r>
      <w:r w:rsidRPr="00245C08">
        <w:rPr>
          <w:rFonts w:ascii="Arial" w:hAnsi="Arial" w:cs="Arial"/>
          <w:sz w:val="22"/>
          <w:szCs w:val="28"/>
        </w:rPr>
        <w:t xml:space="preserve"> vehículos en 202</w:t>
      </w:r>
      <w:r w:rsidR="00114FD4">
        <w:rPr>
          <w:rFonts w:ascii="Arial" w:hAnsi="Arial" w:cs="Arial"/>
          <w:sz w:val="22"/>
          <w:szCs w:val="28"/>
        </w:rPr>
        <w:t>1</w:t>
      </w:r>
      <w:r>
        <w:rPr>
          <w:rFonts w:ascii="Arial" w:hAnsi="Arial" w:cs="Arial"/>
          <w:sz w:val="22"/>
          <w:szCs w:val="28"/>
        </w:rPr>
        <w:t>,</w:t>
      </w:r>
      <w:r w:rsidRPr="00245C08">
        <w:rPr>
          <w:rFonts w:ascii="Arial" w:hAnsi="Arial" w:cs="Arial"/>
          <w:sz w:val="22"/>
          <w:szCs w:val="28"/>
        </w:rPr>
        <w:t xml:space="preserve"> a 639</w:t>
      </w:r>
      <w:r>
        <w:rPr>
          <w:rFonts w:ascii="Arial" w:hAnsi="Arial" w:cs="Arial"/>
          <w:sz w:val="22"/>
          <w:szCs w:val="28"/>
        </w:rPr>
        <w:t xml:space="preserve"> </w:t>
      </w:r>
      <w:r w:rsidRPr="00245C08">
        <w:rPr>
          <w:rFonts w:ascii="Arial" w:hAnsi="Arial" w:cs="Arial"/>
          <w:sz w:val="22"/>
          <w:szCs w:val="28"/>
        </w:rPr>
        <w:t>758 en 2023</w:t>
      </w:r>
      <w:r>
        <w:rPr>
          <w:rFonts w:ascii="Arial" w:hAnsi="Arial" w:cs="Arial"/>
          <w:sz w:val="22"/>
          <w:szCs w:val="28"/>
        </w:rPr>
        <w:t>,</w:t>
      </w:r>
      <w:r w:rsidRPr="00245C08">
        <w:rPr>
          <w:rFonts w:ascii="Arial" w:hAnsi="Arial" w:cs="Arial"/>
          <w:sz w:val="22"/>
          <w:szCs w:val="28"/>
        </w:rPr>
        <w:t xml:space="preserve"> un </w:t>
      </w:r>
      <w:r>
        <w:rPr>
          <w:rFonts w:ascii="Arial" w:hAnsi="Arial" w:cs="Arial"/>
          <w:sz w:val="22"/>
          <w:szCs w:val="28"/>
        </w:rPr>
        <w:t>crecimiento</w:t>
      </w:r>
      <w:r w:rsidRPr="00245C08">
        <w:rPr>
          <w:rFonts w:ascii="Arial" w:hAnsi="Arial" w:cs="Arial"/>
          <w:sz w:val="22"/>
          <w:szCs w:val="28"/>
        </w:rPr>
        <w:t xml:space="preserve"> </w:t>
      </w:r>
      <w:r>
        <w:rPr>
          <w:rFonts w:ascii="Arial" w:hAnsi="Arial" w:cs="Arial"/>
          <w:sz w:val="22"/>
          <w:szCs w:val="28"/>
        </w:rPr>
        <w:t xml:space="preserve">acumulado de </w:t>
      </w:r>
      <w:r w:rsidR="00114FD4">
        <w:rPr>
          <w:rFonts w:ascii="Arial" w:hAnsi="Arial" w:cs="Arial"/>
          <w:sz w:val="22"/>
          <w:szCs w:val="28"/>
        </w:rPr>
        <w:t>25</w:t>
      </w:r>
      <w:r>
        <w:rPr>
          <w:rFonts w:ascii="Arial" w:hAnsi="Arial" w:cs="Arial"/>
          <w:sz w:val="22"/>
          <w:szCs w:val="28"/>
        </w:rPr>
        <w:t>%</w:t>
      </w:r>
      <w:r w:rsidRPr="00245C08">
        <w:rPr>
          <w:rFonts w:ascii="Arial" w:hAnsi="Arial" w:cs="Arial"/>
          <w:sz w:val="22"/>
          <w:szCs w:val="28"/>
        </w:rPr>
        <w:t xml:space="preserve">. </w:t>
      </w:r>
    </w:p>
    <w:p w14:paraId="6A490A28" w14:textId="01B2A8D3" w:rsidR="00EC118C" w:rsidRPr="00C617A8" w:rsidRDefault="00EC118C" w:rsidP="00B205BA">
      <w:pPr>
        <w:pStyle w:val="NormalWeb"/>
        <w:spacing w:before="0" w:beforeAutospacing="0" w:after="120" w:afterAutospacing="0"/>
        <w:jc w:val="both"/>
        <w:rPr>
          <w:rFonts w:ascii="Arial" w:hAnsi="Arial" w:cs="Arial"/>
          <w:sz w:val="22"/>
          <w:szCs w:val="28"/>
        </w:rPr>
      </w:pPr>
      <w:r>
        <w:rPr>
          <w:rFonts w:ascii="Arial" w:hAnsi="Arial" w:cs="Arial"/>
          <w:sz w:val="22"/>
          <w:szCs w:val="28"/>
        </w:rPr>
        <w:t>La siguiente gráfica muestra cómo Hermosillo tiene</w:t>
      </w:r>
      <w:r w:rsidRPr="00245C08">
        <w:rPr>
          <w:rFonts w:ascii="Arial" w:hAnsi="Arial" w:cs="Arial"/>
          <w:sz w:val="22"/>
          <w:szCs w:val="28"/>
        </w:rPr>
        <w:t xml:space="preserve"> una proporción mayor de vehículos en circulación respecto al </w:t>
      </w:r>
      <w:r>
        <w:rPr>
          <w:rFonts w:ascii="Arial" w:hAnsi="Arial" w:cs="Arial"/>
          <w:sz w:val="22"/>
          <w:szCs w:val="28"/>
        </w:rPr>
        <w:t>resto</w:t>
      </w:r>
      <w:r w:rsidRPr="00245C08">
        <w:rPr>
          <w:rFonts w:ascii="Arial" w:hAnsi="Arial" w:cs="Arial"/>
          <w:sz w:val="22"/>
          <w:szCs w:val="28"/>
        </w:rPr>
        <w:t xml:space="preserve"> del estado de Sonora, </w:t>
      </w:r>
      <w:r>
        <w:rPr>
          <w:rFonts w:ascii="Arial" w:hAnsi="Arial" w:cs="Arial"/>
          <w:sz w:val="22"/>
          <w:szCs w:val="28"/>
        </w:rPr>
        <w:t>al concentrar</w:t>
      </w:r>
      <w:r w:rsidRPr="00245C08">
        <w:rPr>
          <w:rFonts w:ascii="Arial" w:hAnsi="Arial" w:cs="Arial"/>
          <w:sz w:val="22"/>
          <w:szCs w:val="28"/>
        </w:rPr>
        <w:t xml:space="preserve"> alrededor de 35</w:t>
      </w:r>
      <w:r>
        <w:rPr>
          <w:rFonts w:ascii="Arial" w:hAnsi="Arial" w:cs="Arial"/>
          <w:sz w:val="22"/>
          <w:szCs w:val="28"/>
        </w:rPr>
        <w:t xml:space="preserve"> </w:t>
      </w:r>
      <w:r w:rsidRPr="00245C08">
        <w:rPr>
          <w:rFonts w:ascii="Arial" w:hAnsi="Arial" w:cs="Arial"/>
          <w:sz w:val="22"/>
          <w:szCs w:val="28"/>
        </w:rPr>
        <w:t xml:space="preserve">% </w:t>
      </w:r>
      <w:r>
        <w:rPr>
          <w:rFonts w:ascii="Arial" w:hAnsi="Arial" w:cs="Arial"/>
          <w:sz w:val="22"/>
          <w:szCs w:val="28"/>
        </w:rPr>
        <w:t>del total de</w:t>
      </w:r>
      <w:r w:rsidRPr="00245C08">
        <w:rPr>
          <w:rFonts w:ascii="Arial" w:hAnsi="Arial" w:cs="Arial"/>
          <w:sz w:val="22"/>
          <w:szCs w:val="28"/>
        </w:rPr>
        <w:t xml:space="preserve"> vehículos registrados en 2023</w:t>
      </w:r>
      <w:r>
        <w:rPr>
          <w:rFonts w:ascii="Arial" w:hAnsi="Arial" w:cs="Arial"/>
          <w:sz w:val="22"/>
          <w:szCs w:val="28"/>
        </w:rPr>
        <w:t>. E</w:t>
      </w:r>
      <w:r w:rsidRPr="00245C08">
        <w:rPr>
          <w:rFonts w:ascii="Arial" w:hAnsi="Arial" w:cs="Arial"/>
          <w:sz w:val="22"/>
          <w:szCs w:val="28"/>
        </w:rPr>
        <w:t xml:space="preserve">sta tendencia </w:t>
      </w:r>
      <w:r>
        <w:rPr>
          <w:rFonts w:ascii="Arial" w:hAnsi="Arial" w:cs="Arial"/>
          <w:sz w:val="22"/>
          <w:szCs w:val="28"/>
        </w:rPr>
        <w:t>es reflejo de</w:t>
      </w:r>
      <w:r w:rsidRPr="00245C08">
        <w:rPr>
          <w:rFonts w:ascii="Arial" w:hAnsi="Arial" w:cs="Arial"/>
          <w:sz w:val="22"/>
          <w:szCs w:val="28"/>
        </w:rPr>
        <w:t xml:space="preserve"> la concentración de la actividad económica y la infraestructura de transporte en la ciudad capital</w:t>
      </w:r>
      <w:r>
        <w:rPr>
          <w:rFonts w:ascii="Arial" w:hAnsi="Arial" w:cs="Arial"/>
          <w:sz w:val="22"/>
          <w:szCs w:val="28"/>
        </w:rPr>
        <w:t xml:space="preserve"> (véase gráfica 1)</w:t>
      </w:r>
      <w:r w:rsidRPr="00245C08">
        <w:rPr>
          <w:rFonts w:ascii="Arial" w:hAnsi="Arial" w:cs="Arial"/>
          <w:sz w:val="22"/>
          <w:szCs w:val="28"/>
        </w:rPr>
        <w:t>.</w:t>
      </w:r>
    </w:p>
    <w:p w14:paraId="165916AC" w14:textId="34F56894" w:rsidR="00EC118C" w:rsidRPr="00114FD4" w:rsidRDefault="00BD09D3" w:rsidP="00114FD4">
      <w:pPr>
        <w:pStyle w:val="NormalWeb"/>
        <w:spacing w:before="0" w:beforeAutospacing="0" w:after="120" w:afterAutospacing="0"/>
        <w:jc w:val="center"/>
        <w:rPr>
          <w:rFonts w:ascii="Arial" w:hAnsi="Arial" w:cs="Arial"/>
          <w:b/>
          <w:bCs/>
          <w:sz w:val="20"/>
          <w:highlight w:val="yellow"/>
        </w:rPr>
      </w:pPr>
      <w:r w:rsidRPr="0067038E">
        <w:rPr>
          <w:rFonts w:ascii="Arial" w:hAnsi="Arial" w:cs="Arial"/>
          <w:b/>
          <w:bCs/>
          <w:sz w:val="20"/>
        </w:rPr>
        <w:t>GRÁFICA</w:t>
      </w:r>
      <w:r>
        <w:rPr>
          <w:rFonts w:ascii="Arial" w:hAnsi="Arial" w:cs="Arial"/>
          <w:b/>
          <w:bCs/>
          <w:sz w:val="20"/>
        </w:rPr>
        <w:t xml:space="preserve"> 1</w:t>
      </w:r>
      <w:r w:rsidRPr="0067038E">
        <w:rPr>
          <w:rFonts w:ascii="Arial" w:hAnsi="Arial" w:cs="Arial"/>
          <w:b/>
          <w:bCs/>
          <w:sz w:val="20"/>
        </w:rPr>
        <w:t>. NÚMERO DE VEHÍCULOS DE MOTOR REGISTRADOS EN CIRCULACIÓN EN SONORA Y HERMOSILLO, SEGÚN EL AÑO</w:t>
      </w:r>
      <w:r w:rsidR="0086730D">
        <w:rPr>
          <w:rFonts w:ascii="Arial" w:hAnsi="Arial" w:cs="Arial"/>
          <w:b/>
          <w:bCs/>
          <w:sz w:val="20"/>
        </w:rPr>
        <w:t>.</w:t>
      </w:r>
    </w:p>
    <w:p w14:paraId="72C78B5D" w14:textId="27C0B55A" w:rsidR="00EC118C" w:rsidRPr="00573F8F" w:rsidRDefault="00114FD4" w:rsidP="00B205BA">
      <w:pPr>
        <w:pStyle w:val="NormalWeb"/>
        <w:spacing w:before="0" w:beforeAutospacing="0" w:after="120" w:afterAutospacing="0"/>
        <w:jc w:val="center"/>
        <w:rPr>
          <w:rFonts w:ascii="Arial" w:hAnsi="Arial" w:cs="Arial"/>
          <w:b/>
          <w:bCs/>
          <w:sz w:val="22"/>
          <w:szCs w:val="28"/>
          <w:highlight w:val="yellow"/>
        </w:rPr>
      </w:pPr>
      <w:r>
        <w:rPr>
          <w:noProof/>
        </w:rPr>
        <w:drawing>
          <wp:inline distT="0" distB="0" distL="0" distR="0" wp14:anchorId="26F9F418" wp14:editId="1E3E09E4">
            <wp:extent cx="5612130" cy="2495550"/>
            <wp:effectExtent l="0" t="0" r="7620" b="0"/>
            <wp:docPr id="1518864752" name="Gráfico 1">
              <a:extLst xmlns:a="http://schemas.openxmlformats.org/drawingml/2006/main">
                <a:ext uri="{FF2B5EF4-FFF2-40B4-BE49-F238E27FC236}">
                  <a16:creationId xmlns:a16="http://schemas.microsoft.com/office/drawing/2014/main" id="{C6D373C3-3D20-691A-2B09-7BA4574AF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C4C7DE" w14:textId="3E035183" w:rsidR="00EC118C" w:rsidRPr="00A033CE" w:rsidRDefault="00EC118C" w:rsidP="00B205BA">
      <w:pPr>
        <w:pStyle w:val="NormalWeb"/>
        <w:spacing w:before="0" w:beforeAutospacing="0" w:after="120" w:afterAutospacing="0"/>
        <w:jc w:val="both"/>
        <w:rPr>
          <w:rFonts w:ascii="Arial" w:hAnsi="Arial" w:cs="Arial"/>
          <w:sz w:val="16"/>
          <w:szCs w:val="20"/>
        </w:rPr>
      </w:pPr>
      <w:r w:rsidRPr="0067038E">
        <w:rPr>
          <w:rFonts w:ascii="Arial" w:hAnsi="Arial" w:cs="Arial"/>
          <w:sz w:val="16"/>
          <w:szCs w:val="20"/>
        </w:rPr>
        <w:t xml:space="preserve">            Fuente: INEGI</w:t>
      </w:r>
      <w:r>
        <w:rPr>
          <w:rFonts w:ascii="Arial" w:hAnsi="Arial" w:cs="Arial"/>
          <w:sz w:val="16"/>
          <w:szCs w:val="20"/>
        </w:rPr>
        <w:t>.</w:t>
      </w:r>
      <w:r w:rsidRPr="00C46A7B">
        <w:t xml:space="preserve"> </w:t>
      </w:r>
      <w:r w:rsidRPr="00C46A7B">
        <w:rPr>
          <w:rFonts w:ascii="Arial" w:hAnsi="Arial" w:cs="Arial"/>
          <w:sz w:val="16"/>
          <w:szCs w:val="20"/>
        </w:rPr>
        <w:t>Vehículos de Motor Registrados en Circulación (VMRC)</w:t>
      </w:r>
      <w:r w:rsidRPr="0067038E">
        <w:rPr>
          <w:rFonts w:ascii="Arial" w:hAnsi="Arial" w:cs="Arial"/>
          <w:sz w:val="16"/>
          <w:szCs w:val="20"/>
        </w:rPr>
        <w:t xml:space="preserve"> 2023</w:t>
      </w:r>
      <w:r>
        <w:rPr>
          <w:rFonts w:ascii="Arial" w:hAnsi="Arial" w:cs="Arial"/>
          <w:sz w:val="16"/>
          <w:szCs w:val="20"/>
        </w:rPr>
        <w:t>.</w:t>
      </w:r>
    </w:p>
    <w:p w14:paraId="440DB26A" w14:textId="47397731" w:rsidR="00EC118C" w:rsidRDefault="00EC118C" w:rsidP="00B205BA">
      <w:pPr>
        <w:pStyle w:val="NormalWeb"/>
        <w:spacing w:after="120" w:afterAutospacing="0"/>
        <w:jc w:val="both"/>
        <w:rPr>
          <w:rFonts w:ascii="Arial" w:hAnsi="Arial" w:cs="Arial"/>
          <w:sz w:val="22"/>
          <w:szCs w:val="28"/>
        </w:rPr>
      </w:pPr>
      <w:r w:rsidRPr="00F15563">
        <w:rPr>
          <w:rFonts w:ascii="Arial" w:hAnsi="Arial" w:cs="Arial"/>
          <w:sz w:val="22"/>
          <w:szCs w:val="28"/>
        </w:rPr>
        <w:lastRenderedPageBreak/>
        <w:t>En cuanto a</w:t>
      </w:r>
      <w:r w:rsidR="00F15563">
        <w:rPr>
          <w:rFonts w:ascii="Arial" w:hAnsi="Arial" w:cs="Arial"/>
          <w:sz w:val="22"/>
          <w:szCs w:val="28"/>
        </w:rPr>
        <w:t>l</w:t>
      </w:r>
      <w:r w:rsidRPr="00F15563">
        <w:rPr>
          <w:rFonts w:ascii="Arial" w:hAnsi="Arial" w:cs="Arial"/>
          <w:sz w:val="22"/>
          <w:szCs w:val="28"/>
        </w:rPr>
        <w:t xml:space="preserve"> número de camiones para pasajeros en el estado, la cifra se mantuvo relativamente estable en el período mencionado, al pasar de </w:t>
      </w:r>
      <w:r w:rsidR="00114FD4" w:rsidRPr="00F15563">
        <w:rPr>
          <w:rFonts w:ascii="Arial" w:hAnsi="Arial" w:cs="Arial"/>
          <w:sz w:val="22"/>
          <w:szCs w:val="28"/>
        </w:rPr>
        <w:t>8 171</w:t>
      </w:r>
      <w:r w:rsidRPr="00F15563">
        <w:rPr>
          <w:rFonts w:ascii="Arial" w:hAnsi="Arial" w:cs="Arial"/>
          <w:sz w:val="22"/>
          <w:szCs w:val="28"/>
        </w:rPr>
        <w:t xml:space="preserve"> en 202</w:t>
      </w:r>
      <w:r w:rsidR="00114FD4" w:rsidRPr="00F15563">
        <w:rPr>
          <w:rFonts w:ascii="Arial" w:hAnsi="Arial" w:cs="Arial"/>
          <w:sz w:val="22"/>
          <w:szCs w:val="28"/>
        </w:rPr>
        <w:t>1</w:t>
      </w:r>
      <w:r w:rsidRPr="00F15563">
        <w:rPr>
          <w:rFonts w:ascii="Arial" w:hAnsi="Arial" w:cs="Arial"/>
          <w:sz w:val="22"/>
          <w:szCs w:val="28"/>
        </w:rPr>
        <w:t xml:space="preserve"> a 8</w:t>
      </w:r>
      <w:r w:rsidR="00114FD4" w:rsidRPr="00F15563">
        <w:rPr>
          <w:rFonts w:ascii="Arial" w:hAnsi="Arial" w:cs="Arial"/>
          <w:sz w:val="22"/>
          <w:szCs w:val="28"/>
        </w:rPr>
        <w:t xml:space="preserve"> </w:t>
      </w:r>
      <w:r w:rsidRPr="00F15563">
        <w:rPr>
          <w:rFonts w:ascii="Arial" w:hAnsi="Arial" w:cs="Arial"/>
          <w:sz w:val="22"/>
          <w:szCs w:val="28"/>
        </w:rPr>
        <w:t xml:space="preserve">727 en 2023, un incremento acumulado de </w:t>
      </w:r>
      <w:r w:rsidR="00F15563" w:rsidRPr="00F15563">
        <w:rPr>
          <w:rFonts w:ascii="Arial" w:hAnsi="Arial" w:cs="Arial"/>
          <w:sz w:val="22"/>
          <w:szCs w:val="28"/>
        </w:rPr>
        <w:t>6.8</w:t>
      </w:r>
      <w:r w:rsidRPr="00F15563">
        <w:rPr>
          <w:rFonts w:ascii="Arial" w:hAnsi="Arial" w:cs="Arial"/>
          <w:sz w:val="22"/>
          <w:szCs w:val="28"/>
        </w:rPr>
        <w:t>%. Por otro lado, los vehículos de carga experimentaron un crecimiento de</w:t>
      </w:r>
      <w:r w:rsidR="00F15563" w:rsidRPr="00F15563">
        <w:rPr>
          <w:rFonts w:ascii="Arial" w:hAnsi="Arial" w:cs="Arial"/>
          <w:sz w:val="22"/>
          <w:szCs w:val="28"/>
        </w:rPr>
        <w:t>l</w:t>
      </w:r>
      <w:r w:rsidRPr="00F15563">
        <w:rPr>
          <w:rFonts w:ascii="Arial" w:hAnsi="Arial" w:cs="Arial"/>
          <w:sz w:val="22"/>
          <w:szCs w:val="28"/>
        </w:rPr>
        <w:t xml:space="preserve"> </w:t>
      </w:r>
      <w:r w:rsidR="00F15563" w:rsidRPr="00F15563">
        <w:rPr>
          <w:rFonts w:ascii="Arial" w:hAnsi="Arial" w:cs="Arial"/>
          <w:sz w:val="22"/>
          <w:szCs w:val="28"/>
        </w:rPr>
        <w:t>15</w:t>
      </w:r>
      <w:r w:rsidRPr="00F15563">
        <w:rPr>
          <w:rFonts w:ascii="Arial" w:hAnsi="Arial" w:cs="Arial"/>
          <w:sz w:val="22"/>
          <w:szCs w:val="28"/>
        </w:rPr>
        <w:t>% en el período, al pasar de 4</w:t>
      </w:r>
      <w:r w:rsidR="00F15563" w:rsidRPr="00F15563">
        <w:rPr>
          <w:rFonts w:ascii="Arial" w:hAnsi="Arial" w:cs="Arial"/>
          <w:sz w:val="22"/>
          <w:szCs w:val="28"/>
        </w:rPr>
        <w:t>54</w:t>
      </w:r>
      <w:r w:rsidRPr="00F15563">
        <w:rPr>
          <w:rFonts w:ascii="Arial" w:hAnsi="Arial" w:cs="Arial"/>
          <w:sz w:val="22"/>
          <w:szCs w:val="28"/>
        </w:rPr>
        <w:t xml:space="preserve"> </w:t>
      </w:r>
      <w:r w:rsidR="00F15563" w:rsidRPr="00F15563">
        <w:rPr>
          <w:rFonts w:ascii="Arial" w:hAnsi="Arial" w:cs="Arial"/>
          <w:sz w:val="22"/>
          <w:szCs w:val="28"/>
        </w:rPr>
        <w:t>678</w:t>
      </w:r>
      <w:r w:rsidRPr="00F15563">
        <w:rPr>
          <w:rFonts w:ascii="Arial" w:hAnsi="Arial" w:cs="Arial"/>
          <w:sz w:val="22"/>
          <w:szCs w:val="28"/>
        </w:rPr>
        <w:t xml:space="preserve"> en 202</w:t>
      </w:r>
      <w:r w:rsidR="00F15563" w:rsidRPr="00F15563">
        <w:rPr>
          <w:rFonts w:ascii="Arial" w:hAnsi="Arial" w:cs="Arial"/>
          <w:sz w:val="22"/>
          <w:szCs w:val="28"/>
        </w:rPr>
        <w:t>1</w:t>
      </w:r>
      <w:r w:rsidRPr="00F15563">
        <w:rPr>
          <w:rFonts w:ascii="Arial" w:hAnsi="Arial" w:cs="Arial"/>
          <w:sz w:val="22"/>
          <w:szCs w:val="28"/>
        </w:rPr>
        <w:t>, a 523 937 en 2023, lo que refleja un aumento en las actividades industriales y comerciales en la región (véase gráfica 2).</w:t>
      </w:r>
    </w:p>
    <w:p w14:paraId="4C5B169C" w14:textId="45B9BB60" w:rsidR="00EC118C" w:rsidRDefault="00BD09D3" w:rsidP="00B205BA">
      <w:pPr>
        <w:pStyle w:val="NormalWeb"/>
        <w:spacing w:after="120" w:afterAutospacing="0"/>
        <w:rPr>
          <w:rFonts w:ascii="Arial" w:hAnsi="Arial" w:cs="Arial"/>
          <w:b/>
          <w:bCs/>
          <w:sz w:val="20"/>
        </w:rPr>
      </w:pPr>
      <w:r w:rsidRPr="006D50E4">
        <w:rPr>
          <w:rFonts w:ascii="Arial" w:hAnsi="Arial" w:cs="Arial"/>
          <w:b/>
          <w:bCs/>
          <w:sz w:val="20"/>
        </w:rPr>
        <w:t>GRÁFICA</w:t>
      </w:r>
      <w:r>
        <w:rPr>
          <w:rFonts w:ascii="Arial" w:hAnsi="Arial" w:cs="Arial"/>
          <w:b/>
          <w:bCs/>
          <w:sz w:val="20"/>
        </w:rPr>
        <w:t xml:space="preserve"> 2</w:t>
      </w:r>
      <w:r w:rsidRPr="006D50E4">
        <w:rPr>
          <w:rFonts w:ascii="Arial" w:hAnsi="Arial" w:cs="Arial"/>
          <w:b/>
          <w:bCs/>
          <w:sz w:val="20"/>
        </w:rPr>
        <w:t xml:space="preserve">. DISTRIBUCIÓN </w:t>
      </w:r>
      <w:r>
        <w:rPr>
          <w:rFonts w:ascii="Arial" w:hAnsi="Arial" w:cs="Arial"/>
          <w:b/>
          <w:bCs/>
          <w:sz w:val="20"/>
        </w:rPr>
        <w:t xml:space="preserve">PORCENTUAL </w:t>
      </w:r>
      <w:r w:rsidRPr="006D50E4">
        <w:rPr>
          <w:rFonts w:ascii="Arial" w:hAnsi="Arial" w:cs="Arial"/>
          <w:b/>
          <w:bCs/>
          <w:sz w:val="20"/>
        </w:rPr>
        <w:t xml:space="preserve">DE VEHÍCULOS DE MOTOR EN </w:t>
      </w:r>
      <w:r>
        <w:rPr>
          <w:rFonts w:ascii="Arial" w:hAnsi="Arial" w:cs="Arial"/>
          <w:b/>
          <w:bCs/>
          <w:sz w:val="20"/>
        </w:rPr>
        <w:t xml:space="preserve">SONORA </w:t>
      </w:r>
      <w:r w:rsidRPr="006D50E4">
        <w:rPr>
          <w:rFonts w:ascii="Arial" w:hAnsi="Arial" w:cs="Arial"/>
          <w:b/>
          <w:bCs/>
          <w:sz w:val="20"/>
        </w:rPr>
        <w:t>EN 2023, POR</w:t>
      </w:r>
      <w:r>
        <w:rPr>
          <w:rFonts w:ascii="Arial" w:hAnsi="Arial" w:cs="Arial"/>
          <w:b/>
          <w:bCs/>
          <w:sz w:val="20"/>
        </w:rPr>
        <w:t xml:space="preserve"> </w:t>
      </w:r>
      <w:r w:rsidRPr="006D50E4">
        <w:rPr>
          <w:rFonts w:ascii="Arial" w:hAnsi="Arial" w:cs="Arial"/>
          <w:b/>
          <w:bCs/>
          <w:sz w:val="20"/>
        </w:rPr>
        <w:t>TIPO</w:t>
      </w:r>
      <w:r>
        <w:rPr>
          <w:rFonts w:ascii="Arial" w:hAnsi="Arial" w:cs="Arial"/>
          <w:b/>
          <w:bCs/>
          <w:sz w:val="20"/>
        </w:rPr>
        <w:t xml:space="preserve"> DE VEHÍCULO</w:t>
      </w:r>
      <w:r w:rsidR="0086730D">
        <w:rPr>
          <w:rFonts w:ascii="Arial" w:hAnsi="Arial" w:cs="Arial"/>
          <w:b/>
          <w:bCs/>
          <w:sz w:val="20"/>
        </w:rPr>
        <w:t>.</w:t>
      </w:r>
    </w:p>
    <w:p w14:paraId="5D7F2ED8" w14:textId="77777777" w:rsidR="00EC118C" w:rsidRDefault="00EC118C" w:rsidP="00B205BA">
      <w:pPr>
        <w:pStyle w:val="NormalWeb"/>
        <w:spacing w:before="0" w:beforeAutospacing="0" w:after="120" w:afterAutospacing="0"/>
        <w:jc w:val="center"/>
        <w:rPr>
          <w:rFonts w:ascii="Arial" w:hAnsi="Arial" w:cs="Arial"/>
          <w:sz w:val="22"/>
          <w:szCs w:val="28"/>
        </w:rPr>
      </w:pPr>
      <w:r>
        <w:rPr>
          <w:noProof/>
        </w:rPr>
        <w:drawing>
          <wp:inline distT="0" distB="0" distL="0" distR="0" wp14:anchorId="38869CEC" wp14:editId="21C0AAB5">
            <wp:extent cx="4508500" cy="2967487"/>
            <wp:effectExtent l="0" t="0" r="0" b="0"/>
            <wp:docPr id="1670933137" name="Gráfico 1">
              <a:extLst xmlns:a="http://schemas.openxmlformats.org/drawingml/2006/main">
                <a:ext uri="{FF2B5EF4-FFF2-40B4-BE49-F238E27FC236}">
                  <a16:creationId xmlns:a16="http://schemas.microsoft.com/office/drawing/2014/main" id="{64DA2C26-9228-BA72-4437-DA0B6AC59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34FBF1" w14:textId="77777777" w:rsidR="00EC118C" w:rsidRPr="0067038E" w:rsidRDefault="00EC118C" w:rsidP="00B205BA">
      <w:pPr>
        <w:pStyle w:val="NormalWeb"/>
        <w:spacing w:before="0" w:beforeAutospacing="0" w:after="120" w:afterAutospacing="0"/>
        <w:jc w:val="both"/>
        <w:rPr>
          <w:rFonts w:ascii="Arial" w:hAnsi="Arial" w:cs="Arial"/>
          <w:sz w:val="16"/>
          <w:szCs w:val="20"/>
        </w:rPr>
      </w:pPr>
      <w:r w:rsidRPr="0067038E">
        <w:rPr>
          <w:rFonts w:ascii="Arial" w:hAnsi="Arial" w:cs="Arial"/>
          <w:sz w:val="16"/>
          <w:szCs w:val="20"/>
        </w:rPr>
        <w:t xml:space="preserve">            Fuente: INEGI</w:t>
      </w:r>
      <w:r>
        <w:rPr>
          <w:rFonts w:ascii="Arial" w:hAnsi="Arial" w:cs="Arial"/>
          <w:sz w:val="16"/>
          <w:szCs w:val="20"/>
        </w:rPr>
        <w:t>.</w:t>
      </w:r>
      <w:r w:rsidRPr="00C46A7B">
        <w:t xml:space="preserve"> </w:t>
      </w:r>
      <w:r w:rsidRPr="00C46A7B">
        <w:rPr>
          <w:rFonts w:ascii="Arial" w:hAnsi="Arial" w:cs="Arial"/>
          <w:sz w:val="16"/>
          <w:szCs w:val="20"/>
        </w:rPr>
        <w:t>Vehículos de Motor Registrados en Circulación (VMRC)</w:t>
      </w:r>
      <w:r w:rsidRPr="0067038E">
        <w:rPr>
          <w:rFonts w:ascii="Arial" w:hAnsi="Arial" w:cs="Arial"/>
          <w:sz w:val="16"/>
          <w:szCs w:val="20"/>
        </w:rPr>
        <w:t xml:space="preserve"> 2023</w:t>
      </w:r>
      <w:r>
        <w:rPr>
          <w:rFonts w:ascii="Arial" w:hAnsi="Arial" w:cs="Arial"/>
          <w:sz w:val="16"/>
          <w:szCs w:val="20"/>
        </w:rPr>
        <w:t>.</w:t>
      </w:r>
    </w:p>
    <w:p w14:paraId="65C4291D" w14:textId="021BA9B3" w:rsidR="00EC118C" w:rsidRDefault="00EC118C" w:rsidP="00B205BA">
      <w:pPr>
        <w:pStyle w:val="NormalWeb"/>
        <w:spacing w:before="0" w:beforeAutospacing="0" w:after="120" w:afterAutospacing="0"/>
        <w:jc w:val="both"/>
        <w:rPr>
          <w:rFonts w:ascii="Arial" w:hAnsi="Arial" w:cs="Arial"/>
          <w:sz w:val="22"/>
          <w:szCs w:val="28"/>
        </w:rPr>
      </w:pPr>
      <w:r w:rsidRPr="00F15563">
        <w:rPr>
          <w:rFonts w:ascii="Arial" w:hAnsi="Arial" w:cs="Arial"/>
          <w:sz w:val="22"/>
          <w:szCs w:val="28"/>
        </w:rPr>
        <w:t>En Hermosillo se observó un aumento de casi 23% en el número de camiones de pasajeros: de 2133 que había en 2020, pasó a 2618 en 2023, lo que indica una demanda constante de transporte público en la ciudad. También se registró un incremento de casi 18 % en la cantidad de vehículos de carga, que pasó, de 144 646 en 2020 a 170 529 en 2023, mostrando la expansión gradual de las actividades comerciales e industriales en el municipio (véase gráfica 3).</w:t>
      </w:r>
    </w:p>
    <w:p w14:paraId="316A1A13" w14:textId="002BF8E8" w:rsidR="00EC118C" w:rsidRDefault="00BD09D3" w:rsidP="00B205BA">
      <w:pPr>
        <w:pStyle w:val="NormalWeb"/>
        <w:spacing w:after="120" w:afterAutospacing="0"/>
        <w:rPr>
          <w:rFonts w:ascii="Arial" w:hAnsi="Arial" w:cs="Arial"/>
          <w:b/>
          <w:bCs/>
          <w:sz w:val="20"/>
        </w:rPr>
      </w:pPr>
      <w:r w:rsidRPr="006D50E4">
        <w:rPr>
          <w:rFonts w:ascii="Arial" w:hAnsi="Arial" w:cs="Arial"/>
          <w:b/>
          <w:bCs/>
          <w:sz w:val="20"/>
        </w:rPr>
        <w:t>GRÁFICA</w:t>
      </w:r>
      <w:r>
        <w:rPr>
          <w:rFonts w:ascii="Arial" w:hAnsi="Arial" w:cs="Arial"/>
          <w:b/>
          <w:bCs/>
          <w:sz w:val="20"/>
        </w:rPr>
        <w:t xml:space="preserve"> 3</w:t>
      </w:r>
      <w:r w:rsidRPr="006D50E4">
        <w:rPr>
          <w:rFonts w:ascii="Arial" w:hAnsi="Arial" w:cs="Arial"/>
          <w:b/>
          <w:bCs/>
          <w:sz w:val="20"/>
        </w:rPr>
        <w:t xml:space="preserve">. DISTRIBUCIÓN </w:t>
      </w:r>
      <w:r>
        <w:rPr>
          <w:rFonts w:ascii="Arial" w:hAnsi="Arial" w:cs="Arial"/>
          <w:b/>
          <w:bCs/>
          <w:sz w:val="20"/>
        </w:rPr>
        <w:t xml:space="preserve">PORCENTUAL </w:t>
      </w:r>
      <w:r w:rsidRPr="006D50E4">
        <w:rPr>
          <w:rFonts w:ascii="Arial" w:hAnsi="Arial" w:cs="Arial"/>
          <w:b/>
          <w:bCs/>
          <w:sz w:val="20"/>
        </w:rPr>
        <w:t>DE VEHÍCULOS DE MOTOR EN HERMOSILLO</w:t>
      </w:r>
      <w:r>
        <w:rPr>
          <w:rFonts w:ascii="Arial" w:hAnsi="Arial" w:cs="Arial"/>
          <w:b/>
          <w:bCs/>
          <w:sz w:val="20"/>
        </w:rPr>
        <w:t xml:space="preserve"> </w:t>
      </w:r>
      <w:r w:rsidRPr="006D50E4">
        <w:rPr>
          <w:rFonts w:ascii="Arial" w:hAnsi="Arial" w:cs="Arial"/>
          <w:b/>
          <w:bCs/>
          <w:sz w:val="20"/>
        </w:rPr>
        <w:t>EN 2023,</w:t>
      </w:r>
      <w:r>
        <w:rPr>
          <w:rFonts w:ascii="Arial" w:hAnsi="Arial" w:cs="Arial"/>
          <w:b/>
          <w:bCs/>
          <w:sz w:val="20"/>
        </w:rPr>
        <w:t xml:space="preserve"> </w:t>
      </w:r>
      <w:r w:rsidRPr="006D50E4">
        <w:rPr>
          <w:rFonts w:ascii="Arial" w:hAnsi="Arial" w:cs="Arial"/>
          <w:b/>
          <w:bCs/>
          <w:sz w:val="20"/>
        </w:rPr>
        <w:t>POR TIPO</w:t>
      </w:r>
      <w:r>
        <w:rPr>
          <w:rFonts w:ascii="Arial" w:hAnsi="Arial" w:cs="Arial"/>
          <w:b/>
          <w:bCs/>
          <w:sz w:val="20"/>
        </w:rPr>
        <w:t xml:space="preserve"> DE VEHÍCULO</w:t>
      </w:r>
    </w:p>
    <w:p w14:paraId="4E770AE4" w14:textId="17443944" w:rsidR="00EC118C" w:rsidRDefault="00A033CE" w:rsidP="00B205BA">
      <w:pPr>
        <w:pStyle w:val="NormalWeb"/>
        <w:spacing w:after="120" w:afterAutospacing="0"/>
        <w:rPr>
          <w:rFonts w:ascii="Arial" w:hAnsi="Arial" w:cs="Arial"/>
          <w:b/>
          <w:bCs/>
          <w:sz w:val="20"/>
        </w:rPr>
      </w:pPr>
      <w:r>
        <w:rPr>
          <w:noProof/>
        </w:rPr>
        <w:drawing>
          <wp:anchor distT="0" distB="0" distL="114300" distR="114300" simplePos="0" relativeHeight="251719680" behindDoc="0" locked="0" layoutInCell="1" allowOverlap="1" wp14:anchorId="4793F3C5" wp14:editId="39B6FCE9">
            <wp:simplePos x="0" y="0"/>
            <wp:positionH relativeFrom="column">
              <wp:posOffset>520065</wp:posOffset>
            </wp:positionH>
            <wp:positionV relativeFrom="paragraph">
              <wp:posOffset>43815</wp:posOffset>
            </wp:positionV>
            <wp:extent cx="4351020" cy="2286000"/>
            <wp:effectExtent l="0" t="0" r="0" b="0"/>
            <wp:wrapNone/>
            <wp:docPr id="1420697982" name="Gráfico 1">
              <a:extLst xmlns:a="http://schemas.openxmlformats.org/drawingml/2006/main">
                <a:ext uri="{FF2B5EF4-FFF2-40B4-BE49-F238E27FC236}">
                  <a16:creationId xmlns:a16="http://schemas.microsoft.com/office/drawing/2014/main" id="{E6D4BEAE-DE79-2F76-49B9-32AB41508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7E9AB50" w14:textId="1C7CAA78" w:rsidR="00EC118C" w:rsidRDefault="00EC118C" w:rsidP="00B205BA">
      <w:pPr>
        <w:pStyle w:val="NormalWeb"/>
        <w:spacing w:before="0" w:beforeAutospacing="0" w:after="120" w:afterAutospacing="0"/>
        <w:jc w:val="center"/>
        <w:rPr>
          <w:rFonts w:ascii="Arial" w:hAnsi="Arial" w:cs="Arial"/>
          <w:b/>
          <w:bCs/>
          <w:sz w:val="20"/>
        </w:rPr>
      </w:pPr>
    </w:p>
    <w:p w14:paraId="6A5DF7C6" w14:textId="435E0C1C" w:rsidR="00EC118C" w:rsidRDefault="00EC118C" w:rsidP="00B205BA">
      <w:pPr>
        <w:pStyle w:val="NormalWeb"/>
        <w:spacing w:before="0" w:beforeAutospacing="0" w:after="120" w:afterAutospacing="0"/>
        <w:jc w:val="center"/>
        <w:rPr>
          <w:rFonts w:ascii="Arial" w:hAnsi="Arial" w:cs="Arial"/>
          <w:b/>
          <w:bCs/>
          <w:sz w:val="20"/>
        </w:rPr>
      </w:pPr>
    </w:p>
    <w:p w14:paraId="31F74D5C" w14:textId="77777777" w:rsidR="00EC118C" w:rsidRDefault="00EC118C" w:rsidP="00B205BA">
      <w:pPr>
        <w:pStyle w:val="NormalWeb"/>
        <w:spacing w:before="0" w:beforeAutospacing="0" w:after="120" w:afterAutospacing="0"/>
        <w:jc w:val="center"/>
        <w:rPr>
          <w:rFonts w:ascii="Arial" w:hAnsi="Arial" w:cs="Arial"/>
          <w:b/>
          <w:bCs/>
          <w:sz w:val="20"/>
        </w:rPr>
      </w:pPr>
    </w:p>
    <w:p w14:paraId="775F8182" w14:textId="77777777" w:rsidR="00EC118C" w:rsidRDefault="00EC118C" w:rsidP="00B205BA">
      <w:pPr>
        <w:pStyle w:val="NormalWeb"/>
        <w:spacing w:before="0" w:beforeAutospacing="0" w:after="120" w:afterAutospacing="0"/>
        <w:jc w:val="center"/>
        <w:rPr>
          <w:rFonts w:ascii="Arial" w:hAnsi="Arial" w:cs="Arial"/>
          <w:b/>
          <w:bCs/>
          <w:sz w:val="20"/>
        </w:rPr>
      </w:pPr>
    </w:p>
    <w:p w14:paraId="25F8562F" w14:textId="77777777" w:rsidR="00EC118C" w:rsidRPr="006D50E4" w:rsidRDefault="00EC118C" w:rsidP="00B205BA">
      <w:pPr>
        <w:pStyle w:val="NormalWeb"/>
        <w:spacing w:before="0" w:beforeAutospacing="0" w:after="120" w:afterAutospacing="0"/>
        <w:jc w:val="center"/>
        <w:rPr>
          <w:rFonts w:ascii="Arial" w:hAnsi="Arial" w:cs="Arial"/>
          <w:b/>
          <w:bCs/>
          <w:sz w:val="20"/>
          <w:highlight w:val="yellow"/>
        </w:rPr>
      </w:pPr>
    </w:p>
    <w:p w14:paraId="430F0996" w14:textId="77777777" w:rsidR="00EC118C" w:rsidRDefault="00EC118C" w:rsidP="00B205BA">
      <w:pPr>
        <w:pStyle w:val="NormalWeb"/>
        <w:spacing w:before="0" w:beforeAutospacing="0" w:after="120" w:afterAutospacing="0"/>
        <w:jc w:val="center"/>
        <w:rPr>
          <w:rFonts w:ascii="Arial" w:hAnsi="Arial" w:cs="Arial"/>
          <w:b/>
          <w:bCs/>
          <w:sz w:val="20"/>
          <w:highlight w:val="yellow"/>
        </w:rPr>
      </w:pPr>
    </w:p>
    <w:p w14:paraId="25316AA3" w14:textId="3C1153C8" w:rsidR="00EC118C" w:rsidRDefault="00EC118C" w:rsidP="00B205BA">
      <w:pPr>
        <w:pStyle w:val="NormalWeb"/>
        <w:spacing w:before="0" w:beforeAutospacing="0" w:after="120" w:afterAutospacing="0"/>
        <w:jc w:val="both"/>
        <w:rPr>
          <w:rFonts w:ascii="Arial" w:hAnsi="Arial" w:cs="Arial"/>
          <w:sz w:val="16"/>
          <w:szCs w:val="20"/>
        </w:rPr>
      </w:pPr>
      <w:r>
        <w:rPr>
          <w:rFonts w:ascii="Arial" w:hAnsi="Arial" w:cs="Arial"/>
          <w:sz w:val="16"/>
          <w:szCs w:val="20"/>
        </w:rPr>
        <w:t xml:space="preserve">      </w:t>
      </w:r>
    </w:p>
    <w:p w14:paraId="5A41F097" w14:textId="77777777" w:rsidR="00EC118C" w:rsidRDefault="00EC118C" w:rsidP="00B205BA">
      <w:pPr>
        <w:pStyle w:val="NormalWeb"/>
        <w:spacing w:before="0" w:beforeAutospacing="0" w:after="120" w:afterAutospacing="0"/>
        <w:jc w:val="both"/>
        <w:rPr>
          <w:rFonts w:ascii="Arial" w:hAnsi="Arial" w:cs="Arial"/>
          <w:sz w:val="16"/>
          <w:szCs w:val="20"/>
        </w:rPr>
      </w:pPr>
    </w:p>
    <w:p w14:paraId="2EB7C1EC" w14:textId="77777777" w:rsidR="00EC118C" w:rsidRPr="0067038E" w:rsidRDefault="00EC118C" w:rsidP="00B205BA">
      <w:pPr>
        <w:pStyle w:val="NormalWeb"/>
        <w:spacing w:before="0" w:beforeAutospacing="0" w:after="120" w:afterAutospacing="0"/>
        <w:jc w:val="both"/>
        <w:rPr>
          <w:rFonts w:ascii="Arial" w:hAnsi="Arial" w:cs="Arial"/>
          <w:sz w:val="16"/>
          <w:szCs w:val="20"/>
        </w:rPr>
      </w:pPr>
      <w:r w:rsidRPr="0067038E">
        <w:rPr>
          <w:rFonts w:ascii="Arial" w:hAnsi="Arial" w:cs="Arial"/>
          <w:sz w:val="16"/>
          <w:szCs w:val="20"/>
        </w:rPr>
        <w:t xml:space="preserve">            Fuente: INEGI</w:t>
      </w:r>
      <w:r>
        <w:rPr>
          <w:rFonts w:ascii="Arial" w:hAnsi="Arial" w:cs="Arial"/>
          <w:sz w:val="16"/>
          <w:szCs w:val="20"/>
        </w:rPr>
        <w:t>.</w:t>
      </w:r>
      <w:r w:rsidRPr="00C46A7B">
        <w:t xml:space="preserve"> </w:t>
      </w:r>
      <w:r w:rsidRPr="00C46A7B">
        <w:rPr>
          <w:rFonts w:ascii="Arial" w:hAnsi="Arial" w:cs="Arial"/>
          <w:sz w:val="16"/>
          <w:szCs w:val="20"/>
        </w:rPr>
        <w:t>Vehículos de Motor Registrados en Circulación (VMRC)</w:t>
      </w:r>
      <w:r w:rsidRPr="0067038E">
        <w:rPr>
          <w:rFonts w:ascii="Arial" w:hAnsi="Arial" w:cs="Arial"/>
          <w:sz w:val="16"/>
          <w:szCs w:val="20"/>
        </w:rPr>
        <w:t xml:space="preserve"> 2023</w:t>
      </w:r>
      <w:r>
        <w:rPr>
          <w:rFonts w:ascii="Arial" w:hAnsi="Arial" w:cs="Arial"/>
          <w:sz w:val="16"/>
          <w:szCs w:val="20"/>
        </w:rPr>
        <w:t>.</w:t>
      </w:r>
    </w:p>
    <w:p w14:paraId="0FF9148F" w14:textId="7FC7F106" w:rsidR="00EC118C" w:rsidRPr="00A033CE" w:rsidRDefault="00EC118C" w:rsidP="00B205BA">
      <w:pPr>
        <w:pStyle w:val="NormalWeb"/>
        <w:spacing w:before="0" w:beforeAutospacing="0" w:after="120" w:afterAutospacing="0"/>
        <w:jc w:val="both"/>
        <w:rPr>
          <w:rFonts w:ascii="Arial" w:hAnsi="Arial" w:cs="Arial"/>
          <w:sz w:val="22"/>
          <w:szCs w:val="28"/>
          <w:highlight w:val="yellow"/>
        </w:rPr>
      </w:pPr>
      <w:r>
        <w:rPr>
          <w:rFonts w:ascii="Arial" w:hAnsi="Arial" w:cs="Arial"/>
          <w:sz w:val="22"/>
          <w:szCs w:val="28"/>
        </w:rPr>
        <w:t>Como puede observarse</w:t>
      </w:r>
      <w:r w:rsidRPr="00412A62">
        <w:rPr>
          <w:rFonts w:ascii="Arial" w:hAnsi="Arial" w:cs="Arial"/>
          <w:sz w:val="22"/>
          <w:szCs w:val="28"/>
        </w:rPr>
        <w:t xml:space="preserve">, el mercado de vehículos en circulación en Sonora y Hermosillo </w:t>
      </w:r>
      <w:r>
        <w:rPr>
          <w:rFonts w:ascii="Arial" w:hAnsi="Arial" w:cs="Arial"/>
          <w:sz w:val="22"/>
          <w:szCs w:val="28"/>
        </w:rPr>
        <w:t>muestra</w:t>
      </w:r>
      <w:r w:rsidRPr="00412A62">
        <w:rPr>
          <w:rFonts w:ascii="Arial" w:hAnsi="Arial" w:cs="Arial"/>
          <w:sz w:val="22"/>
          <w:szCs w:val="28"/>
        </w:rPr>
        <w:t xml:space="preserve"> una tendencia de crecimiento constante, con un aumento particularmente notable en motocicletas y vehículos de carga. La capital del estado ha experimentado un crecimiento proporcionalmente mayor, destacando la urbanización, la mayor demanda de transporte personal y la expansión de actividades comerciales. A medida que la economía de la región </w:t>
      </w:r>
      <w:r>
        <w:rPr>
          <w:rFonts w:ascii="Arial" w:hAnsi="Arial" w:cs="Arial"/>
          <w:sz w:val="22"/>
          <w:szCs w:val="28"/>
        </w:rPr>
        <w:t>siga</w:t>
      </w:r>
      <w:r w:rsidRPr="00412A62">
        <w:rPr>
          <w:rFonts w:ascii="Arial" w:hAnsi="Arial" w:cs="Arial"/>
          <w:sz w:val="22"/>
          <w:szCs w:val="28"/>
        </w:rPr>
        <w:t xml:space="preserve"> adaptándose, es probable que continúe la tendencia hacia una mayor diversificación en los tipos de vehículos utilizados, especialmente con el crecimiento de la clase media y la expansión de los sectores logísticos e industriales.</w:t>
      </w:r>
    </w:p>
    <w:p w14:paraId="649AD74A" w14:textId="2C427F89" w:rsidR="00EC118C" w:rsidRPr="00A033CE" w:rsidRDefault="00EC118C" w:rsidP="00B205BA">
      <w:pPr>
        <w:pStyle w:val="NormalWeb"/>
        <w:spacing w:before="0" w:beforeAutospacing="0" w:after="120" w:afterAutospacing="0"/>
        <w:jc w:val="both"/>
        <w:rPr>
          <w:rFonts w:ascii="Arial" w:hAnsi="Arial" w:cs="Arial"/>
          <w:b/>
          <w:bCs/>
          <w:sz w:val="22"/>
          <w:szCs w:val="28"/>
        </w:rPr>
      </w:pPr>
      <w:r w:rsidRPr="00A033CE">
        <w:rPr>
          <w:rFonts w:ascii="Arial" w:hAnsi="Arial" w:cs="Arial"/>
          <w:b/>
          <w:bCs/>
          <w:sz w:val="22"/>
          <w:szCs w:val="28"/>
        </w:rPr>
        <w:t>Movilidad sostenible e infraestructura vial</w:t>
      </w:r>
      <w:r w:rsidR="00261A27" w:rsidRPr="00A033CE">
        <w:rPr>
          <w:rFonts w:ascii="Arial" w:hAnsi="Arial" w:cs="Arial"/>
          <w:b/>
          <w:bCs/>
          <w:sz w:val="22"/>
          <w:szCs w:val="28"/>
        </w:rPr>
        <w:t>.</w:t>
      </w:r>
    </w:p>
    <w:p w14:paraId="3300CC0A" w14:textId="77777777" w:rsidR="00A033CE" w:rsidRPr="00A033CE" w:rsidRDefault="00EC118C" w:rsidP="00A033CE">
      <w:pPr>
        <w:pStyle w:val="NormalWeb"/>
        <w:spacing w:before="0" w:beforeAutospacing="0" w:after="120" w:afterAutospacing="0"/>
        <w:jc w:val="both"/>
        <w:rPr>
          <w:rFonts w:ascii="Arial" w:hAnsi="Arial" w:cs="Arial"/>
          <w:sz w:val="22"/>
          <w:szCs w:val="22"/>
        </w:rPr>
      </w:pPr>
      <w:r w:rsidRPr="00A033CE">
        <w:rPr>
          <w:rFonts w:ascii="Arial" w:hAnsi="Arial" w:cs="Arial"/>
          <w:sz w:val="22"/>
          <w:szCs w:val="22"/>
        </w:rPr>
        <w:t>El municipio de Hermosillo enfrentó un deterioro significativo en sus calles y caminos, lo que afectó tanto la circulación vehicular como peatonal, además de poner en riesgo la seguridad de los ciudadanos. Las principales avenidas presentaban numerosos baches y tramos dañados, y los caminos rurales se encontraban en condiciones deplorables, lo que limitaba la conectividad con diversas comunidades. Asimismo, la falta de mantenimiento en los canales y arroyos aumentaba el riesgo de inundaciones, poniendo en peligro la integridad de los habitantes, especialmente durante las temporadas de lluvia.</w:t>
      </w:r>
    </w:p>
    <w:p w14:paraId="57396760" w14:textId="77777777" w:rsidR="00A033CE" w:rsidRPr="00A033CE" w:rsidRDefault="00EC118C" w:rsidP="00A033CE">
      <w:pPr>
        <w:pStyle w:val="NormalWeb"/>
        <w:spacing w:before="0" w:beforeAutospacing="0" w:after="120" w:afterAutospacing="0"/>
        <w:jc w:val="both"/>
        <w:rPr>
          <w:rFonts w:ascii="Arial" w:eastAsia="Times New Roman" w:hAnsi="Arial" w:cs="Arial"/>
          <w:sz w:val="22"/>
          <w:szCs w:val="22"/>
          <w:lang w:eastAsia="es-ES"/>
        </w:rPr>
      </w:pPr>
      <w:r w:rsidRPr="00A033CE">
        <w:rPr>
          <w:rFonts w:ascii="Arial" w:hAnsi="Arial" w:cs="Arial"/>
          <w:sz w:val="22"/>
          <w:szCs w:val="22"/>
        </w:rPr>
        <w:t xml:space="preserve">Para abordar estas problemáticas, se implementó un plan integral que incluyó la </w:t>
      </w:r>
      <w:r w:rsidRPr="00A033CE">
        <w:rPr>
          <w:rFonts w:ascii="Arial" w:eastAsia="Times New Roman" w:hAnsi="Arial" w:cs="Arial"/>
          <w:sz w:val="22"/>
          <w:szCs w:val="22"/>
          <w:lang w:eastAsia="es-ES"/>
        </w:rPr>
        <w:t>ejecución de 19 obras de pavimentación de bulevares y 50 de vialidades, 68 recarpeteos y la construcción de 22 cruceros de concreto hidráulico.</w:t>
      </w:r>
    </w:p>
    <w:p w14:paraId="5048E80A" w14:textId="77777777" w:rsidR="00A033CE" w:rsidRPr="00A033CE" w:rsidRDefault="00EC118C" w:rsidP="00A033CE">
      <w:pPr>
        <w:pStyle w:val="NormalWeb"/>
        <w:spacing w:before="0" w:beforeAutospacing="0" w:after="120" w:afterAutospacing="0"/>
        <w:jc w:val="both"/>
        <w:rPr>
          <w:rFonts w:ascii="Arial" w:eastAsia="Times New Roman" w:hAnsi="Arial" w:cs="Arial"/>
          <w:sz w:val="22"/>
          <w:szCs w:val="22"/>
          <w:lang w:eastAsia="es-ES"/>
        </w:rPr>
      </w:pPr>
      <w:r w:rsidRPr="00A033CE">
        <w:rPr>
          <w:rFonts w:ascii="Arial" w:hAnsi="Arial" w:cs="Arial"/>
          <w:sz w:val="22"/>
          <w:szCs w:val="22"/>
        </w:rPr>
        <w:t xml:space="preserve">Con el fin de atender de manera rápida y eficiente las zonas más afectadas, </w:t>
      </w:r>
      <w:r w:rsidRPr="00A033CE">
        <w:rPr>
          <w:rFonts w:ascii="Arial" w:eastAsia="Times New Roman" w:hAnsi="Arial" w:cs="Arial"/>
          <w:sz w:val="22"/>
          <w:szCs w:val="22"/>
          <w:lang w:eastAsia="es-ES"/>
        </w:rPr>
        <w:t xml:space="preserve">se llevó a cabo </w:t>
      </w:r>
      <w:r w:rsidRPr="00A033CE">
        <w:rPr>
          <w:rFonts w:ascii="Arial" w:hAnsi="Arial" w:cs="Arial"/>
          <w:sz w:val="22"/>
          <w:szCs w:val="22"/>
        </w:rPr>
        <w:t xml:space="preserve">un programa emergente </w:t>
      </w:r>
      <w:r w:rsidRPr="00A033CE">
        <w:rPr>
          <w:rFonts w:ascii="Arial" w:eastAsia="Times New Roman" w:hAnsi="Arial" w:cs="Arial"/>
          <w:sz w:val="22"/>
          <w:szCs w:val="22"/>
          <w:lang w:eastAsia="es-ES"/>
        </w:rPr>
        <w:t xml:space="preserve">durante el cual se bachearon más de 596 300 m² de calles con asfalto y casi 4000 m² con concreto hidráulico. Adicionalmente, se realizaron aplicaciones preventivas en más de 68 000 metros lineales de vialidades, paso importante para evitar el deterioro prematuro del pavimento. </w:t>
      </w:r>
    </w:p>
    <w:p w14:paraId="2AE52C3F" w14:textId="77777777" w:rsidR="00A033CE" w:rsidRPr="00A033CE" w:rsidRDefault="00EC118C" w:rsidP="00A033CE">
      <w:pPr>
        <w:pStyle w:val="NormalWeb"/>
        <w:spacing w:before="0" w:beforeAutospacing="0" w:after="120" w:afterAutospacing="0"/>
        <w:jc w:val="both"/>
        <w:rPr>
          <w:rFonts w:ascii="Arial" w:eastAsia="Times New Roman" w:hAnsi="Arial" w:cs="Arial"/>
          <w:sz w:val="22"/>
          <w:szCs w:val="22"/>
          <w:lang w:eastAsia="es-ES"/>
        </w:rPr>
      </w:pPr>
      <w:r w:rsidRPr="00A033CE">
        <w:rPr>
          <w:rFonts w:ascii="Arial" w:eastAsia="Times New Roman" w:hAnsi="Arial" w:cs="Arial"/>
          <w:sz w:val="22"/>
          <w:szCs w:val="22"/>
          <w:lang w:eastAsia="es-ES"/>
        </w:rPr>
        <w:t>No obstante, los retos persisten en áreas con mayor afectación por condiciones climáticas o por el uso intensivo. Esto hace necesario desarrollar un plan de mantenimiento preventivo más extenso para las vialidades en zonas rurales o menos urbanizadas donde el deterioro es mayor, con materiales resistentes al clima extremo que ayuden a prolongar la vida útil de las vialidades.</w:t>
      </w:r>
    </w:p>
    <w:p w14:paraId="188CDE0B" w14:textId="77777777" w:rsidR="00A033CE" w:rsidRPr="00A033CE" w:rsidRDefault="00EC118C" w:rsidP="00A033CE">
      <w:pPr>
        <w:pStyle w:val="NormalWeb"/>
        <w:spacing w:before="0" w:beforeAutospacing="0" w:after="120" w:afterAutospacing="0"/>
        <w:jc w:val="both"/>
        <w:rPr>
          <w:rFonts w:ascii="Arial" w:eastAsia="Times New Roman" w:hAnsi="Arial" w:cs="Arial"/>
          <w:sz w:val="22"/>
          <w:szCs w:val="22"/>
          <w:lang w:eastAsia="es-ES"/>
        </w:rPr>
      </w:pPr>
      <w:r w:rsidRPr="00A033CE">
        <w:rPr>
          <w:rFonts w:ascii="Arial" w:eastAsia="Times New Roman" w:hAnsi="Arial" w:cs="Arial"/>
          <w:sz w:val="22"/>
          <w:szCs w:val="22"/>
          <w:lang w:eastAsia="es-ES"/>
        </w:rPr>
        <w:t xml:space="preserve">En este panorama, la creación de una aplicación móvil para monitorear el bacheo en tiempo real ha venido a mejorar la eficiencia operativa y permite una supervisión más ágil. Esta innovación tecnológica es un avance importante en la gestión eficiente de los recursos y en la respuesta a los reportes ciudadanos. </w:t>
      </w:r>
    </w:p>
    <w:p w14:paraId="292B4BA9" w14:textId="77777777" w:rsidR="00A033CE" w:rsidRPr="00A033CE" w:rsidRDefault="00EC118C" w:rsidP="00B205BA">
      <w:pPr>
        <w:pStyle w:val="NormalWeb"/>
        <w:spacing w:before="0" w:beforeAutospacing="0" w:after="120" w:afterAutospacing="0"/>
        <w:jc w:val="both"/>
        <w:rPr>
          <w:rFonts w:ascii="Arial" w:hAnsi="Arial" w:cs="Arial"/>
          <w:sz w:val="22"/>
          <w:szCs w:val="22"/>
        </w:rPr>
      </w:pPr>
      <w:r w:rsidRPr="00A033CE">
        <w:rPr>
          <w:rFonts w:ascii="Arial" w:hAnsi="Arial" w:cs="Arial"/>
          <w:sz w:val="22"/>
          <w:szCs w:val="22"/>
        </w:rPr>
        <w:t xml:space="preserve">En cuanto a la rehabilitación de vialidades urbanas y rurales, </w:t>
      </w:r>
      <w:r w:rsidRPr="00A033CE">
        <w:rPr>
          <w:rFonts w:ascii="Arial" w:eastAsia="Times New Roman" w:hAnsi="Arial" w:cs="Arial"/>
          <w:sz w:val="22"/>
          <w:szCs w:val="22"/>
          <w:lang w:eastAsia="es-ES"/>
        </w:rPr>
        <w:t>se raspó un total de 2,363,889 metros lineales de terracerías, lo que contribuyó a mejorar su seguridad. Además, se realizó la limpieza de 141 128 metros lineales de canales para prevenir inundaciones.</w:t>
      </w:r>
    </w:p>
    <w:p w14:paraId="0B264022" w14:textId="3F8C22AD" w:rsidR="00EC118C" w:rsidRPr="00A033CE" w:rsidRDefault="00EC118C" w:rsidP="00B205BA">
      <w:pPr>
        <w:pStyle w:val="NormalWeb"/>
        <w:spacing w:before="0" w:beforeAutospacing="0" w:after="120" w:afterAutospacing="0"/>
        <w:jc w:val="both"/>
        <w:rPr>
          <w:rFonts w:ascii="Arial" w:hAnsi="Arial" w:cs="Arial"/>
          <w:sz w:val="22"/>
          <w:szCs w:val="22"/>
        </w:rPr>
      </w:pPr>
      <w:r w:rsidRPr="00A033CE">
        <w:rPr>
          <w:rFonts w:ascii="Arial" w:hAnsi="Arial" w:cs="Arial"/>
          <w:sz w:val="22"/>
          <w:szCs w:val="22"/>
        </w:rPr>
        <w:t>Las acciones implementadas en este rubro durante la pasada administración 2021-2024 fueron fundamentales para mejorar la calidad de vida de los ciudadanos y contribuir al desarrollo urbano sostenible del municipio.</w:t>
      </w:r>
    </w:p>
    <w:p w14:paraId="5577042F" w14:textId="0E236AFD" w:rsidR="00EC118C" w:rsidRDefault="00EC118C" w:rsidP="00B205BA">
      <w:pPr>
        <w:spacing w:after="120" w:line="240" w:lineRule="auto"/>
        <w:rPr>
          <w:rFonts w:eastAsia="Times New Roman" w:cs="Arial"/>
          <w:b/>
          <w:bCs/>
          <w:lang w:eastAsia="es-ES"/>
        </w:rPr>
      </w:pPr>
      <w:r>
        <w:rPr>
          <w:rFonts w:eastAsia="Times New Roman" w:cs="Arial"/>
          <w:b/>
          <w:bCs/>
          <w:lang w:eastAsia="es-ES"/>
        </w:rPr>
        <w:t>I</w:t>
      </w:r>
      <w:r w:rsidRPr="00556DE4">
        <w:rPr>
          <w:rFonts w:eastAsia="Times New Roman" w:cs="Arial"/>
          <w:b/>
          <w:bCs/>
          <w:lang w:eastAsia="es-ES"/>
        </w:rPr>
        <w:t>nfraestructura de tránsito</w:t>
      </w:r>
      <w:r w:rsidR="00261A27">
        <w:rPr>
          <w:rFonts w:eastAsia="Times New Roman" w:cs="Arial"/>
          <w:b/>
          <w:bCs/>
          <w:lang w:eastAsia="es-ES"/>
        </w:rPr>
        <w:t>.</w:t>
      </w:r>
    </w:p>
    <w:p w14:paraId="51E862E1" w14:textId="77777777" w:rsidR="00EC118C" w:rsidRDefault="00EC118C" w:rsidP="00B205BA">
      <w:pPr>
        <w:spacing w:after="120" w:line="240" w:lineRule="auto"/>
        <w:rPr>
          <w:rFonts w:eastAsia="Times New Roman" w:cs="Arial"/>
          <w:lang w:eastAsia="es-ES"/>
        </w:rPr>
      </w:pPr>
      <w:r w:rsidRPr="00556DE4">
        <w:rPr>
          <w:rFonts w:eastAsia="Times New Roman" w:cs="Arial"/>
          <w:lang w:eastAsia="es-ES"/>
        </w:rPr>
        <w:t>Las acciones relacionadas con la instalación de señales de tránsito, la pintura de líneas y la mejora de semáforos son fundamentales para mejorar la seguridad vial y la eficiencia del flujo de tránsito</w:t>
      </w:r>
      <w:r>
        <w:rPr>
          <w:rFonts w:eastAsia="Times New Roman" w:cs="Arial"/>
          <w:lang w:eastAsia="es-ES"/>
        </w:rPr>
        <w:t xml:space="preserve"> en el municipio.</w:t>
      </w:r>
    </w:p>
    <w:p w14:paraId="5B26297A" w14:textId="77777777" w:rsidR="00EC118C" w:rsidRDefault="00EC118C" w:rsidP="00B205BA">
      <w:pPr>
        <w:spacing w:after="120" w:line="240" w:lineRule="auto"/>
        <w:rPr>
          <w:rFonts w:eastAsia="Times New Roman" w:cs="Arial"/>
          <w:lang w:eastAsia="es-ES"/>
        </w:rPr>
      </w:pPr>
    </w:p>
    <w:p w14:paraId="7AB7B9B6" w14:textId="77777777" w:rsidR="00A033CE" w:rsidRDefault="00EC118C" w:rsidP="00A033CE">
      <w:pPr>
        <w:spacing w:after="120" w:line="240" w:lineRule="auto"/>
        <w:rPr>
          <w:rFonts w:eastAsia="Times New Roman" w:cs="Arial"/>
          <w:lang w:eastAsia="es-ES"/>
        </w:rPr>
      </w:pPr>
      <w:r>
        <w:rPr>
          <w:rFonts w:eastAsia="Times New Roman" w:cs="Arial"/>
          <w:lang w:eastAsia="es-ES"/>
        </w:rPr>
        <w:t>En los pasados 3 años de gobierno l</w:t>
      </w:r>
      <w:r w:rsidRPr="00556DE4">
        <w:rPr>
          <w:rFonts w:eastAsia="Times New Roman" w:cs="Arial"/>
          <w:lang w:eastAsia="es-ES"/>
        </w:rPr>
        <w:t xml:space="preserve">a colocación de </w:t>
      </w:r>
      <w:r>
        <w:rPr>
          <w:rFonts w:eastAsia="Times New Roman" w:cs="Arial"/>
          <w:lang w:eastAsia="es-ES"/>
        </w:rPr>
        <w:t>más de 6,700</w:t>
      </w:r>
      <w:r w:rsidRPr="00556DE4">
        <w:rPr>
          <w:rFonts w:eastAsia="Times New Roman" w:cs="Arial"/>
          <w:lang w:eastAsia="es-ES"/>
        </w:rPr>
        <w:t xml:space="preserve"> señales de tránsito y la </w:t>
      </w:r>
      <w:r>
        <w:rPr>
          <w:rFonts w:eastAsia="Times New Roman" w:cs="Arial"/>
          <w:lang w:eastAsia="es-ES"/>
        </w:rPr>
        <w:t xml:space="preserve">aplicación de </w:t>
      </w:r>
      <w:r w:rsidRPr="00556DE4">
        <w:rPr>
          <w:rFonts w:eastAsia="Times New Roman" w:cs="Arial"/>
          <w:lang w:eastAsia="es-ES"/>
        </w:rPr>
        <w:t xml:space="preserve">pintura </w:t>
      </w:r>
      <w:r>
        <w:rPr>
          <w:rFonts w:eastAsia="Times New Roman" w:cs="Arial"/>
          <w:lang w:eastAsia="es-ES"/>
        </w:rPr>
        <w:t>a</w:t>
      </w:r>
      <w:r w:rsidRPr="00556DE4">
        <w:rPr>
          <w:rFonts w:eastAsia="Times New Roman" w:cs="Arial"/>
          <w:lang w:eastAsia="es-ES"/>
        </w:rPr>
        <w:t xml:space="preserve"> </w:t>
      </w:r>
      <w:r>
        <w:rPr>
          <w:rFonts w:eastAsia="Times New Roman" w:cs="Arial"/>
          <w:lang w:eastAsia="es-ES"/>
        </w:rPr>
        <w:t>más de 1.3 millones de</w:t>
      </w:r>
      <w:r w:rsidRPr="00556DE4">
        <w:rPr>
          <w:rFonts w:eastAsia="Times New Roman" w:cs="Arial"/>
          <w:lang w:eastAsia="es-ES"/>
        </w:rPr>
        <w:t xml:space="preserve"> metros lineales </w:t>
      </w:r>
      <w:r>
        <w:rPr>
          <w:rFonts w:eastAsia="Times New Roman" w:cs="Arial"/>
          <w:lang w:eastAsia="es-ES"/>
        </w:rPr>
        <w:t xml:space="preserve">en vialidades han </w:t>
      </w:r>
      <w:r w:rsidRPr="00556DE4">
        <w:rPr>
          <w:rFonts w:eastAsia="Times New Roman" w:cs="Arial"/>
          <w:lang w:eastAsia="es-ES"/>
        </w:rPr>
        <w:t>contribu</w:t>
      </w:r>
      <w:r>
        <w:rPr>
          <w:rFonts w:eastAsia="Times New Roman" w:cs="Arial"/>
          <w:lang w:eastAsia="es-ES"/>
        </w:rPr>
        <w:t>ido</w:t>
      </w:r>
      <w:r w:rsidRPr="00556DE4">
        <w:rPr>
          <w:rFonts w:eastAsia="Times New Roman" w:cs="Arial"/>
          <w:lang w:eastAsia="es-ES"/>
        </w:rPr>
        <w:t xml:space="preserve"> </w:t>
      </w:r>
      <w:r>
        <w:rPr>
          <w:rFonts w:eastAsia="Times New Roman" w:cs="Arial"/>
          <w:lang w:eastAsia="es-ES"/>
        </w:rPr>
        <w:t xml:space="preserve">significativamente </w:t>
      </w:r>
      <w:r w:rsidRPr="00556DE4">
        <w:rPr>
          <w:rFonts w:eastAsia="Times New Roman" w:cs="Arial"/>
          <w:lang w:eastAsia="es-ES"/>
        </w:rPr>
        <w:t xml:space="preserve">a la seguridad de los conductores y peatones, </w:t>
      </w:r>
      <w:r>
        <w:rPr>
          <w:rFonts w:eastAsia="Times New Roman" w:cs="Arial"/>
          <w:lang w:eastAsia="es-ES"/>
        </w:rPr>
        <w:t>así como</w:t>
      </w:r>
      <w:r w:rsidRPr="00556DE4">
        <w:rPr>
          <w:rFonts w:eastAsia="Times New Roman" w:cs="Arial"/>
          <w:lang w:eastAsia="es-ES"/>
        </w:rPr>
        <w:t xml:space="preserve"> a la ordenación del tráfico, particularmente en</w:t>
      </w:r>
      <w:r>
        <w:rPr>
          <w:rFonts w:eastAsia="Times New Roman" w:cs="Arial"/>
          <w:lang w:eastAsia="es-ES"/>
        </w:rPr>
        <w:t xml:space="preserve"> zonas escolares y</w:t>
      </w:r>
      <w:r w:rsidRPr="00556DE4">
        <w:rPr>
          <w:rFonts w:eastAsia="Times New Roman" w:cs="Arial"/>
          <w:lang w:eastAsia="es-ES"/>
        </w:rPr>
        <w:t xml:space="preserve"> áreas </w:t>
      </w:r>
      <w:r>
        <w:rPr>
          <w:rFonts w:eastAsia="Times New Roman" w:cs="Arial"/>
          <w:lang w:eastAsia="es-ES"/>
        </w:rPr>
        <w:t>de riesgo</w:t>
      </w:r>
      <w:r w:rsidRPr="00556DE4">
        <w:rPr>
          <w:rFonts w:eastAsia="Times New Roman" w:cs="Arial"/>
          <w:lang w:eastAsia="es-ES"/>
        </w:rPr>
        <w:t xml:space="preserve">. Sin embargo, a pesar de estos avances, la cobertura de las señales y las zonas de mayor necesidad, como áreas rurales o centros urbanos </w:t>
      </w:r>
      <w:r>
        <w:rPr>
          <w:rFonts w:eastAsia="Times New Roman" w:cs="Arial"/>
          <w:lang w:eastAsia="es-ES"/>
        </w:rPr>
        <w:t xml:space="preserve">más </w:t>
      </w:r>
      <w:r w:rsidRPr="00556DE4">
        <w:rPr>
          <w:rFonts w:eastAsia="Times New Roman" w:cs="Arial"/>
          <w:lang w:eastAsia="es-ES"/>
        </w:rPr>
        <w:t xml:space="preserve">densamente poblados, requieren </w:t>
      </w:r>
      <w:r>
        <w:rPr>
          <w:rFonts w:eastAsia="Times New Roman" w:cs="Arial"/>
          <w:lang w:eastAsia="es-ES"/>
        </w:rPr>
        <w:t xml:space="preserve">un </w:t>
      </w:r>
      <w:r w:rsidRPr="00556DE4">
        <w:rPr>
          <w:rFonts w:eastAsia="Times New Roman" w:cs="Arial"/>
          <w:lang w:eastAsia="es-ES"/>
        </w:rPr>
        <w:t xml:space="preserve">seguimiento </w:t>
      </w:r>
      <w:r>
        <w:rPr>
          <w:rFonts w:eastAsia="Times New Roman" w:cs="Arial"/>
          <w:lang w:eastAsia="es-ES"/>
        </w:rPr>
        <w:t>que permita</w:t>
      </w:r>
      <w:r w:rsidRPr="00556DE4">
        <w:rPr>
          <w:rFonts w:eastAsia="Times New Roman" w:cs="Arial"/>
          <w:lang w:eastAsia="es-ES"/>
        </w:rPr>
        <w:t xml:space="preserve"> garantizar </w:t>
      </w:r>
      <w:r>
        <w:rPr>
          <w:rFonts w:eastAsia="Times New Roman" w:cs="Arial"/>
          <w:lang w:eastAsia="es-ES"/>
        </w:rPr>
        <w:t>una</w:t>
      </w:r>
      <w:r w:rsidRPr="00556DE4">
        <w:rPr>
          <w:rFonts w:eastAsia="Times New Roman" w:cs="Arial"/>
          <w:lang w:eastAsia="es-ES"/>
        </w:rPr>
        <w:t xml:space="preserve"> coherencia </w:t>
      </w:r>
      <w:r>
        <w:rPr>
          <w:rFonts w:eastAsia="Times New Roman" w:cs="Arial"/>
          <w:lang w:eastAsia="es-ES"/>
        </w:rPr>
        <w:t xml:space="preserve">adecuada </w:t>
      </w:r>
      <w:r w:rsidRPr="00556DE4">
        <w:rPr>
          <w:rFonts w:eastAsia="Times New Roman" w:cs="Arial"/>
          <w:lang w:eastAsia="es-ES"/>
        </w:rPr>
        <w:t>en la señalización.</w:t>
      </w:r>
    </w:p>
    <w:p w14:paraId="78DCBC50" w14:textId="77777777" w:rsidR="00A033CE" w:rsidRDefault="00EC118C" w:rsidP="00A033CE">
      <w:pPr>
        <w:spacing w:after="120" w:line="240" w:lineRule="auto"/>
        <w:rPr>
          <w:rFonts w:eastAsia="Times New Roman" w:cs="Arial"/>
          <w:lang w:eastAsia="es-ES"/>
        </w:rPr>
      </w:pPr>
      <w:r w:rsidRPr="00420A28">
        <w:rPr>
          <w:rFonts w:eastAsia="Times New Roman" w:cs="Arial"/>
          <w:lang w:eastAsia="es-ES"/>
        </w:rPr>
        <w:t xml:space="preserve">En cuanto a la mejora de semáforos, </w:t>
      </w:r>
      <w:r>
        <w:rPr>
          <w:rFonts w:eastAsia="Times New Roman" w:cs="Arial"/>
          <w:lang w:eastAsia="es-ES"/>
        </w:rPr>
        <w:t>se realizaron más de 5800</w:t>
      </w:r>
      <w:r w:rsidRPr="00420A28">
        <w:rPr>
          <w:rFonts w:eastAsia="Times New Roman" w:cs="Arial"/>
          <w:lang w:eastAsia="es-ES"/>
        </w:rPr>
        <w:t xml:space="preserve"> </w:t>
      </w:r>
      <w:r>
        <w:rPr>
          <w:rFonts w:eastAsia="Times New Roman" w:cs="Arial"/>
          <w:lang w:eastAsia="es-ES"/>
        </w:rPr>
        <w:t>acciones</w:t>
      </w:r>
      <w:r w:rsidRPr="00420A28">
        <w:rPr>
          <w:rFonts w:eastAsia="Times New Roman" w:cs="Arial"/>
          <w:lang w:eastAsia="es-ES"/>
        </w:rPr>
        <w:t xml:space="preserve"> de mantenimiento</w:t>
      </w:r>
      <w:r>
        <w:rPr>
          <w:rFonts w:eastAsia="Times New Roman" w:cs="Arial"/>
          <w:lang w:eastAsia="es-ES"/>
        </w:rPr>
        <w:t>,</w:t>
      </w:r>
      <w:r w:rsidRPr="00420A28">
        <w:rPr>
          <w:rFonts w:eastAsia="Times New Roman" w:cs="Arial"/>
          <w:lang w:eastAsia="es-ES"/>
        </w:rPr>
        <w:t xml:space="preserve"> </w:t>
      </w:r>
      <w:r>
        <w:rPr>
          <w:rFonts w:eastAsia="Times New Roman" w:cs="Arial"/>
          <w:lang w:eastAsia="es-ES"/>
        </w:rPr>
        <w:t xml:space="preserve">resultado de </w:t>
      </w:r>
      <w:r w:rsidRPr="00420A28">
        <w:rPr>
          <w:rFonts w:eastAsia="Times New Roman" w:cs="Arial"/>
          <w:lang w:eastAsia="es-ES"/>
        </w:rPr>
        <w:t xml:space="preserve">un enfoque proactivo en el mantenimiento preventivo, lo que </w:t>
      </w:r>
      <w:r>
        <w:rPr>
          <w:rFonts w:eastAsia="Times New Roman" w:cs="Arial"/>
          <w:lang w:eastAsia="es-ES"/>
        </w:rPr>
        <w:t>contribuye</w:t>
      </w:r>
      <w:r w:rsidRPr="00420A28">
        <w:rPr>
          <w:rFonts w:eastAsia="Times New Roman" w:cs="Arial"/>
          <w:lang w:eastAsia="es-ES"/>
        </w:rPr>
        <w:t xml:space="preserve"> a reducir fallas y mejorar la sincronización del tráfico, especialmente en puntos críticos.</w:t>
      </w:r>
    </w:p>
    <w:p w14:paraId="6E9AEFD0" w14:textId="7472F2E2" w:rsidR="00EC118C" w:rsidRPr="00EC118C" w:rsidRDefault="00EC118C" w:rsidP="00A033CE">
      <w:pPr>
        <w:spacing w:after="120" w:line="240" w:lineRule="auto"/>
        <w:rPr>
          <w:rFonts w:eastAsia="Times New Roman" w:cs="Arial"/>
          <w:lang w:eastAsia="es-ES"/>
        </w:rPr>
      </w:pPr>
      <w:r>
        <w:rPr>
          <w:rFonts w:eastAsia="Times New Roman" w:cs="Arial"/>
          <w:lang w:eastAsia="es-ES"/>
        </w:rPr>
        <w:t>En este sentido, la necesidad de mejorar</w:t>
      </w:r>
      <w:r w:rsidRPr="00420A28">
        <w:rPr>
          <w:rFonts w:eastAsia="Times New Roman" w:cs="Arial"/>
          <w:lang w:eastAsia="es-ES"/>
        </w:rPr>
        <w:t xml:space="preserve"> la conectividad semafórica entre las principales avenidas y bulevares, </w:t>
      </w:r>
      <w:r>
        <w:rPr>
          <w:rFonts w:eastAsia="Times New Roman" w:cs="Arial"/>
          <w:lang w:eastAsia="es-ES"/>
        </w:rPr>
        <w:t>así como de evaluar</w:t>
      </w:r>
      <w:r w:rsidRPr="00420A28">
        <w:rPr>
          <w:rFonts w:eastAsia="Times New Roman" w:cs="Arial"/>
          <w:lang w:eastAsia="es-ES"/>
        </w:rPr>
        <w:t xml:space="preserve"> la implementación de señales inteligentes o adaptativas que puedan ajustarse según el flujo del tráfico en tiempo real</w:t>
      </w:r>
      <w:r>
        <w:rPr>
          <w:rFonts w:eastAsia="Times New Roman" w:cs="Arial"/>
          <w:lang w:eastAsia="es-ES"/>
        </w:rPr>
        <w:t xml:space="preserve"> representan áreas </w:t>
      </w:r>
      <w:r w:rsidRPr="00EC118C">
        <w:rPr>
          <w:rFonts w:eastAsia="Times New Roman" w:cs="Arial"/>
          <w:lang w:eastAsia="es-ES"/>
        </w:rPr>
        <w:t>de oportunidad para optimizar la sincronización y minimizar la congestión.</w:t>
      </w:r>
    </w:p>
    <w:p w14:paraId="48EEE032" w14:textId="47313EC6" w:rsidR="00EC118C" w:rsidRPr="00A033CE" w:rsidRDefault="00EC118C" w:rsidP="00B205BA">
      <w:pPr>
        <w:spacing w:after="120" w:line="240" w:lineRule="auto"/>
        <w:rPr>
          <w:rFonts w:eastAsia="Times New Roman" w:cs="Arial"/>
          <w:b/>
          <w:bCs/>
          <w:lang w:eastAsia="es-ES"/>
        </w:rPr>
      </w:pPr>
      <w:r w:rsidRPr="00A033CE">
        <w:rPr>
          <w:rFonts w:eastAsia="Times New Roman" w:cs="Arial"/>
          <w:b/>
          <w:bCs/>
          <w:lang w:eastAsia="es-ES"/>
        </w:rPr>
        <w:t>Infraestructura peatonal y accesibilidad</w:t>
      </w:r>
      <w:r w:rsidR="00A033CE">
        <w:rPr>
          <w:rFonts w:eastAsia="Times New Roman" w:cs="Arial"/>
          <w:b/>
          <w:bCs/>
          <w:lang w:eastAsia="es-ES"/>
        </w:rPr>
        <w:t>.</w:t>
      </w:r>
    </w:p>
    <w:p w14:paraId="3397653F" w14:textId="4742198E" w:rsidR="00EC118C" w:rsidRPr="00EC118C" w:rsidRDefault="00EC118C" w:rsidP="00B205BA">
      <w:pPr>
        <w:spacing w:after="120" w:line="240" w:lineRule="auto"/>
        <w:rPr>
          <w:rFonts w:eastAsia="Times New Roman" w:cs="Arial"/>
          <w:lang w:eastAsia="es-ES"/>
        </w:rPr>
      </w:pPr>
      <w:r w:rsidRPr="00420A28">
        <w:rPr>
          <w:rFonts w:eastAsia="Times New Roman" w:cs="Arial"/>
          <w:lang w:eastAsia="es-ES"/>
        </w:rPr>
        <w:t xml:space="preserve">La construcción de 1677 metros lineales </w:t>
      </w:r>
      <w:r>
        <w:rPr>
          <w:rFonts w:eastAsia="Times New Roman" w:cs="Arial"/>
          <w:lang w:eastAsia="es-ES"/>
        </w:rPr>
        <w:t xml:space="preserve">de </w:t>
      </w:r>
      <w:r w:rsidRPr="00420A28">
        <w:rPr>
          <w:rFonts w:eastAsia="Times New Roman" w:cs="Arial"/>
          <w:lang w:eastAsia="es-ES"/>
        </w:rPr>
        <w:t>banquetas accesibles y la instalación de topes son acciones valiosas que mejoran la seguridad y accesibilidad para personas con movilidad reducida, así como la seguridad en zonas de alta demanda, como escuelas y hospitales. Sin embargo, la cobertura de banquetas sigue siendo un desafío</w:t>
      </w:r>
      <w:r w:rsidRPr="00CC77BE">
        <w:rPr>
          <w:rFonts w:eastAsia="Times New Roman" w:cs="Arial"/>
          <w:lang w:eastAsia="es-ES"/>
        </w:rPr>
        <w:t xml:space="preserve"> </w:t>
      </w:r>
      <w:r w:rsidRPr="00420A28">
        <w:rPr>
          <w:rFonts w:eastAsia="Times New Roman" w:cs="Arial"/>
          <w:lang w:eastAsia="es-ES"/>
        </w:rPr>
        <w:t xml:space="preserve">en todo el municipio, especialmente en </w:t>
      </w:r>
      <w:r>
        <w:rPr>
          <w:rFonts w:eastAsia="Times New Roman" w:cs="Arial"/>
          <w:lang w:eastAsia="es-ES"/>
        </w:rPr>
        <w:t xml:space="preserve">sus </w:t>
      </w:r>
      <w:r w:rsidRPr="00420A28">
        <w:rPr>
          <w:rFonts w:eastAsia="Times New Roman" w:cs="Arial"/>
          <w:lang w:eastAsia="es-ES"/>
        </w:rPr>
        <w:t>zonas periféricas.</w:t>
      </w:r>
      <w:r>
        <w:rPr>
          <w:rFonts w:eastAsia="Times New Roman" w:cs="Arial"/>
          <w:lang w:eastAsia="es-ES"/>
        </w:rPr>
        <w:t xml:space="preserve"> </w:t>
      </w:r>
    </w:p>
    <w:p w14:paraId="5213EC97" w14:textId="76B6F96C" w:rsidR="00EC118C" w:rsidRPr="00A033CE" w:rsidRDefault="00EC118C" w:rsidP="00B205BA">
      <w:pPr>
        <w:spacing w:after="120" w:line="240" w:lineRule="auto"/>
        <w:rPr>
          <w:rFonts w:eastAsia="Times New Roman" w:cs="Arial"/>
          <w:b/>
          <w:bCs/>
          <w:lang w:eastAsia="es-ES"/>
        </w:rPr>
      </w:pPr>
      <w:r w:rsidRPr="00A033CE">
        <w:rPr>
          <w:rFonts w:eastAsia="Times New Roman" w:cs="Arial"/>
          <w:b/>
          <w:bCs/>
          <w:lang w:eastAsia="es-ES"/>
        </w:rPr>
        <w:t>Rehabilitación de espacios públicos y recreativos</w:t>
      </w:r>
      <w:r w:rsidR="00A033CE">
        <w:rPr>
          <w:rFonts w:eastAsia="Times New Roman" w:cs="Arial"/>
          <w:b/>
          <w:bCs/>
          <w:lang w:eastAsia="es-ES"/>
        </w:rPr>
        <w:t>.</w:t>
      </w:r>
    </w:p>
    <w:p w14:paraId="76C6F928" w14:textId="77777777" w:rsidR="00A033CE" w:rsidRDefault="00EC118C" w:rsidP="00A033CE">
      <w:pPr>
        <w:spacing w:after="120" w:line="240" w:lineRule="auto"/>
        <w:rPr>
          <w:rFonts w:cs="Arial"/>
          <w:szCs w:val="28"/>
        </w:rPr>
      </w:pPr>
      <w:r>
        <w:rPr>
          <w:rFonts w:cs="Arial"/>
          <w:szCs w:val="28"/>
        </w:rPr>
        <w:t>S</w:t>
      </w:r>
      <w:r w:rsidRPr="00556DE4">
        <w:rPr>
          <w:rFonts w:cs="Arial"/>
          <w:szCs w:val="28"/>
        </w:rPr>
        <w:t xml:space="preserve">e llevaron a cabo esfuerzos significativos para la rehabilitación de </w:t>
      </w:r>
      <w:r>
        <w:rPr>
          <w:rFonts w:cs="Arial"/>
          <w:szCs w:val="28"/>
        </w:rPr>
        <w:t xml:space="preserve">117 </w:t>
      </w:r>
      <w:r w:rsidRPr="00556DE4">
        <w:rPr>
          <w:rFonts w:cs="Arial"/>
          <w:szCs w:val="28"/>
        </w:rPr>
        <w:t xml:space="preserve">parques y </w:t>
      </w:r>
      <w:r>
        <w:rPr>
          <w:rFonts w:cs="Arial"/>
          <w:szCs w:val="28"/>
        </w:rPr>
        <w:t xml:space="preserve">3 </w:t>
      </w:r>
      <w:r w:rsidRPr="00556DE4">
        <w:rPr>
          <w:rFonts w:cs="Arial"/>
          <w:szCs w:val="28"/>
        </w:rPr>
        <w:t>unidades deportivas que se encontraban en estado de abandono o deterioro, buscando ofrecer espacios seguros y agradables para el esparcimiento y la actividad física de la comunidad.</w:t>
      </w:r>
      <w:r>
        <w:rPr>
          <w:rFonts w:cs="Arial"/>
          <w:szCs w:val="28"/>
        </w:rPr>
        <w:t xml:space="preserve"> </w:t>
      </w:r>
      <w:r w:rsidRPr="00556DE4">
        <w:rPr>
          <w:rFonts w:cs="Arial"/>
          <w:szCs w:val="28"/>
        </w:rPr>
        <w:t>Estas intervenciones t</w:t>
      </w:r>
      <w:r>
        <w:rPr>
          <w:rFonts w:cs="Arial"/>
          <w:szCs w:val="28"/>
        </w:rPr>
        <w:t>uvieron</w:t>
      </w:r>
      <w:r w:rsidRPr="00556DE4">
        <w:rPr>
          <w:rFonts w:cs="Arial"/>
          <w:szCs w:val="28"/>
        </w:rPr>
        <w:t xml:space="preserve"> como objetivo revitalizar áreas clave para la cohesión social, promoviendo la salud, el bienestar y el fortalecimiento del tejido social de Hermosillo.</w:t>
      </w:r>
      <w:r>
        <w:rPr>
          <w:rFonts w:cs="Arial"/>
          <w:szCs w:val="28"/>
        </w:rPr>
        <w:t xml:space="preserve"> </w:t>
      </w:r>
    </w:p>
    <w:p w14:paraId="520AA560" w14:textId="77777777" w:rsidR="00A033CE" w:rsidRDefault="00EC118C" w:rsidP="00A033CE">
      <w:pPr>
        <w:spacing w:after="120" w:line="240" w:lineRule="auto"/>
        <w:rPr>
          <w:rFonts w:cs="Arial"/>
          <w:szCs w:val="28"/>
        </w:rPr>
      </w:pPr>
      <w:r w:rsidRPr="00D60A73">
        <w:rPr>
          <w:rFonts w:cs="Arial"/>
          <w:lang w:eastAsia="es-ES"/>
        </w:rPr>
        <w:t xml:space="preserve">Por ello, se </w:t>
      </w:r>
      <w:r w:rsidRPr="00D82298">
        <w:rPr>
          <w:rFonts w:cs="Arial"/>
          <w:lang w:eastAsia="es-ES"/>
        </w:rPr>
        <w:t>c</w:t>
      </w:r>
      <w:r w:rsidRPr="00420A28">
        <w:rPr>
          <w:rFonts w:cs="Arial"/>
          <w:lang w:eastAsia="es-ES"/>
        </w:rPr>
        <w:t>ontinuar</w:t>
      </w:r>
      <w:r>
        <w:rPr>
          <w:rFonts w:cs="Arial"/>
          <w:lang w:eastAsia="es-ES"/>
        </w:rPr>
        <w:t>á</w:t>
      </w:r>
      <w:r w:rsidRPr="00420A28">
        <w:rPr>
          <w:rFonts w:cs="Arial"/>
          <w:lang w:eastAsia="es-ES"/>
        </w:rPr>
        <w:t xml:space="preserve"> ampliando la red de parques urbanos </w:t>
      </w:r>
      <w:r>
        <w:rPr>
          <w:rFonts w:cs="Arial"/>
          <w:lang w:eastAsia="es-ES"/>
        </w:rPr>
        <w:t>a</w:t>
      </w:r>
      <w:r w:rsidRPr="00420A28">
        <w:rPr>
          <w:rFonts w:cs="Arial"/>
          <w:lang w:eastAsia="es-ES"/>
        </w:rPr>
        <w:t xml:space="preserve"> gran escala y con infraestructura ecológica (jardines sostenibles, fuentes naturales) </w:t>
      </w:r>
      <w:r>
        <w:rPr>
          <w:rFonts w:cs="Arial"/>
          <w:lang w:eastAsia="es-ES"/>
        </w:rPr>
        <w:t>para</w:t>
      </w:r>
      <w:r w:rsidRPr="00420A28">
        <w:rPr>
          <w:rFonts w:cs="Arial"/>
          <w:lang w:eastAsia="es-ES"/>
        </w:rPr>
        <w:t xml:space="preserve"> prom</w:t>
      </w:r>
      <w:r>
        <w:rPr>
          <w:rFonts w:cs="Arial"/>
          <w:lang w:eastAsia="es-ES"/>
        </w:rPr>
        <w:t>over</w:t>
      </w:r>
      <w:r w:rsidRPr="00420A28">
        <w:rPr>
          <w:rFonts w:cs="Arial"/>
          <w:lang w:eastAsia="es-ES"/>
        </w:rPr>
        <w:t xml:space="preserve"> la sostenibilidad ambiental</w:t>
      </w:r>
      <w:r>
        <w:rPr>
          <w:rFonts w:cs="Arial"/>
          <w:lang w:eastAsia="es-ES"/>
        </w:rPr>
        <w:t>,</w:t>
      </w:r>
      <w:r w:rsidRPr="00334B6D">
        <w:rPr>
          <w:rFonts w:cs="Arial"/>
          <w:lang w:eastAsia="es-ES"/>
        </w:rPr>
        <w:t xml:space="preserve"> </w:t>
      </w:r>
      <w:r w:rsidRPr="00420A28">
        <w:rPr>
          <w:rFonts w:cs="Arial"/>
          <w:lang w:eastAsia="es-ES"/>
        </w:rPr>
        <w:t>especialmente en</w:t>
      </w:r>
      <w:r>
        <w:rPr>
          <w:rFonts w:cs="Arial"/>
          <w:lang w:eastAsia="es-ES"/>
        </w:rPr>
        <w:t xml:space="preserve"> aquellas</w:t>
      </w:r>
      <w:r w:rsidRPr="00420A28">
        <w:rPr>
          <w:rFonts w:cs="Arial"/>
          <w:lang w:eastAsia="es-ES"/>
        </w:rPr>
        <w:t xml:space="preserve"> zonas con meno</w:t>
      </w:r>
      <w:r>
        <w:rPr>
          <w:rFonts w:cs="Arial"/>
          <w:lang w:eastAsia="es-ES"/>
        </w:rPr>
        <w:t>s</w:t>
      </w:r>
      <w:r w:rsidRPr="00420A28">
        <w:rPr>
          <w:rFonts w:cs="Arial"/>
          <w:lang w:eastAsia="es-ES"/>
        </w:rPr>
        <w:t xml:space="preserve"> acceso a espacios recreativos.</w:t>
      </w:r>
    </w:p>
    <w:p w14:paraId="1918CDD7" w14:textId="77777777" w:rsidR="00A033CE" w:rsidRDefault="00EC118C" w:rsidP="00A033CE">
      <w:pPr>
        <w:spacing w:after="120" w:line="240" w:lineRule="auto"/>
        <w:rPr>
          <w:rFonts w:eastAsia="Times New Roman" w:cs="Arial"/>
          <w:lang w:eastAsia="es-ES"/>
        </w:rPr>
      </w:pPr>
      <w:r>
        <w:rPr>
          <w:rFonts w:eastAsia="Times New Roman" w:cs="Arial"/>
          <w:lang w:eastAsia="es-ES"/>
        </w:rPr>
        <w:t xml:space="preserve">Como puede verse, persisten las </w:t>
      </w:r>
      <w:r w:rsidRPr="00420A28">
        <w:rPr>
          <w:rFonts w:eastAsia="Times New Roman" w:cs="Arial"/>
          <w:lang w:eastAsia="es-ES"/>
        </w:rPr>
        <w:t>áreas de oportunidad, especialmente en términos de cobertura, conectividad, accesibilidad y sostenibilidad</w:t>
      </w:r>
      <w:r>
        <w:rPr>
          <w:rFonts w:eastAsia="Times New Roman" w:cs="Arial"/>
          <w:lang w:eastAsia="es-ES"/>
        </w:rPr>
        <w:t>. L</w:t>
      </w:r>
      <w:r w:rsidRPr="00420A28">
        <w:rPr>
          <w:rFonts w:eastAsia="Times New Roman" w:cs="Arial"/>
          <w:lang w:eastAsia="es-ES"/>
        </w:rPr>
        <w:t xml:space="preserve">a clave para el futuro radica en </w:t>
      </w:r>
      <w:r>
        <w:rPr>
          <w:rFonts w:eastAsia="Times New Roman" w:cs="Arial"/>
          <w:lang w:eastAsia="es-ES"/>
        </w:rPr>
        <w:t>ampliar</w:t>
      </w:r>
      <w:r w:rsidRPr="00420A28">
        <w:rPr>
          <w:rFonts w:eastAsia="Times New Roman" w:cs="Arial"/>
          <w:lang w:eastAsia="es-ES"/>
        </w:rPr>
        <w:t xml:space="preserve"> las áreas de intervención y fortalecer el uso de la tecnología y la planificación estratégica para enfrentar los retos </w:t>
      </w:r>
      <w:r>
        <w:rPr>
          <w:rFonts w:eastAsia="Times New Roman" w:cs="Arial"/>
          <w:lang w:eastAsia="es-ES"/>
        </w:rPr>
        <w:t>que plantea la</w:t>
      </w:r>
      <w:r w:rsidRPr="00420A28">
        <w:rPr>
          <w:rFonts w:eastAsia="Times New Roman" w:cs="Arial"/>
          <w:lang w:eastAsia="es-ES"/>
        </w:rPr>
        <w:t xml:space="preserve"> urbanización y </w:t>
      </w:r>
      <w:r>
        <w:rPr>
          <w:rFonts w:eastAsia="Times New Roman" w:cs="Arial"/>
          <w:lang w:eastAsia="es-ES"/>
        </w:rPr>
        <w:t xml:space="preserve">el </w:t>
      </w:r>
      <w:r w:rsidRPr="00420A28">
        <w:rPr>
          <w:rFonts w:eastAsia="Times New Roman" w:cs="Arial"/>
          <w:lang w:eastAsia="es-ES"/>
        </w:rPr>
        <w:t>cambio climático.</w:t>
      </w:r>
    </w:p>
    <w:p w14:paraId="1091D71B" w14:textId="77777777" w:rsidR="00A033CE" w:rsidRDefault="00EC118C" w:rsidP="00A033CE">
      <w:pPr>
        <w:spacing w:after="120" w:line="240" w:lineRule="auto"/>
        <w:rPr>
          <w:rFonts w:cs="Arial"/>
          <w:kern w:val="2"/>
          <w:lang w:eastAsia="es-ES"/>
          <w14:ligatures w14:val="standardContextual"/>
        </w:rPr>
      </w:pPr>
      <w:r>
        <w:rPr>
          <w:rFonts w:cs="Arial"/>
          <w:kern w:val="2"/>
          <w:lang w:eastAsia="es-ES"/>
          <w14:ligatures w14:val="standardContextual"/>
        </w:rPr>
        <w:t>L</w:t>
      </w:r>
      <w:r w:rsidRPr="00036A75">
        <w:rPr>
          <w:rFonts w:cs="Arial"/>
          <w:kern w:val="2"/>
          <w:lang w:eastAsia="es-ES"/>
          <w14:ligatures w14:val="standardContextual"/>
        </w:rPr>
        <w:t>a actual administración</w:t>
      </w:r>
      <w:r>
        <w:rPr>
          <w:rFonts w:cs="Arial"/>
          <w:kern w:val="2"/>
          <w:lang w:eastAsia="es-ES"/>
          <w14:ligatures w14:val="standardContextual"/>
        </w:rPr>
        <w:t xml:space="preserve"> refuerza su</w:t>
      </w:r>
      <w:r w:rsidRPr="00036A75">
        <w:rPr>
          <w:rFonts w:cs="Arial"/>
          <w:kern w:val="2"/>
          <w:lang w:eastAsia="es-ES"/>
          <w14:ligatures w14:val="standardContextual"/>
        </w:rPr>
        <w:t xml:space="preserve"> compromiso con el desarrollo integral de la ciudad </w:t>
      </w:r>
      <w:r>
        <w:rPr>
          <w:rFonts w:cs="Arial"/>
          <w:kern w:val="2"/>
          <w:lang w:eastAsia="es-ES"/>
          <w14:ligatures w14:val="standardContextual"/>
        </w:rPr>
        <w:t>por medio</w:t>
      </w:r>
      <w:r w:rsidRPr="00036A75">
        <w:rPr>
          <w:rFonts w:cs="Arial"/>
          <w:kern w:val="2"/>
          <w:lang w:eastAsia="es-ES"/>
          <w14:ligatures w14:val="standardContextual"/>
        </w:rPr>
        <w:t xml:space="preserve"> de una serie de proyectos estratégicos diseñados para modernizar y mantener vialidades clave, optimizar la respuesta ante emergencias y crear áreas verdes y deportivas de calidad. </w:t>
      </w:r>
    </w:p>
    <w:p w14:paraId="38798CD7" w14:textId="1E648011" w:rsidR="00EC118C" w:rsidRPr="00A033CE" w:rsidRDefault="00EC118C" w:rsidP="00A033CE">
      <w:pPr>
        <w:spacing w:after="120" w:line="240" w:lineRule="auto"/>
        <w:rPr>
          <w:rFonts w:cs="Arial"/>
          <w:szCs w:val="28"/>
        </w:rPr>
      </w:pPr>
      <w:r w:rsidRPr="00036A75">
        <w:rPr>
          <w:rFonts w:cs="Arial"/>
          <w:kern w:val="2"/>
          <w:lang w:eastAsia="es-ES"/>
          <w14:ligatures w14:val="standardContextual"/>
        </w:rPr>
        <w:t xml:space="preserve">Conscientes de las necesidades de los ciudadanos, se ha establecido un plan integral que mejorará la conectividad y facilitará el tránsito dentro de la ciudad, </w:t>
      </w:r>
      <w:r>
        <w:rPr>
          <w:rFonts w:cs="Arial"/>
          <w:kern w:val="2"/>
          <w:lang w:eastAsia="es-ES"/>
          <w14:ligatures w14:val="standardContextual"/>
        </w:rPr>
        <w:t>además de fomentar</w:t>
      </w:r>
      <w:r w:rsidRPr="00036A75">
        <w:rPr>
          <w:rFonts w:cs="Arial"/>
          <w:kern w:val="2"/>
          <w:lang w:eastAsia="es-ES"/>
          <w14:ligatures w14:val="standardContextual"/>
        </w:rPr>
        <w:t xml:space="preserve"> la convivencia social y el bienestar comunitario. </w:t>
      </w:r>
      <w:r>
        <w:rPr>
          <w:rFonts w:cs="Arial"/>
          <w:kern w:val="2"/>
          <w:lang w:eastAsia="es-ES"/>
          <w14:ligatures w14:val="standardContextual"/>
        </w:rPr>
        <w:t>Con ello</w:t>
      </w:r>
      <w:r w:rsidRPr="00036A75">
        <w:rPr>
          <w:rFonts w:cs="Arial"/>
          <w:kern w:val="2"/>
          <w:lang w:eastAsia="es-ES"/>
          <w14:ligatures w14:val="standardContextual"/>
        </w:rPr>
        <w:t xml:space="preserve"> se busca consolidar a Hermosillo como una ciudad más segura, accesible y con mejores servicios para todos sus habitantes.</w:t>
      </w:r>
    </w:p>
    <w:p w14:paraId="337C679A" w14:textId="45F5F2DC" w:rsidR="00EC118C" w:rsidRDefault="00EC118C" w:rsidP="00B205BA">
      <w:pPr>
        <w:pStyle w:val="NormalWeb"/>
        <w:spacing w:before="0" w:beforeAutospacing="0" w:after="120" w:afterAutospacing="0"/>
        <w:jc w:val="both"/>
        <w:rPr>
          <w:rFonts w:ascii="Arial" w:hAnsi="Arial" w:cs="Arial"/>
          <w:sz w:val="22"/>
          <w:szCs w:val="22"/>
          <w:lang w:eastAsia="es-ES"/>
        </w:rPr>
      </w:pPr>
      <w:r>
        <w:rPr>
          <w:rFonts w:ascii="Arial" w:hAnsi="Arial" w:cs="Arial"/>
          <w:sz w:val="22"/>
          <w:szCs w:val="28"/>
        </w:rPr>
        <w:lastRenderedPageBreak/>
        <w:t xml:space="preserve">A través de </w:t>
      </w:r>
      <w:r>
        <w:rPr>
          <w:rFonts w:ascii="Arial" w:hAnsi="Arial" w:cs="Arial"/>
          <w:sz w:val="22"/>
          <w:szCs w:val="22"/>
          <w:lang w:eastAsia="es-ES"/>
        </w:rPr>
        <w:t>l</w:t>
      </w:r>
      <w:r w:rsidRPr="006A67E8">
        <w:rPr>
          <w:rFonts w:ascii="Arial" w:hAnsi="Arial" w:cs="Arial"/>
          <w:sz w:val="22"/>
          <w:szCs w:val="22"/>
          <w:lang w:eastAsia="es-ES"/>
        </w:rPr>
        <w:t>os proyectos impulsados por la administración municipal</w:t>
      </w:r>
      <w:r>
        <w:rPr>
          <w:rFonts w:ascii="Arial" w:hAnsi="Arial" w:cs="Arial"/>
          <w:sz w:val="22"/>
          <w:szCs w:val="22"/>
          <w:lang w:eastAsia="es-ES"/>
        </w:rPr>
        <w:t>, se atenderán</w:t>
      </w:r>
      <w:r w:rsidRPr="006A67E8">
        <w:rPr>
          <w:rFonts w:ascii="Arial" w:hAnsi="Arial" w:cs="Arial"/>
          <w:sz w:val="22"/>
          <w:szCs w:val="22"/>
          <w:lang w:eastAsia="es-ES"/>
        </w:rPr>
        <w:t xml:space="preserve"> cuatro áreas clave para mejorar la calidad de vida en Hermosillo: infraestructura vial, seguridad, movilidad y espacios recreativos.</w:t>
      </w:r>
    </w:p>
    <w:p w14:paraId="637A1B4E" w14:textId="015621E7" w:rsidR="00F15563" w:rsidRPr="00F15563" w:rsidRDefault="00F15563" w:rsidP="00B205BA">
      <w:pPr>
        <w:pStyle w:val="NormalWeb"/>
        <w:spacing w:before="0" w:beforeAutospacing="0" w:after="120" w:afterAutospacing="0"/>
        <w:jc w:val="both"/>
        <w:rPr>
          <w:rFonts w:ascii="Arial" w:hAnsi="Arial" w:cs="Arial"/>
          <w:b/>
          <w:bCs/>
          <w:sz w:val="22"/>
          <w:szCs w:val="22"/>
          <w:lang w:eastAsia="es-ES"/>
        </w:rPr>
      </w:pPr>
      <w:r w:rsidRPr="00F15563">
        <w:rPr>
          <w:rFonts w:ascii="Arial" w:hAnsi="Arial" w:cs="Arial"/>
          <w:b/>
          <w:bCs/>
          <w:sz w:val="22"/>
          <w:szCs w:val="22"/>
          <w:lang w:eastAsia="es-ES"/>
        </w:rPr>
        <w:t>TABLA 7. PROYECTOS IMPULSADOS POR LA ADMINISTRACIÓN POR TEMÁTICAS</w:t>
      </w:r>
      <w:r w:rsidR="0086730D">
        <w:rPr>
          <w:rFonts w:ascii="Arial" w:hAnsi="Arial" w:cs="Arial"/>
          <w:b/>
          <w:bCs/>
          <w:sz w:val="22"/>
          <w:szCs w:val="22"/>
          <w:lang w:eastAsia="es-ES"/>
        </w:rPr>
        <w:t>.</w:t>
      </w:r>
      <w:r w:rsidRPr="00F15563">
        <w:rPr>
          <w:rFonts w:ascii="Arial" w:hAnsi="Arial" w:cs="Arial"/>
          <w:b/>
          <w:bCs/>
          <w:sz w:val="22"/>
          <w:szCs w:val="22"/>
          <w:lang w:eastAsia="es-ES"/>
        </w:rPr>
        <w:t xml:space="preserve"> </w:t>
      </w:r>
    </w:p>
    <w:tbl>
      <w:tblPr>
        <w:tblStyle w:val="Tablaconcuadrculaclara"/>
        <w:tblW w:w="0" w:type="auto"/>
        <w:tblLook w:val="04A0" w:firstRow="1" w:lastRow="0" w:firstColumn="1" w:lastColumn="0" w:noHBand="0" w:noVBand="1"/>
      </w:tblPr>
      <w:tblGrid>
        <w:gridCol w:w="2689"/>
        <w:gridCol w:w="5806"/>
      </w:tblGrid>
      <w:tr w:rsidR="00EC118C" w14:paraId="72DC5D31" w14:textId="77777777" w:rsidTr="000635AB">
        <w:tc>
          <w:tcPr>
            <w:tcW w:w="2689" w:type="dxa"/>
            <w:shd w:val="clear" w:color="auto" w:fill="ED7D31" w:themeFill="accent2"/>
          </w:tcPr>
          <w:p w14:paraId="469F5FFA" w14:textId="77777777" w:rsidR="00EC118C" w:rsidRPr="00EF5766" w:rsidRDefault="00EC118C" w:rsidP="00B205BA">
            <w:pPr>
              <w:pStyle w:val="NormalWeb"/>
              <w:spacing w:before="0" w:beforeAutospacing="0" w:after="120" w:afterAutospacing="0"/>
              <w:jc w:val="center"/>
              <w:rPr>
                <w:rFonts w:ascii="Arial" w:hAnsi="Arial" w:cs="Arial"/>
                <w:b/>
                <w:bCs/>
                <w:color w:val="FFFFFF" w:themeColor="background1"/>
                <w:sz w:val="18"/>
                <w:szCs w:val="18"/>
                <w:lang w:eastAsia="es-ES"/>
              </w:rPr>
            </w:pPr>
            <w:r w:rsidRPr="00EF5766">
              <w:rPr>
                <w:rFonts w:ascii="Arial" w:hAnsi="Arial" w:cs="Arial"/>
                <w:b/>
                <w:bCs/>
                <w:color w:val="FFFFFF" w:themeColor="background1"/>
                <w:sz w:val="18"/>
                <w:szCs w:val="18"/>
                <w:lang w:eastAsia="es-ES"/>
              </w:rPr>
              <w:t>ÁREA</w:t>
            </w:r>
          </w:p>
        </w:tc>
        <w:tc>
          <w:tcPr>
            <w:tcW w:w="5806" w:type="dxa"/>
            <w:shd w:val="clear" w:color="auto" w:fill="ED7D31" w:themeFill="accent2"/>
          </w:tcPr>
          <w:p w14:paraId="6B31DC46" w14:textId="77777777" w:rsidR="00EC118C" w:rsidRPr="00EF5766" w:rsidRDefault="00EC118C" w:rsidP="00B205BA">
            <w:pPr>
              <w:pStyle w:val="NormalWeb"/>
              <w:spacing w:before="0" w:beforeAutospacing="0" w:after="120" w:afterAutospacing="0"/>
              <w:jc w:val="center"/>
              <w:rPr>
                <w:rFonts w:ascii="Arial" w:hAnsi="Arial" w:cs="Arial"/>
                <w:b/>
                <w:bCs/>
                <w:color w:val="FFFFFF" w:themeColor="background1"/>
                <w:sz w:val="18"/>
                <w:szCs w:val="18"/>
                <w:lang w:eastAsia="es-ES"/>
              </w:rPr>
            </w:pPr>
            <w:r w:rsidRPr="00EF5766">
              <w:rPr>
                <w:rFonts w:ascii="Arial" w:hAnsi="Arial" w:cs="Arial"/>
                <w:b/>
                <w:bCs/>
                <w:color w:val="FFFFFF" w:themeColor="background1"/>
                <w:sz w:val="18"/>
                <w:szCs w:val="18"/>
                <w:lang w:eastAsia="es-ES"/>
              </w:rPr>
              <w:t>PROYECTO</w:t>
            </w:r>
          </w:p>
        </w:tc>
      </w:tr>
      <w:tr w:rsidR="00EC118C" w:rsidRPr="00F24822" w14:paraId="24F47744" w14:textId="77777777" w:rsidTr="000635AB">
        <w:tc>
          <w:tcPr>
            <w:tcW w:w="2689" w:type="dxa"/>
            <w:vAlign w:val="center"/>
          </w:tcPr>
          <w:p w14:paraId="0AF01312" w14:textId="77777777" w:rsidR="00EC118C" w:rsidRPr="008974D9" w:rsidRDefault="00EC118C" w:rsidP="00B205BA">
            <w:pPr>
              <w:pStyle w:val="NormalWeb"/>
              <w:spacing w:before="0" w:beforeAutospacing="0" w:after="120" w:afterAutospacing="0"/>
              <w:jc w:val="both"/>
              <w:rPr>
                <w:rFonts w:ascii="Arial" w:hAnsi="Arial" w:cs="Arial"/>
                <w:sz w:val="18"/>
                <w:szCs w:val="18"/>
                <w:lang w:eastAsia="es-ES"/>
              </w:rPr>
            </w:pPr>
          </w:p>
          <w:p w14:paraId="37184D2A" w14:textId="77777777" w:rsidR="00EC118C" w:rsidRPr="008974D9" w:rsidRDefault="00EC118C" w:rsidP="00B205BA">
            <w:pPr>
              <w:pStyle w:val="NormalWeb"/>
              <w:spacing w:before="0" w:beforeAutospacing="0" w:after="120" w:afterAutospacing="0"/>
              <w:jc w:val="center"/>
              <w:rPr>
                <w:rFonts w:ascii="Arial" w:hAnsi="Arial" w:cs="Arial"/>
                <w:b/>
                <w:bCs/>
                <w:sz w:val="18"/>
                <w:szCs w:val="18"/>
                <w:lang w:eastAsia="es-ES"/>
              </w:rPr>
            </w:pPr>
            <w:r w:rsidRPr="008974D9">
              <w:rPr>
                <w:rFonts w:ascii="Arial" w:hAnsi="Arial" w:cs="Arial"/>
                <w:b/>
                <w:bCs/>
                <w:sz w:val="18"/>
                <w:szCs w:val="18"/>
                <w:lang w:eastAsia="es-ES"/>
              </w:rPr>
              <w:t>Infraestructura vial y movilidad</w:t>
            </w:r>
          </w:p>
          <w:p w14:paraId="3A5523DE" w14:textId="77777777" w:rsidR="00EC118C" w:rsidRPr="008974D9" w:rsidRDefault="00EC118C" w:rsidP="00B205BA">
            <w:pPr>
              <w:pStyle w:val="NormalWeb"/>
              <w:spacing w:before="0" w:beforeAutospacing="0" w:after="120" w:afterAutospacing="0"/>
              <w:jc w:val="center"/>
              <w:rPr>
                <w:rFonts w:ascii="Arial" w:hAnsi="Arial" w:cs="Arial"/>
                <w:sz w:val="18"/>
                <w:szCs w:val="18"/>
                <w:lang w:eastAsia="es-ES"/>
              </w:rPr>
            </w:pPr>
            <w:r>
              <w:rPr>
                <w:rFonts w:ascii="Arial" w:hAnsi="Arial" w:cs="Arial"/>
                <w:sz w:val="18"/>
                <w:szCs w:val="18"/>
                <w:lang w:eastAsia="es-ES"/>
              </w:rPr>
              <w:t>Proyectos para mejorar</w:t>
            </w:r>
            <w:r w:rsidRPr="008974D9">
              <w:rPr>
                <w:rFonts w:ascii="Arial" w:hAnsi="Arial" w:cs="Arial"/>
                <w:sz w:val="18"/>
                <w:szCs w:val="18"/>
                <w:lang w:eastAsia="es-ES"/>
              </w:rPr>
              <w:t xml:space="preserve"> la conectividad, </w:t>
            </w:r>
            <w:r>
              <w:rPr>
                <w:rFonts w:ascii="Arial" w:hAnsi="Arial" w:cs="Arial"/>
                <w:sz w:val="18"/>
                <w:szCs w:val="18"/>
                <w:lang w:eastAsia="es-ES"/>
              </w:rPr>
              <w:t>reducir</w:t>
            </w:r>
            <w:r w:rsidRPr="008974D9">
              <w:rPr>
                <w:rFonts w:ascii="Arial" w:hAnsi="Arial" w:cs="Arial"/>
                <w:sz w:val="18"/>
                <w:szCs w:val="18"/>
                <w:lang w:eastAsia="es-ES"/>
              </w:rPr>
              <w:t xml:space="preserve"> el tráfico y facilitar el acceso a diversas zonas</w:t>
            </w:r>
          </w:p>
        </w:tc>
        <w:tc>
          <w:tcPr>
            <w:tcW w:w="5806" w:type="dxa"/>
          </w:tcPr>
          <w:p w14:paraId="6F4DCCCB" w14:textId="77777777" w:rsidR="00EC118C" w:rsidRPr="00F24822" w:rsidRDefault="00EC118C" w:rsidP="00B205BA">
            <w:pPr>
              <w:pStyle w:val="NormalWeb"/>
              <w:numPr>
                <w:ilvl w:val="0"/>
                <w:numId w:val="26"/>
              </w:numPr>
              <w:spacing w:after="120" w:afterAutospacing="0"/>
              <w:ind w:left="462"/>
              <w:jc w:val="both"/>
              <w:rPr>
                <w:rFonts w:ascii="Arial" w:hAnsi="Arial" w:cs="Arial"/>
                <w:sz w:val="18"/>
                <w:szCs w:val="18"/>
                <w:lang w:eastAsia="es-ES"/>
              </w:rPr>
            </w:pPr>
            <w:r w:rsidRPr="00F24822">
              <w:rPr>
                <w:rFonts w:ascii="Arial" w:hAnsi="Arial" w:cs="Arial"/>
                <w:sz w:val="18"/>
                <w:szCs w:val="18"/>
                <w:lang w:eastAsia="es-ES"/>
              </w:rPr>
              <w:t xml:space="preserve">Pavimentaciones clave: Blvd. Casa Blanca, </w:t>
            </w:r>
            <w:r>
              <w:rPr>
                <w:rFonts w:ascii="Arial" w:hAnsi="Arial" w:cs="Arial"/>
                <w:sz w:val="18"/>
                <w:szCs w:val="18"/>
                <w:lang w:eastAsia="es-ES"/>
              </w:rPr>
              <w:t>c</w:t>
            </w:r>
            <w:r w:rsidRPr="00F24822">
              <w:rPr>
                <w:rFonts w:ascii="Arial" w:hAnsi="Arial" w:cs="Arial"/>
                <w:sz w:val="18"/>
                <w:szCs w:val="18"/>
                <w:lang w:eastAsia="es-ES"/>
              </w:rPr>
              <w:t>alle</w:t>
            </w:r>
            <w:r>
              <w:rPr>
                <w:rFonts w:ascii="Arial" w:hAnsi="Arial" w:cs="Arial"/>
                <w:sz w:val="18"/>
                <w:szCs w:val="18"/>
                <w:lang w:eastAsia="es-ES"/>
              </w:rPr>
              <w:t>s</w:t>
            </w:r>
            <w:r w:rsidRPr="00F24822">
              <w:rPr>
                <w:rFonts w:ascii="Arial" w:hAnsi="Arial" w:cs="Arial"/>
                <w:sz w:val="18"/>
                <w:szCs w:val="18"/>
                <w:lang w:eastAsia="es-ES"/>
              </w:rPr>
              <w:t xml:space="preserve"> Tierra Nueva, Aquiles Serdán (Miguel Alemán), Perimetral Norte, Nuevo León, La Ordeña, Badiraguato (concreto hidráulico) y continuación de</w:t>
            </w:r>
            <w:r>
              <w:rPr>
                <w:rFonts w:ascii="Arial" w:hAnsi="Arial" w:cs="Arial"/>
                <w:sz w:val="18"/>
                <w:szCs w:val="18"/>
                <w:lang w:eastAsia="es-ES"/>
              </w:rPr>
              <w:t xml:space="preserve"> la calle</w:t>
            </w:r>
            <w:r w:rsidRPr="00F24822">
              <w:rPr>
                <w:rFonts w:ascii="Arial" w:hAnsi="Arial" w:cs="Arial"/>
                <w:sz w:val="18"/>
                <w:szCs w:val="18"/>
                <w:lang w:eastAsia="es-ES"/>
              </w:rPr>
              <w:t xml:space="preserve"> Luz Valencia.</w:t>
            </w:r>
          </w:p>
          <w:p w14:paraId="16B67D16" w14:textId="77777777" w:rsidR="00EC118C" w:rsidRPr="00F24822" w:rsidRDefault="00EC118C" w:rsidP="00B205BA">
            <w:pPr>
              <w:pStyle w:val="NormalWeb"/>
              <w:numPr>
                <w:ilvl w:val="0"/>
                <w:numId w:val="26"/>
              </w:numPr>
              <w:spacing w:after="120" w:afterAutospacing="0"/>
              <w:ind w:left="462"/>
              <w:jc w:val="both"/>
              <w:rPr>
                <w:rFonts w:ascii="Arial" w:hAnsi="Arial" w:cs="Arial"/>
                <w:sz w:val="18"/>
                <w:szCs w:val="18"/>
                <w:lang w:eastAsia="es-ES"/>
              </w:rPr>
            </w:pPr>
            <w:r w:rsidRPr="00F24822">
              <w:rPr>
                <w:rFonts w:ascii="Arial" w:hAnsi="Arial" w:cs="Arial"/>
                <w:sz w:val="18"/>
                <w:szCs w:val="18"/>
                <w:lang w:eastAsia="es-ES"/>
              </w:rPr>
              <w:t>Recarpeteo: Av. Agustín Zamora</w:t>
            </w:r>
            <w:r>
              <w:rPr>
                <w:rFonts w:ascii="Arial" w:hAnsi="Arial" w:cs="Arial"/>
                <w:sz w:val="18"/>
                <w:szCs w:val="18"/>
                <w:lang w:eastAsia="es-ES"/>
              </w:rPr>
              <w:t xml:space="preserve"> y calles</w:t>
            </w:r>
            <w:r w:rsidRPr="00F24822">
              <w:rPr>
                <w:rFonts w:ascii="Arial" w:hAnsi="Arial" w:cs="Arial"/>
                <w:sz w:val="18"/>
                <w:szCs w:val="18"/>
                <w:lang w:eastAsia="es-ES"/>
              </w:rPr>
              <w:t xml:space="preserve"> Pedro Salazar, Pueblo Nuevo y Gómez del Campo.</w:t>
            </w:r>
          </w:p>
          <w:p w14:paraId="71E979D9" w14:textId="77777777" w:rsidR="00EC118C" w:rsidRPr="00F24822" w:rsidRDefault="00EC118C" w:rsidP="00B205BA">
            <w:pPr>
              <w:pStyle w:val="NormalWeb"/>
              <w:numPr>
                <w:ilvl w:val="0"/>
                <w:numId w:val="26"/>
              </w:numPr>
              <w:spacing w:before="0" w:beforeAutospacing="0" w:after="120" w:afterAutospacing="0"/>
              <w:ind w:left="462"/>
              <w:jc w:val="both"/>
              <w:rPr>
                <w:rFonts w:ascii="Arial" w:hAnsi="Arial" w:cs="Arial"/>
                <w:sz w:val="18"/>
                <w:szCs w:val="18"/>
                <w:lang w:eastAsia="es-ES"/>
              </w:rPr>
            </w:pPr>
            <w:r w:rsidRPr="00F24822">
              <w:rPr>
                <w:rFonts w:ascii="Arial" w:hAnsi="Arial" w:cs="Arial"/>
                <w:sz w:val="18"/>
                <w:szCs w:val="18"/>
                <w:lang w:eastAsia="es-ES"/>
              </w:rPr>
              <w:t>Proyectos especiales: Paso a desnivel en Colosio y Solidaridad, y puente en</w:t>
            </w:r>
            <w:r>
              <w:rPr>
                <w:rFonts w:ascii="Arial" w:hAnsi="Arial" w:cs="Arial"/>
                <w:sz w:val="18"/>
                <w:szCs w:val="18"/>
                <w:lang w:eastAsia="es-ES"/>
              </w:rPr>
              <w:t xml:space="preserve"> las calles</w:t>
            </w:r>
            <w:r w:rsidRPr="00F24822">
              <w:rPr>
                <w:rFonts w:ascii="Arial" w:hAnsi="Arial" w:cs="Arial"/>
                <w:sz w:val="18"/>
                <w:szCs w:val="18"/>
                <w:lang w:eastAsia="es-ES"/>
              </w:rPr>
              <w:t xml:space="preserve"> Constelación Géminis y Piscis</w:t>
            </w:r>
            <w:r>
              <w:rPr>
                <w:rFonts w:ascii="Arial" w:hAnsi="Arial" w:cs="Arial"/>
                <w:sz w:val="18"/>
                <w:szCs w:val="18"/>
                <w:lang w:eastAsia="es-ES"/>
              </w:rPr>
              <w:t>. A</w:t>
            </w:r>
            <w:r w:rsidRPr="00F24822">
              <w:rPr>
                <w:rFonts w:ascii="Arial" w:hAnsi="Arial" w:cs="Arial"/>
                <w:sz w:val="18"/>
                <w:szCs w:val="18"/>
                <w:lang w:eastAsia="es-ES"/>
              </w:rPr>
              <w:t xml:space="preserve">mbos </w:t>
            </w:r>
            <w:r>
              <w:rPr>
                <w:rFonts w:ascii="Arial" w:hAnsi="Arial" w:cs="Arial"/>
                <w:sz w:val="18"/>
                <w:szCs w:val="18"/>
                <w:lang w:eastAsia="es-ES"/>
              </w:rPr>
              <w:t xml:space="preserve">proyectos son </w:t>
            </w:r>
            <w:r w:rsidRPr="00F24822">
              <w:rPr>
                <w:rFonts w:ascii="Arial" w:hAnsi="Arial" w:cs="Arial"/>
                <w:sz w:val="18"/>
                <w:szCs w:val="18"/>
                <w:lang w:eastAsia="es-ES"/>
              </w:rPr>
              <w:t xml:space="preserve">vitales para </w:t>
            </w:r>
            <w:r>
              <w:rPr>
                <w:rFonts w:ascii="Arial" w:hAnsi="Arial" w:cs="Arial"/>
                <w:sz w:val="18"/>
                <w:szCs w:val="18"/>
                <w:lang w:eastAsia="es-ES"/>
              </w:rPr>
              <w:t xml:space="preserve">agilizar </w:t>
            </w:r>
            <w:r w:rsidRPr="00F24822">
              <w:rPr>
                <w:rFonts w:ascii="Arial" w:hAnsi="Arial" w:cs="Arial"/>
                <w:sz w:val="18"/>
                <w:szCs w:val="18"/>
                <w:lang w:eastAsia="es-ES"/>
              </w:rPr>
              <w:t>el tráfico.</w:t>
            </w:r>
          </w:p>
        </w:tc>
      </w:tr>
      <w:tr w:rsidR="00EC118C" w:rsidRPr="00F24822" w14:paraId="6EE78E89" w14:textId="77777777" w:rsidTr="000635AB">
        <w:tc>
          <w:tcPr>
            <w:tcW w:w="2689" w:type="dxa"/>
            <w:vAlign w:val="center"/>
          </w:tcPr>
          <w:p w14:paraId="519021E0" w14:textId="77777777" w:rsidR="00EC118C" w:rsidRPr="008974D9" w:rsidRDefault="00EC118C" w:rsidP="00B205BA">
            <w:pPr>
              <w:pStyle w:val="NormalWeb"/>
              <w:spacing w:before="0" w:beforeAutospacing="0" w:after="120" w:afterAutospacing="0"/>
              <w:jc w:val="center"/>
              <w:rPr>
                <w:rFonts w:ascii="Arial" w:hAnsi="Arial" w:cs="Arial"/>
                <w:b/>
                <w:bCs/>
                <w:sz w:val="18"/>
                <w:szCs w:val="18"/>
                <w:lang w:eastAsia="es-ES"/>
              </w:rPr>
            </w:pPr>
            <w:r w:rsidRPr="008974D9">
              <w:rPr>
                <w:rFonts w:ascii="Arial" w:hAnsi="Arial" w:cs="Arial"/>
                <w:b/>
                <w:bCs/>
                <w:sz w:val="18"/>
                <w:szCs w:val="18"/>
                <w:lang w:eastAsia="es-ES"/>
              </w:rPr>
              <w:t>Seguridad y servicios públicos</w:t>
            </w:r>
          </w:p>
          <w:p w14:paraId="217074BB" w14:textId="77777777" w:rsidR="00EC118C" w:rsidRPr="008974D9" w:rsidRDefault="00EC118C" w:rsidP="00B205BA">
            <w:pPr>
              <w:pStyle w:val="NormalWeb"/>
              <w:spacing w:before="0" w:beforeAutospacing="0" w:after="120" w:afterAutospacing="0"/>
              <w:jc w:val="center"/>
              <w:rPr>
                <w:rFonts w:ascii="Arial" w:hAnsi="Arial" w:cs="Arial"/>
                <w:sz w:val="18"/>
                <w:szCs w:val="18"/>
                <w:lang w:eastAsia="es-ES"/>
              </w:rPr>
            </w:pPr>
            <w:r w:rsidRPr="008974D9">
              <w:rPr>
                <w:rFonts w:ascii="Arial" w:hAnsi="Arial" w:cs="Arial"/>
                <w:sz w:val="18"/>
                <w:szCs w:val="18"/>
                <w:lang w:eastAsia="es-ES"/>
              </w:rPr>
              <w:t>Mejoras en seguridad vial y respuesta ante emergencias</w:t>
            </w:r>
          </w:p>
        </w:tc>
        <w:tc>
          <w:tcPr>
            <w:tcW w:w="5806" w:type="dxa"/>
          </w:tcPr>
          <w:p w14:paraId="723AE20D" w14:textId="77777777" w:rsidR="00EC118C" w:rsidRPr="00F24822" w:rsidRDefault="00EC118C" w:rsidP="00B205BA">
            <w:pPr>
              <w:pStyle w:val="NormalWeb"/>
              <w:numPr>
                <w:ilvl w:val="0"/>
                <w:numId w:val="26"/>
              </w:numPr>
              <w:spacing w:after="120" w:afterAutospacing="0"/>
              <w:ind w:left="462"/>
              <w:jc w:val="both"/>
              <w:rPr>
                <w:rFonts w:ascii="Arial" w:hAnsi="Arial" w:cs="Arial"/>
                <w:sz w:val="18"/>
                <w:szCs w:val="18"/>
                <w:lang w:eastAsia="es-ES"/>
              </w:rPr>
            </w:pPr>
            <w:r w:rsidRPr="00F24822">
              <w:rPr>
                <w:rFonts w:ascii="Arial" w:hAnsi="Arial" w:cs="Arial"/>
                <w:sz w:val="18"/>
                <w:szCs w:val="18"/>
                <w:lang w:eastAsia="es-ES"/>
              </w:rPr>
              <w:t>Expansión de 18 a 25 Centros de Respuesta Inmediata (CRI), que reforzarán la capacidad de atención en emergencias.</w:t>
            </w:r>
          </w:p>
          <w:p w14:paraId="57FF0ECC" w14:textId="77777777" w:rsidR="00EC118C" w:rsidRPr="00F24822" w:rsidRDefault="00EC118C" w:rsidP="00B205BA">
            <w:pPr>
              <w:pStyle w:val="NormalWeb"/>
              <w:numPr>
                <w:ilvl w:val="0"/>
                <w:numId w:val="26"/>
              </w:numPr>
              <w:spacing w:before="0" w:beforeAutospacing="0" w:after="120" w:afterAutospacing="0"/>
              <w:ind w:left="462"/>
              <w:jc w:val="both"/>
              <w:rPr>
                <w:rFonts w:ascii="Arial" w:hAnsi="Arial" w:cs="Arial"/>
                <w:sz w:val="18"/>
                <w:szCs w:val="18"/>
                <w:lang w:eastAsia="es-ES"/>
              </w:rPr>
            </w:pPr>
            <w:r w:rsidRPr="00F24822">
              <w:rPr>
                <w:rFonts w:ascii="Arial" w:hAnsi="Arial" w:cs="Arial"/>
                <w:sz w:val="18"/>
                <w:szCs w:val="18"/>
                <w:lang w:eastAsia="es-ES"/>
              </w:rPr>
              <w:t xml:space="preserve">Cruces y topes: </w:t>
            </w:r>
            <w:r>
              <w:rPr>
                <w:rFonts w:ascii="Arial" w:hAnsi="Arial" w:cs="Arial"/>
                <w:sz w:val="18"/>
                <w:szCs w:val="18"/>
                <w:lang w:eastAsia="es-ES"/>
              </w:rPr>
              <w:t>C</w:t>
            </w:r>
            <w:r w:rsidRPr="00F24822">
              <w:rPr>
                <w:rFonts w:ascii="Arial" w:hAnsi="Arial" w:cs="Arial"/>
                <w:sz w:val="18"/>
                <w:szCs w:val="18"/>
                <w:lang w:eastAsia="es-ES"/>
              </w:rPr>
              <w:t>rucero en</w:t>
            </w:r>
            <w:r>
              <w:rPr>
                <w:rFonts w:ascii="Arial" w:hAnsi="Arial" w:cs="Arial"/>
                <w:sz w:val="18"/>
                <w:szCs w:val="18"/>
                <w:lang w:eastAsia="es-ES"/>
              </w:rPr>
              <w:t xml:space="preserve"> calles </w:t>
            </w:r>
            <w:r w:rsidRPr="00F24822">
              <w:rPr>
                <w:rFonts w:ascii="Arial" w:hAnsi="Arial" w:cs="Arial"/>
                <w:sz w:val="18"/>
                <w:szCs w:val="18"/>
                <w:lang w:eastAsia="es-ES"/>
              </w:rPr>
              <w:t>Tierra Nueva y Agustín Zamora</w:t>
            </w:r>
            <w:r>
              <w:rPr>
                <w:rFonts w:ascii="Arial" w:hAnsi="Arial" w:cs="Arial"/>
                <w:sz w:val="18"/>
                <w:szCs w:val="18"/>
                <w:lang w:eastAsia="es-ES"/>
              </w:rPr>
              <w:t>;</w:t>
            </w:r>
            <w:r w:rsidRPr="00F24822">
              <w:rPr>
                <w:rFonts w:ascii="Arial" w:hAnsi="Arial" w:cs="Arial"/>
                <w:sz w:val="18"/>
                <w:szCs w:val="18"/>
                <w:lang w:eastAsia="es-ES"/>
              </w:rPr>
              <w:t xml:space="preserve"> bolardos en parques (Col. Virreyes) y topes en áreas estratégicas.</w:t>
            </w:r>
          </w:p>
        </w:tc>
      </w:tr>
      <w:tr w:rsidR="00EC118C" w:rsidRPr="00F24822" w14:paraId="1422F1AA" w14:textId="77777777" w:rsidTr="000635AB">
        <w:tc>
          <w:tcPr>
            <w:tcW w:w="2689" w:type="dxa"/>
            <w:vAlign w:val="center"/>
          </w:tcPr>
          <w:p w14:paraId="44540339" w14:textId="77777777" w:rsidR="00EC118C" w:rsidRPr="008974D9" w:rsidRDefault="00EC118C" w:rsidP="00B205BA">
            <w:pPr>
              <w:pStyle w:val="NormalWeb"/>
              <w:spacing w:before="0" w:beforeAutospacing="0" w:after="120" w:afterAutospacing="0"/>
              <w:jc w:val="center"/>
              <w:rPr>
                <w:rFonts w:ascii="Arial" w:hAnsi="Arial" w:cs="Arial"/>
                <w:b/>
                <w:bCs/>
                <w:sz w:val="18"/>
                <w:szCs w:val="18"/>
                <w:lang w:eastAsia="es-ES"/>
              </w:rPr>
            </w:pPr>
            <w:r w:rsidRPr="008974D9">
              <w:rPr>
                <w:rFonts w:ascii="Arial" w:hAnsi="Arial" w:cs="Arial"/>
                <w:b/>
                <w:bCs/>
                <w:sz w:val="18"/>
                <w:szCs w:val="18"/>
                <w:lang w:eastAsia="es-ES"/>
              </w:rPr>
              <w:t>Espacios recreativos y deportivos</w:t>
            </w:r>
          </w:p>
          <w:p w14:paraId="660C7972" w14:textId="77777777" w:rsidR="00EC118C" w:rsidRPr="008974D9" w:rsidRDefault="00EC118C" w:rsidP="00B205BA">
            <w:pPr>
              <w:pStyle w:val="NormalWeb"/>
              <w:spacing w:before="0" w:beforeAutospacing="0" w:after="120" w:afterAutospacing="0"/>
              <w:jc w:val="center"/>
              <w:rPr>
                <w:rFonts w:ascii="Arial" w:hAnsi="Arial" w:cs="Arial"/>
                <w:sz w:val="18"/>
                <w:szCs w:val="18"/>
                <w:lang w:eastAsia="es-ES"/>
              </w:rPr>
            </w:pPr>
            <w:r w:rsidRPr="008974D9">
              <w:rPr>
                <w:rFonts w:ascii="Arial" w:hAnsi="Arial" w:cs="Arial"/>
                <w:sz w:val="18"/>
                <w:szCs w:val="18"/>
                <w:lang w:eastAsia="es-ES"/>
              </w:rPr>
              <w:t>Modernización y creación de áreas recreativas para fomentar el deporte y la convivencia</w:t>
            </w:r>
          </w:p>
        </w:tc>
        <w:tc>
          <w:tcPr>
            <w:tcW w:w="5806" w:type="dxa"/>
          </w:tcPr>
          <w:p w14:paraId="079BFF28" w14:textId="77777777" w:rsidR="00EC118C" w:rsidRPr="00F24822" w:rsidRDefault="00EC118C" w:rsidP="00B205BA">
            <w:pPr>
              <w:pStyle w:val="NormalWeb"/>
              <w:numPr>
                <w:ilvl w:val="0"/>
                <w:numId w:val="27"/>
              </w:numPr>
              <w:spacing w:after="120" w:afterAutospacing="0"/>
              <w:ind w:left="462"/>
              <w:jc w:val="both"/>
              <w:rPr>
                <w:rFonts w:ascii="Arial" w:hAnsi="Arial" w:cs="Arial"/>
                <w:sz w:val="18"/>
                <w:szCs w:val="18"/>
                <w:lang w:eastAsia="es-ES"/>
              </w:rPr>
            </w:pPr>
            <w:r w:rsidRPr="00F24822">
              <w:rPr>
                <w:rFonts w:ascii="Arial" w:hAnsi="Arial" w:cs="Arial"/>
                <w:sz w:val="18"/>
                <w:szCs w:val="18"/>
                <w:lang w:eastAsia="es-ES"/>
              </w:rPr>
              <w:t>Parques y áreas deportivas: Rehabilitación de pasto sintético en parques y campos deportivos Lomas de Madrid, Vinicio Castilla y Villa de Seris</w:t>
            </w:r>
            <w:r>
              <w:rPr>
                <w:rFonts w:ascii="Arial" w:hAnsi="Arial" w:cs="Arial"/>
                <w:sz w:val="18"/>
                <w:szCs w:val="18"/>
                <w:lang w:eastAsia="es-ES"/>
              </w:rPr>
              <w:t>. C</w:t>
            </w:r>
            <w:r w:rsidRPr="00F24822">
              <w:rPr>
                <w:rFonts w:ascii="Arial" w:hAnsi="Arial" w:cs="Arial"/>
                <w:sz w:val="18"/>
                <w:szCs w:val="18"/>
                <w:lang w:eastAsia="es-ES"/>
              </w:rPr>
              <w:t xml:space="preserve">reación de parques en </w:t>
            </w:r>
            <w:r>
              <w:rPr>
                <w:rFonts w:ascii="Arial" w:hAnsi="Arial" w:cs="Arial"/>
                <w:sz w:val="18"/>
                <w:szCs w:val="18"/>
                <w:lang w:eastAsia="es-ES"/>
              </w:rPr>
              <w:t>colonias</w:t>
            </w:r>
            <w:r w:rsidRPr="00F24822">
              <w:rPr>
                <w:rFonts w:ascii="Arial" w:hAnsi="Arial" w:cs="Arial"/>
                <w:sz w:val="18"/>
                <w:szCs w:val="18"/>
                <w:lang w:eastAsia="es-ES"/>
              </w:rPr>
              <w:t xml:space="preserve"> Jesús García y Vista Real.</w:t>
            </w:r>
          </w:p>
          <w:p w14:paraId="069854DC" w14:textId="77777777" w:rsidR="00EC118C" w:rsidRPr="00F24822" w:rsidRDefault="00EC118C" w:rsidP="00B205BA">
            <w:pPr>
              <w:pStyle w:val="NormalWeb"/>
              <w:numPr>
                <w:ilvl w:val="0"/>
                <w:numId w:val="27"/>
              </w:numPr>
              <w:spacing w:after="120" w:afterAutospacing="0"/>
              <w:ind w:left="462"/>
              <w:jc w:val="both"/>
              <w:rPr>
                <w:rFonts w:ascii="Arial" w:hAnsi="Arial" w:cs="Arial"/>
                <w:sz w:val="18"/>
                <w:szCs w:val="18"/>
                <w:lang w:eastAsia="es-ES"/>
              </w:rPr>
            </w:pPr>
            <w:r w:rsidRPr="00F24822">
              <w:rPr>
                <w:rFonts w:ascii="Arial" w:hAnsi="Arial" w:cs="Arial"/>
                <w:sz w:val="18"/>
                <w:szCs w:val="18"/>
                <w:lang w:eastAsia="es-ES"/>
              </w:rPr>
              <w:t>Unidades deportivas: Desarrollo de espacios</w:t>
            </w:r>
            <w:r>
              <w:rPr>
                <w:rFonts w:ascii="Arial" w:hAnsi="Arial" w:cs="Arial"/>
                <w:sz w:val="18"/>
                <w:szCs w:val="18"/>
                <w:lang w:eastAsia="es-ES"/>
              </w:rPr>
              <w:t>, entre ellos,</w:t>
            </w:r>
            <w:r w:rsidRPr="00F24822">
              <w:rPr>
                <w:rFonts w:ascii="Arial" w:hAnsi="Arial" w:cs="Arial"/>
                <w:sz w:val="18"/>
                <w:szCs w:val="18"/>
                <w:lang w:eastAsia="es-ES"/>
              </w:rPr>
              <w:t xml:space="preserve"> </w:t>
            </w:r>
            <w:r>
              <w:rPr>
                <w:rFonts w:ascii="Arial" w:hAnsi="Arial" w:cs="Arial"/>
                <w:sz w:val="18"/>
                <w:szCs w:val="18"/>
                <w:lang w:eastAsia="es-ES"/>
              </w:rPr>
              <w:t>“El</w:t>
            </w:r>
            <w:r w:rsidRPr="00F24822">
              <w:rPr>
                <w:rFonts w:ascii="Arial" w:hAnsi="Arial" w:cs="Arial"/>
                <w:sz w:val="18"/>
                <w:szCs w:val="18"/>
                <w:lang w:eastAsia="es-ES"/>
              </w:rPr>
              <w:t xml:space="preserve"> Cárcamo</w:t>
            </w:r>
            <w:r>
              <w:rPr>
                <w:rFonts w:ascii="Arial" w:hAnsi="Arial" w:cs="Arial"/>
                <w:sz w:val="18"/>
                <w:szCs w:val="18"/>
                <w:lang w:eastAsia="es-ES"/>
              </w:rPr>
              <w:t>”,</w:t>
            </w:r>
            <w:r w:rsidRPr="00F24822">
              <w:rPr>
                <w:rFonts w:ascii="Arial" w:hAnsi="Arial" w:cs="Arial"/>
                <w:sz w:val="18"/>
                <w:szCs w:val="18"/>
                <w:lang w:eastAsia="es-ES"/>
              </w:rPr>
              <w:t xml:space="preserve"> y parque lineal en Blvd. Lázaro Cárdenas.</w:t>
            </w:r>
          </w:p>
          <w:p w14:paraId="1CFC3FA9" w14:textId="77777777" w:rsidR="00EC118C" w:rsidRPr="00F24822" w:rsidRDefault="00EC118C" w:rsidP="00B205BA">
            <w:pPr>
              <w:pStyle w:val="NormalWeb"/>
              <w:numPr>
                <w:ilvl w:val="0"/>
                <w:numId w:val="27"/>
              </w:numPr>
              <w:spacing w:before="0" w:beforeAutospacing="0" w:after="120" w:afterAutospacing="0"/>
              <w:ind w:left="462"/>
              <w:jc w:val="both"/>
              <w:rPr>
                <w:rFonts w:ascii="Arial" w:hAnsi="Arial" w:cs="Arial"/>
                <w:sz w:val="18"/>
                <w:szCs w:val="18"/>
                <w:lang w:eastAsia="es-ES"/>
              </w:rPr>
            </w:pPr>
            <w:r w:rsidRPr="00F24822">
              <w:rPr>
                <w:rFonts w:ascii="Arial" w:hAnsi="Arial" w:cs="Arial"/>
                <w:sz w:val="18"/>
                <w:szCs w:val="18"/>
                <w:lang w:eastAsia="es-ES"/>
              </w:rPr>
              <w:t>Rehabilitación de campos de béisbol</w:t>
            </w:r>
            <w:r>
              <w:rPr>
                <w:rFonts w:ascii="Arial" w:hAnsi="Arial" w:cs="Arial"/>
                <w:sz w:val="18"/>
                <w:szCs w:val="18"/>
                <w:lang w:eastAsia="es-ES"/>
              </w:rPr>
              <w:t xml:space="preserve"> en </w:t>
            </w:r>
            <w:r w:rsidRPr="00F24822">
              <w:rPr>
                <w:rFonts w:ascii="Arial" w:hAnsi="Arial" w:cs="Arial"/>
                <w:sz w:val="18"/>
                <w:szCs w:val="18"/>
                <w:lang w:eastAsia="es-ES"/>
              </w:rPr>
              <w:t xml:space="preserve">San Pedro y otras zonas, </w:t>
            </w:r>
            <w:r>
              <w:rPr>
                <w:rFonts w:ascii="Arial" w:hAnsi="Arial" w:cs="Arial"/>
                <w:sz w:val="18"/>
                <w:szCs w:val="18"/>
                <w:lang w:eastAsia="es-ES"/>
              </w:rPr>
              <w:t>para impulsar</w:t>
            </w:r>
            <w:r w:rsidRPr="00F24822">
              <w:rPr>
                <w:rFonts w:ascii="Arial" w:hAnsi="Arial" w:cs="Arial"/>
                <w:sz w:val="18"/>
                <w:szCs w:val="18"/>
                <w:lang w:eastAsia="es-ES"/>
              </w:rPr>
              <w:t xml:space="preserve"> el deporte comunitario.</w:t>
            </w:r>
          </w:p>
        </w:tc>
      </w:tr>
      <w:tr w:rsidR="00EC118C" w:rsidRPr="00F24822" w14:paraId="61A57521" w14:textId="77777777" w:rsidTr="000635AB">
        <w:tc>
          <w:tcPr>
            <w:tcW w:w="2689" w:type="dxa"/>
            <w:vAlign w:val="center"/>
          </w:tcPr>
          <w:p w14:paraId="1B9DD43C" w14:textId="77777777" w:rsidR="00EC118C" w:rsidRPr="008974D9" w:rsidRDefault="00EC118C" w:rsidP="00B205BA">
            <w:pPr>
              <w:pStyle w:val="NormalWeb"/>
              <w:spacing w:before="0" w:beforeAutospacing="0" w:after="120" w:afterAutospacing="0"/>
              <w:jc w:val="center"/>
              <w:rPr>
                <w:rFonts w:ascii="Arial" w:hAnsi="Arial" w:cs="Arial"/>
                <w:b/>
                <w:bCs/>
                <w:sz w:val="18"/>
                <w:szCs w:val="18"/>
                <w:lang w:eastAsia="es-ES"/>
              </w:rPr>
            </w:pPr>
            <w:r w:rsidRPr="008974D9">
              <w:rPr>
                <w:rFonts w:ascii="Arial" w:hAnsi="Arial" w:cs="Arial"/>
                <w:b/>
                <w:bCs/>
                <w:sz w:val="18"/>
                <w:szCs w:val="18"/>
                <w:lang w:eastAsia="es-ES"/>
              </w:rPr>
              <w:t>Obras en Bahía de Kino</w:t>
            </w:r>
          </w:p>
        </w:tc>
        <w:tc>
          <w:tcPr>
            <w:tcW w:w="5806" w:type="dxa"/>
          </w:tcPr>
          <w:p w14:paraId="10E3D499" w14:textId="77777777" w:rsidR="00EC118C" w:rsidRPr="00F24822" w:rsidRDefault="00EC118C" w:rsidP="00B205BA">
            <w:pPr>
              <w:pStyle w:val="NormalWeb"/>
              <w:numPr>
                <w:ilvl w:val="0"/>
                <w:numId w:val="28"/>
              </w:numPr>
              <w:spacing w:after="120" w:afterAutospacing="0"/>
              <w:ind w:left="462"/>
              <w:jc w:val="both"/>
              <w:rPr>
                <w:rFonts w:ascii="Arial" w:hAnsi="Arial" w:cs="Arial"/>
                <w:sz w:val="18"/>
                <w:szCs w:val="18"/>
                <w:lang w:eastAsia="es-ES"/>
              </w:rPr>
            </w:pPr>
            <w:r w:rsidRPr="00F24822">
              <w:rPr>
                <w:rFonts w:ascii="Arial" w:hAnsi="Arial" w:cs="Arial"/>
                <w:sz w:val="18"/>
                <w:szCs w:val="18"/>
                <w:lang w:eastAsia="es-ES"/>
              </w:rPr>
              <w:t>Infraestructura esencial: Relleno sanitario, tanque elevado de agua potable y planta desaladora.</w:t>
            </w:r>
          </w:p>
          <w:p w14:paraId="0F5F9A0C" w14:textId="77777777" w:rsidR="00EC118C" w:rsidRPr="00F24822" w:rsidRDefault="00EC118C" w:rsidP="00B205BA">
            <w:pPr>
              <w:pStyle w:val="NormalWeb"/>
              <w:numPr>
                <w:ilvl w:val="0"/>
                <w:numId w:val="28"/>
              </w:numPr>
              <w:spacing w:before="0" w:beforeAutospacing="0" w:after="120" w:afterAutospacing="0"/>
              <w:ind w:left="462"/>
              <w:jc w:val="both"/>
              <w:rPr>
                <w:rFonts w:ascii="Arial" w:hAnsi="Arial" w:cs="Arial"/>
                <w:sz w:val="18"/>
                <w:szCs w:val="18"/>
                <w:lang w:eastAsia="es-ES"/>
              </w:rPr>
            </w:pPr>
            <w:r w:rsidRPr="00F24822">
              <w:rPr>
                <w:rFonts w:ascii="Arial" w:hAnsi="Arial" w:cs="Arial"/>
                <w:sz w:val="18"/>
                <w:szCs w:val="18"/>
                <w:lang w:eastAsia="es-ES"/>
              </w:rPr>
              <w:t>Pavimentación del Blvd. San Agustín</w:t>
            </w:r>
            <w:r>
              <w:rPr>
                <w:rFonts w:ascii="Arial" w:hAnsi="Arial" w:cs="Arial"/>
                <w:sz w:val="18"/>
                <w:szCs w:val="18"/>
                <w:lang w:eastAsia="es-ES"/>
              </w:rPr>
              <w:t>, f</w:t>
            </w:r>
            <w:r w:rsidRPr="00F24822">
              <w:rPr>
                <w:rFonts w:ascii="Arial" w:hAnsi="Arial" w:cs="Arial"/>
                <w:sz w:val="18"/>
                <w:szCs w:val="18"/>
                <w:lang w:eastAsia="es-ES"/>
              </w:rPr>
              <w:t>undamental para el turismo y la vida cotidiana de los residentes.</w:t>
            </w:r>
          </w:p>
        </w:tc>
      </w:tr>
    </w:tbl>
    <w:p w14:paraId="6BD76DB3" w14:textId="0772C9C7" w:rsidR="00EC118C" w:rsidRPr="00A033CE" w:rsidRDefault="00EC118C" w:rsidP="00A033CE">
      <w:pPr>
        <w:pStyle w:val="Sinespaciado"/>
        <w:spacing w:after="120"/>
        <w:rPr>
          <w:rFonts w:ascii="Arial" w:eastAsiaTheme="minorHAnsi" w:hAnsi="Arial" w:cs="Arial"/>
          <w:kern w:val="2"/>
          <w:sz w:val="18"/>
          <w:szCs w:val="18"/>
          <w:lang w:val="es-MX" w:eastAsia="es-ES"/>
          <w14:ligatures w14:val="standardContextual"/>
        </w:rPr>
      </w:pPr>
      <w:r w:rsidRPr="00A033CE">
        <w:rPr>
          <w:rFonts w:ascii="Arial" w:eastAsiaTheme="minorHAnsi" w:hAnsi="Arial" w:cs="Arial"/>
          <w:kern w:val="2"/>
          <w:sz w:val="18"/>
          <w:szCs w:val="18"/>
          <w:lang w:val="es-MX" w:eastAsia="es-ES"/>
          <w14:ligatures w14:val="standardContextual"/>
        </w:rPr>
        <w:t>Fuente: Elaboración propi</w:t>
      </w:r>
      <w:r w:rsidRPr="00A033CE">
        <w:rPr>
          <w:rFonts w:ascii="Arial" w:hAnsi="Arial" w:cs="Arial"/>
          <w:sz w:val="18"/>
          <w:szCs w:val="18"/>
          <w:lang w:val="es-MX" w:eastAsia="es-ES"/>
        </w:rPr>
        <w:t xml:space="preserve">a con datos de CIDUE. </w:t>
      </w:r>
    </w:p>
    <w:p w14:paraId="42985CA5" w14:textId="52F160C0" w:rsidR="00EC118C" w:rsidRDefault="00EC118C" w:rsidP="00B205BA">
      <w:pPr>
        <w:pStyle w:val="NormalWeb"/>
        <w:spacing w:before="0" w:beforeAutospacing="0" w:after="120" w:afterAutospacing="0"/>
        <w:jc w:val="both"/>
        <w:rPr>
          <w:rFonts w:ascii="Arial" w:hAnsi="Arial" w:cs="Arial"/>
          <w:b/>
          <w:bCs/>
          <w:sz w:val="22"/>
          <w:szCs w:val="28"/>
        </w:rPr>
      </w:pPr>
      <w:r>
        <w:rPr>
          <w:rFonts w:ascii="Arial" w:hAnsi="Arial" w:cs="Arial"/>
          <w:b/>
          <w:bCs/>
          <w:sz w:val="22"/>
          <w:szCs w:val="28"/>
        </w:rPr>
        <w:t>Mantenimiento del entorno urbano</w:t>
      </w:r>
      <w:r w:rsidR="00261A27">
        <w:rPr>
          <w:rFonts w:ascii="Arial" w:hAnsi="Arial" w:cs="Arial"/>
          <w:b/>
          <w:bCs/>
          <w:sz w:val="22"/>
          <w:szCs w:val="28"/>
        </w:rPr>
        <w:t>.</w:t>
      </w:r>
    </w:p>
    <w:p w14:paraId="6C92D453" w14:textId="77777777" w:rsidR="00A033CE" w:rsidRDefault="00EC118C" w:rsidP="00A033CE">
      <w:pPr>
        <w:spacing w:after="120" w:line="240" w:lineRule="auto"/>
        <w:rPr>
          <w:rFonts w:cs="Arial"/>
        </w:rPr>
      </w:pPr>
      <w:r w:rsidRPr="0040512D">
        <w:rPr>
          <w:rFonts w:cs="Arial"/>
        </w:rPr>
        <w:t xml:space="preserve">La </w:t>
      </w:r>
      <w:r>
        <w:rPr>
          <w:rFonts w:cs="Arial"/>
        </w:rPr>
        <w:t xml:space="preserve">gestión de residuos sólidos, </w:t>
      </w:r>
      <w:r w:rsidRPr="0040512D">
        <w:rPr>
          <w:rFonts w:cs="Arial"/>
        </w:rPr>
        <w:t>la limpieza de espacios públicos y el bienestar animal</w:t>
      </w:r>
      <w:r>
        <w:rPr>
          <w:rFonts w:cs="Arial"/>
        </w:rPr>
        <w:t xml:space="preserve"> en</w:t>
      </w:r>
      <w:r w:rsidRPr="0040512D">
        <w:rPr>
          <w:rFonts w:cs="Arial"/>
        </w:rPr>
        <w:t xml:space="preserve"> Hermosillo desempeña</w:t>
      </w:r>
      <w:r>
        <w:rPr>
          <w:rFonts w:cs="Arial"/>
        </w:rPr>
        <w:t>n</w:t>
      </w:r>
      <w:r w:rsidRPr="0040512D">
        <w:rPr>
          <w:rFonts w:cs="Arial"/>
        </w:rPr>
        <w:t xml:space="preserve"> un papel fundamental en la salud pública y el mantenimiento del entorno urbano. </w:t>
      </w:r>
      <w:r>
        <w:rPr>
          <w:rFonts w:cs="Arial"/>
        </w:rPr>
        <w:t>E</w:t>
      </w:r>
      <w:r w:rsidRPr="0040512D">
        <w:rPr>
          <w:rFonts w:cs="Arial"/>
        </w:rPr>
        <w:t xml:space="preserve">l crecimiento poblacional presenta nuevos retos que </w:t>
      </w:r>
      <w:r>
        <w:rPr>
          <w:rFonts w:cs="Arial"/>
        </w:rPr>
        <w:t>destacan</w:t>
      </w:r>
      <w:r w:rsidRPr="0040512D">
        <w:rPr>
          <w:rFonts w:cs="Arial"/>
        </w:rPr>
        <w:t xml:space="preserve"> la necesidad de optimizar los servicios </w:t>
      </w:r>
      <w:r>
        <w:rPr>
          <w:rFonts w:cs="Arial"/>
        </w:rPr>
        <w:t>públicos</w:t>
      </w:r>
      <w:r w:rsidRPr="0040512D">
        <w:rPr>
          <w:rFonts w:cs="Arial"/>
        </w:rPr>
        <w:t>.</w:t>
      </w:r>
    </w:p>
    <w:p w14:paraId="7712EAE9" w14:textId="77777777" w:rsidR="00A033CE" w:rsidRDefault="00EC118C" w:rsidP="00B205BA">
      <w:pPr>
        <w:spacing w:after="120" w:line="240" w:lineRule="auto"/>
        <w:rPr>
          <w:rFonts w:cs="Arial"/>
        </w:rPr>
      </w:pPr>
      <w:r>
        <w:rPr>
          <w:rFonts w:cs="Arial"/>
        </w:rPr>
        <w:t xml:space="preserve">Durante </w:t>
      </w:r>
      <w:r w:rsidRPr="00775F9C">
        <w:rPr>
          <w:rFonts w:cs="Arial"/>
        </w:rPr>
        <w:t xml:space="preserve">el trienio pasado, se logró recolectar más de 680 </w:t>
      </w:r>
      <w:r>
        <w:rPr>
          <w:rFonts w:cs="Arial"/>
        </w:rPr>
        <w:t>000</w:t>
      </w:r>
      <w:r w:rsidRPr="00775F9C">
        <w:rPr>
          <w:rFonts w:cs="Arial"/>
        </w:rPr>
        <w:t xml:space="preserve"> toneladas de residuos sólidos </w:t>
      </w:r>
      <w:r>
        <w:rPr>
          <w:rFonts w:cs="Arial"/>
        </w:rPr>
        <w:t>a</w:t>
      </w:r>
      <w:r w:rsidRPr="00775F9C">
        <w:rPr>
          <w:rFonts w:cs="Arial"/>
        </w:rPr>
        <w:t xml:space="preserve"> través de 112 rutas </w:t>
      </w:r>
      <w:r w:rsidRPr="00EC118C">
        <w:rPr>
          <w:rFonts w:cs="Arial"/>
        </w:rPr>
        <w:t>diarias que recorren la ciudad 6 días a la semana. Ese total equivale a una producción de residuos de 4.5 toneladas de basura a la semana. Es de destacarse que este servicio ha sido consistentemente bien</w:t>
      </w:r>
      <w:r w:rsidRPr="0040512D">
        <w:rPr>
          <w:rFonts w:cs="Arial"/>
        </w:rPr>
        <w:t xml:space="preserve"> valorad</w:t>
      </w:r>
      <w:r w:rsidRPr="00775F9C">
        <w:rPr>
          <w:rFonts w:cs="Arial"/>
        </w:rPr>
        <w:t>o</w:t>
      </w:r>
      <w:r w:rsidRPr="0040512D">
        <w:rPr>
          <w:rFonts w:cs="Arial"/>
        </w:rPr>
        <w:t xml:space="preserve"> por la ciudadanía, con una calificación de 8.3 en la Encuesta de Percepción Ciudadana 2023</w:t>
      </w:r>
      <w:r>
        <w:rPr>
          <w:rFonts w:cs="Arial"/>
        </w:rPr>
        <w:t>, levantada por la Asociación Civil Hermosillo, ¿Cómo vamos?</w:t>
      </w:r>
      <w:r w:rsidRPr="0040512D">
        <w:rPr>
          <w:rFonts w:cs="Arial"/>
        </w:rPr>
        <w:t xml:space="preserve"> y el reconocimiento de Hermosillo como el municipio con el mejor servicio de recolección a nivel nacional. Esto refleja un compromiso efectivo por parte de la </w:t>
      </w:r>
      <w:r w:rsidRPr="00775F9C">
        <w:rPr>
          <w:rFonts w:cs="Arial"/>
        </w:rPr>
        <w:t xml:space="preserve">administración </w:t>
      </w:r>
      <w:r w:rsidRPr="0040512D">
        <w:rPr>
          <w:rFonts w:cs="Arial"/>
        </w:rPr>
        <w:t>en la provisión de este servicio</w:t>
      </w:r>
      <w:r w:rsidRPr="00921C4A">
        <w:rPr>
          <w:rFonts w:cs="Arial"/>
        </w:rPr>
        <w:t xml:space="preserve"> </w:t>
      </w:r>
      <w:r w:rsidRPr="0040512D">
        <w:rPr>
          <w:rFonts w:cs="Arial"/>
        </w:rPr>
        <w:t>esencial.</w:t>
      </w:r>
    </w:p>
    <w:p w14:paraId="7E13B666" w14:textId="77777777" w:rsidR="00A033CE" w:rsidRDefault="00EC118C" w:rsidP="00B205BA">
      <w:pPr>
        <w:spacing w:after="120" w:line="240" w:lineRule="auto"/>
        <w:rPr>
          <w:rFonts w:cs="Arial"/>
        </w:rPr>
      </w:pPr>
      <w:r>
        <w:rPr>
          <w:rFonts w:cs="Arial"/>
        </w:rPr>
        <w:lastRenderedPageBreak/>
        <w:t xml:space="preserve">Adicionalmente, se cuenta con seis puntos de acopio en puntos estratégicos de la ciudad: </w:t>
      </w:r>
      <w:r w:rsidRPr="00CC5073">
        <w:rPr>
          <w:rFonts w:cs="Arial"/>
        </w:rPr>
        <w:t>Las Tres Reinas</w:t>
      </w:r>
      <w:r>
        <w:rPr>
          <w:rFonts w:cs="Arial"/>
        </w:rPr>
        <w:t xml:space="preserve">, </w:t>
      </w:r>
      <w:r w:rsidRPr="00CC5073">
        <w:rPr>
          <w:rFonts w:cs="Arial"/>
        </w:rPr>
        <w:t>Centro</w:t>
      </w:r>
      <w:r>
        <w:rPr>
          <w:rFonts w:cs="Arial"/>
        </w:rPr>
        <w:t xml:space="preserve">, </w:t>
      </w:r>
      <w:r w:rsidRPr="00CC5073">
        <w:rPr>
          <w:rFonts w:cs="Arial"/>
        </w:rPr>
        <w:t>Sur</w:t>
      </w:r>
      <w:r>
        <w:rPr>
          <w:rFonts w:cs="Arial"/>
        </w:rPr>
        <w:t xml:space="preserve"> (colonia Altares), Norte</w:t>
      </w:r>
      <w:r w:rsidRPr="00CC5073">
        <w:rPr>
          <w:rFonts w:cs="Arial"/>
        </w:rPr>
        <w:t xml:space="preserve"> </w:t>
      </w:r>
      <w:r>
        <w:rPr>
          <w:rFonts w:cs="Arial"/>
        </w:rPr>
        <w:t>(</w:t>
      </w:r>
      <w:r w:rsidRPr="00CC5073">
        <w:rPr>
          <w:rFonts w:cs="Arial"/>
        </w:rPr>
        <w:t>Blvd. Las Torres</w:t>
      </w:r>
      <w:r>
        <w:rPr>
          <w:rFonts w:cs="Arial"/>
        </w:rPr>
        <w:t xml:space="preserve">), Patios de Servicios Públicos y Lázaro Cárdenas. Además, con la </w:t>
      </w:r>
      <w:r w:rsidRPr="0040512D">
        <w:rPr>
          <w:rFonts w:cs="Arial"/>
        </w:rPr>
        <w:t>implementación de la aplicación</w:t>
      </w:r>
      <w:r>
        <w:rPr>
          <w:rFonts w:cs="Arial"/>
        </w:rPr>
        <w:t xml:space="preserve"> móvil</w:t>
      </w:r>
    </w:p>
    <w:p w14:paraId="73BDBBEE" w14:textId="77777777" w:rsidR="00A033CE" w:rsidRDefault="00EC118C" w:rsidP="00B205BA">
      <w:pPr>
        <w:spacing w:after="120" w:line="240" w:lineRule="auto"/>
        <w:rPr>
          <w:rFonts w:cs="Arial"/>
        </w:rPr>
      </w:pPr>
      <w:r w:rsidRPr="0040512D">
        <w:rPr>
          <w:rFonts w:cs="Arial"/>
        </w:rPr>
        <w:t xml:space="preserve">"Recolector H" los ciudadanos </w:t>
      </w:r>
      <w:r>
        <w:rPr>
          <w:rFonts w:cs="Arial"/>
        </w:rPr>
        <w:t xml:space="preserve">pueden </w:t>
      </w:r>
      <w:r w:rsidRPr="0040512D">
        <w:rPr>
          <w:rFonts w:cs="Arial"/>
        </w:rPr>
        <w:t>acceder a información en tiempo real sobre la recolección de basura, mejorando la transparencia y la comunicación.</w:t>
      </w:r>
    </w:p>
    <w:p w14:paraId="1FCDBB65" w14:textId="7A283672" w:rsidR="00EC118C" w:rsidRDefault="00EC118C" w:rsidP="00B205BA">
      <w:pPr>
        <w:spacing w:after="120" w:line="240" w:lineRule="auto"/>
        <w:rPr>
          <w:rFonts w:cs="Arial"/>
        </w:rPr>
      </w:pPr>
      <w:r>
        <w:rPr>
          <w:rFonts w:cs="Arial"/>
        </w:rPr>
        <w:t>Por otra parte, a</w:t>
      </w:r>
      <w:r w:rsidRPr="0040512D">
        <w:rPr>
          <w:rFonts w:cs="Arial"/>
        </w:rPr>
        <w:t xml:space="preserve">unque el reciclaje ha mejorado con el programa "Recicla por tu comunidad", </w:t>
      </w:r>
      <w:r>
        <w:rPr>
          <w:rFonts w:cs="Arial"/>
        </w:rPr>
        <w:t>mediante el cual</w:t>
      </w:r>
      <w:r w:rsidRPr="0040512D">
        <w:rPr>
          <w:rFonts w:cs="Arial"/>
        </w:rPr>
        <w:t xml:space="preserve"> se ha reciclado</w:t>
      </w:r>
      <w:r>
        <w:rPr>
          <w:rFonts w:cs="Arial"/>
        </w:rPr>
        <w:t xml:space="preserve"> un total de</w:t>
      </w:r>
      <w:r w:rsidRPr="0040512D">
        <w:rPr>
          <w:rFonts w:cs="Arial"/>
        </w:rPr>
        <w:t xml:space="preserve"> 211.8 toneladas, la cifra inicial de solo 3</w:t>
      </w:r>
      <w:r>
        <w:rPr>
          <w:rFonts w:cs="Arial"/>
        </w:rPr>
        <w:t xml:space="preserve"> </w:t>
      </w:r>
      <w:r w:rsidRPr="0040512D">
        <w:rPr>
          <w:rFonts w:cs="Arial"/>
        </w:rPr>
        <w:t xml:space="preserve">% de la población </w:t>
      </w:r>
      <w:r>
        <w:rPr>
          <w:rFonts w:cs="Arial"/>
        </w:rPr>
        <w:t>practicando</w:t>
      </w:r>
      <w:r w:rsidRPr="0040512D">
        <w:rPr>
          <w:rFonts w:cs="Arial"/>
        </w:rPr>
        <w:t xml:space="preserve"> el reciclaje en 2018 indica que hay una necesidad urgente de educación y concien</w:t>
      </w:r>
      <w:r>
        <w:rPr>
          <w:rFonts w:cs="Arial"/>
        </w:rPr>
        <w:t>tización</w:t>
      </w:r>
      <w:r w:rsidRPr="0040512D">
        <w:rPr>
          <w:rFonts w:cs="Arial"/>
        </w:rPr>
        <w:t xml:space="preserve"> ambiental.</w:t>
      </w:r>
      <w:r>
        <w:rPr>
          <w:rFonts w:cs="Arial"/>
        </w:rPr>
        <w:t xml:space="preserve"> En respuesta a ello, </w:t>
      </w:r>
      <w:r w:rsidRPr="00B51A15">
        <w:rPr>
          <w:rFonts w:cs="Arial"/>
        </w:rPr>
        <w:t xml:space="preserve">en los tres últimos años se ubicaron </w:t>
      </w:r>
      <w:r>
        <w:rPr>
          <w:rFonts w:cs="Arial"/>
        </w:rPr>
        <w:t xml:space="preserve">tres </w:t>
      </w:r>
      <w:r w:rsidRPr="00B51A15">
        <w:rPr>
          <w:rFonts w:cs="Arial"/>
        </w:rPr>
        <w:t>Recicla</w:t>
      </w:r>
      <w:r>
        <w:rPr>
          <w:rFonts w:cs="Arial"/>
        </w:rPr>
        <w:t>C</w:t>
      </w:r>
      <w:r w:rsidRPr="00B51A15">
        <w:rPr>
          <w:rFonts w:cs="Arial"/>
        </w:rPr>
        <w:t>entros permanentes en la capital</w:t>
      </w:r>
      <w:r>
        <w:rPr>
          <w:rFonts w:cs="Arial"/>
        </w:rPr>
        <w:t>: C</w:t>
      </w:r>
      <w:r w:rsidRPr="00B51A15">
        <w:rPr>
          <w:rFonts w:cs="Arial"/>
        </w:rPr>
        <w:t xml:space="preserve">entro, Soriana Bachoco y </w:t>
      </w:r>
      <w:r>
        <w:rPr>
          <w:rFonts w:cs="Arial"/>
        </w:rPr>
        <w:t>GastroPark. En el área rural, contamos con uno</w:t>
      </w:r>
      <w:r w:rsidRPr="00B51A15">
        <w:rPr>
          <w:rFonts w:cs="Arial"/>
        </w:rPr>
        <w:t xml:space="preserve"> en Bahía de Kino y otro en Punta Chueca.</w:t>
      </w:r>
    </w:p>
    <w:p w14:paraId="329AD667" w14:textId="77777777" w:rsidR="00EC118C" w:rsidRPr="00B51A15" w:rsidRDefault="00EC118C" w:rsidP="00B205BA">
      <w:pPr>
        <w:spacing w:after="120" w:line="240" w:lineRule="auto"/>
        <w:rPr>
          <w:rFonts w:cs="Arial"/>
        </w:rPr>
      </w:pPr>
      <w:r>
        <w:rPr>
          <w:rFonts w:cs="Arial"/>
        </w:rPr>
        <w:t>Actualmente, el municipio cuenta con</w:t>
      </w:r>
      <w:r w:rsidRPr="00B51A15">
        <w:rPr>
          <w:rFonts w:cs="Arial"/>
        </w:rPr>
        <w:t xml:space="preserve"> 12 parques sustentables</w:t>
      </w:r>
      <w:r>
        <w:rPr>
          <w:rFonts w:cs="Arial"/>
        </w:rPr>
        <w:t>,</w:t>
      </w:r>
      <w:r w:rsidRPr="00B51A15">
        <w:rPr>
          <w:rFonts w:cs="Arial"/>
        </w:rPr>
        <w:t xml:space="preserve"> donde los residentes recogen </w:t>
      </w:r>
      <w:r>
        <w:rPr>
          <w:rFonts w:cs="Arial"/>
        </w:rPr>
        <w:t xml:space="preserve">y acumulan </w:t>
      </w:r>
      <w:r w:rsidRPr="00B51A15">
        <w:rPr>
          <w:rFonts w:cs="Arial"/>
        </w:rPr>
        <w:t>l</w:t>
      </w:r>
      <w:r>
        <w:rPr>
          <w:rFonts w:cs="Arial"/>
        </w:rPr>
        <w:t>os residuos</w:t>
      </w:r>
      <w:r w:rsidRPr="00B51A15">
        <w:rPr>
          <w:rFonts w:cs="Arial"/>
        </w:rPr>
        <w:t xml:space="preserve"> generad</w:t>
      </w:r>
      <w:r>
        <w:rPr>
          <w:rFonts w:cs="Arial"/>
        </w:rPr>
        <w:t xml:space="preserve">os </w:t>
      </w:r>
      <w:r w:rsidRPr="00B51A15">
        <w:rPr>
          <w:rFonts w:cs="Arial"/>
        </w:rPr>
        <w:t>en sus hogares</w:t>
      </w:r>
      <w:r>
        <w:rPr>
          <w:rFonts w:cs="Arial"/>
        </w:rPr>
        <w:t xml:space="preserve"> para, posteriormente, separarlos, agruparlos y venderlos</w:t>
      </w:r>
      <w:r w:rsidRPr="00B51A15">
        <w:rPr>
          <w:rFonts w:cs="Arial"/>
        </w:rPr>
        <w:t xml:space="preserve"> </w:t>
      </w:r>
      <w:r>
        <w:rPr>
          <w:rFonts w:cs="Arial"/>
        </w:rPr>
        <w:t>a</w:t>
      </w:r>
      <w:r w:rsidRPr="00B51A15">
        <w:rPr>
          <w:rFonts w:cs="Arial"/>
        </w:rPr>
        <w:t>l final de cada mes</w:t>
      </w:r>
      <w:r>
        <w:rPr>
          <w:rFonts w:cs="Arial"/>
        </w:rPr>
        <w:t xml:space="preserve"> a </w:t>
      </w:r>
      <w:r w:rsidRPr="00B51A15">
        <w:rPr>
          <w:rFonts w:cs="Arial"/>
        </w:rPr>
        <w:t xml:space="preserve">una empresa recicladora. Los ingresos obtenidos se utilizan para realizar mejoras en los </w:t>
      </w:r>
      <w:r>
        <w:rPr>
          <w:rFonts w:cs="Arial"/>
        </w:rPr>
        <w:t xml:space="preserve">propios </w:t>
      </w:r>
      <w:r w:rsidRPr="00B51A15">
        <w:rPr>
          <w:rFonts w:cs="Arial"/>
        </w:rPr>
        <w:t xml:space="preserve">parques, como pintura </w:t>
      </w:r>
      <w:r>
        <w:rPr>
          <w:rFonts w:cs="Arial"/>
        </w:rPr>
        <w:t>e</w:t>
      </w:r>
      <w:r w:rsidRPr="00B51A15">
        <w:rPr>
          <w:rFonts w:cs="Arial"/>
        </w:rPr>
        <w:t xml:space="preserve"> instalación de banc</w:t>
      </w:r>
      <w:r>
        <w:rPr>
          <w:rFonts w:cs="Arial"/>
        </w:rPr>
        <w:t>a</w:t>
      </w:r>
      <w:r w:rsidRPr="00B51A15">
        <w:rPr>
          <w:rFonts w:cs="Arial"/>
        </w:rPr>
        <w:t>s.</w:t>
      </w:r>
    </w:p>
    <w:p w14:paraId="791FF68B" w14:textId="77777777" w:rsidR="00EC118C" w:rsidRPr="00B51A15" w:rsidRDefault="00EC118C" w:rsidP="00B205BA">
      <w:pPr>
        <w:spacing w:after="120" w:line="240" w:lineRule="auto"/>
        <w:rPr>
          <w:rFonts w:cs="Arial"/>
        </w:rPr>
      </w:pPr>
      <w:r>
        <w:rPr>
          <w:rFonts w:cs="Arial"/>
        </w:rPr>
        <w:t>Adicionalmente</w:t>
      </w:r>
      <w:r w:rsidRPr="00B51A15">
        <w:rPr>
          <w:rFonts w:cs="Arial"/>
        </w:rPr>
        <w:t xml:space="preserve">, </w:t>
      </w:r>
      <w:r>
        <w:rPr>
          <w:rFonts w:cs="Arial"/>
        </w:rPr>
        <w:t>existen</w:t>
      </w:r>
      <w:r w:rsidRPr="00B51A15">
        <w:rPr>
          <w:rFonts w:cs="Arial"/>
        </w:rPr>
        <w:t xml:space="preserve"> rutas para la separación de </w:t>
      </w:r>
      <w:r>
        <w:rPr>
          <w:rFonts w:cs="Arial"/>
        </w:rPr>
        <w:t>residuos</w:t>
      </w:r>
      <w:r w:rsidRPr="00B51A15">
        <w:rPr>
          <w:rFonts w:cs="Arial"/>
        </w:rPr>
        <w:t xml:space="preserve"> en </w:t>
      </w:r>
      <w:r>
        <w:rPr>
          <w:rFonts w:cs="Arial"/>
        </w:rPr>
        <w:t>las siguientes</w:t>
      </w:r>
      <w:r w:rsidRPr="00B51A15">
        <w:rPr>
          <w:rFonts w:cs="Arial"/>
        </w:rPr>
        <w:t xml:space="preserve"> colonias: Ruta 1</w:t>
      </w:r>
      <w:r>
        <w:rPr>
          <w:rFonts w:cs="Arial"/>
        </w:rPr>
        <w:t xml:space="preserve">, </w:t>
      </w:r>
      <w:r w:rsidRPr="00B51A15">
        <w:rPr>
          <w:rFonts w:cs="Arial"/>
        </w:rPr>
        <w:t>colonia Modelo</w:t>
      </w:r>
      <w:r>
        <w:rPr>
          <w:rFonts w:cs="Arial"/>
        </w:rPr>
        <w:t>;</w:t>
      </w:r>
      <w:r w:rsidRPr="00B51A15">
        <w:rPr>
          <w:rFonts w:cs="Arial"/>
        </w:rPr>
        <w:t xml:space="preserve"> Ruta 2</w:t>
      </w:r>
      <w:r>
        <w:rPr>
          <w:rFonts w:cs="Arial"/>
        </w:rPr>
        <w:t>,</w:t>
      </w:r>
      <w:r w:rsidRPr="00B51A15">
        <w:rPr>
          <w:rFonts w:cs="Arial"/>
        </w:rPr>
        <w:t xml:space="preserve"> Montecarlo</w:t>
      </w:r>
      <w:r>
        <w:rPr>
          <w:rFonts w:cs="Arial"/>
        </w:rPr>
        <w:t>;</w:t>
      </w:r>
      <w:r w:rsidRPr="00B51A15">
        <w:rPr>
          <w:rFonts w:cs="Arial"/>
        </w:rPr>
        <w:t xml:space="preserve"> Ruta 3</w:t>
      </w:r>
      <w:r>
        <w:rPr>
          <w:rFonts w:cs="Arial"/>
        </w:rPr>
        <w:t xml:space="preserve">, colonias </w:t>
      </w:r>
      <w:r w:rsidRPr="00B51A15">
        <w:rPr>
          <w:rFonts w:cs="Arial"/>
        </w:rPr>
        <w:t>Salvatierra, Los Santos y Compostela</w:t>
      </w:r>
      <w:r>
        <w:rPr>
          <w:rFonts w:cs="Arial"/>
        </w:rPr>
        <w:t>;</w:t>
      </w:r>
      <w:r w:rsidRPr="00B51A15">
        <w:rPr>
          <w:rFonts w:cs="Arial"/>
        </w:rPr>
        <w:t xml:space="preserve"> Ruta 4</w:t>
      </w:r>
      <w:r>
        <w:rPr>
          <w:rFonts w:cs="Arial"/>
        </w:rPr>
        <w:t>,</w:t>
      </w:r>
      <w:r w:rsidRPr="00B51A15">
        <w:rPr>
          <w:rFonts w:cs="Arial"/>
        </w:rPr>
        <w:t xml:space="preserve"> </w:t>
      </w:r>
      <w:r>
        <w:rPr>
          <w:rFonts w:cs="Arial"/>
        </w:rPr>
        <w:t>colonias</w:t>
      </w:r>
      <w:r w:rsidRPr="00B51A15">
        <w:rPr>
          <w:rFonts w:cs="Arial"/>
        </w:rPr>
        <w:t xml:space="preserve"> Los Lagos, Vista del Lago</w:t>
      </w:r>
      <w:r>
        <w:rPr>
          <w:rFonts w:cs="Arial"/>
        </w:rPr>
        <w:t>,</w:t>
      </w:r>
      <w:r w:rsidRPr="00B51A15">
        <w:rPr>
          <w:rFonts w:cs="Arial"/>
        </w:rPr>
        <w:t xml:space="preserve"> Casa Grande 1, 2 y 3, </w:t>
      </w:r>
      <w:r>
        <w:rPr>
          <w:rFonts w:cs="Arial"/>
        </w:rPr>
        <w:t>y</w:t>
      </w:r>
      <w:r w:rsidRPr="00B51A15">
        <w:rPr>
          <w:rFonts w:cs="Arial"/>
        </w:rPr>
        <w:t xml:space="preserve"> Puerta Grande</w:t>
      </w:r>
      <w:r>
        <w:rPr>
          <w:rFonts w:cs="Arial"/>
        </w:rPr>
        <w:t>;</w:t>
      </w:r>
      <w:r w:rsidRPr="00B51A15">
        <w:rPr>
          <w:rFonts w:cs="Arial"/>
        </w:rPr>
        <w:t xml:space="preserve"> Ruta 5</w:t>
      </w:r>
      <w:r>
        <w:rPr>
          <w:rFonts w:cs="Arial"/>
        </w:rPr>
        <w:t>,</w:t>
      </w:r>
      <w:r w:rsidRPr="00B51A15">
        <w:rPr>
          <w:rFonts w:cs="Arial"/>
        </w:rPr>
        <w:t xml:space="preserve"> </w:t>
      </w:r>
      <w:r>
        <w:rPr>
          <w:rFonts w:cs="Arial"/>
        </w:rPr>
        <w:t>colonias</w:t>
      </w:r>
      <w:r w:rsidRPr="00B51A15">
        <w:rPr>
          <w:rFonts w:cs="Arial"/>
        </w:rPr>
        <w:t xml:space="preserve"> Campo Grande y Real de Sevilla</w:t>
      </w:r>
      <w:r>
        <w:rPr>
          <w:rFonts w:cs="Arial"/>
        </w:rPr>
        <w:t>;</w:t>
      </w:r>
      <w:r w:rsidRPr="00B51A15">
        <w:rPr>
          <w:rFonts w:cs="Arial"/>
        </w:rPr>
        <w:t xml:space="preserve"> Ruta 6</w:t>
      </w:r>
      <w:r>
        <w:rPr>
          <w:rFonts w:cs="Arial"/>
        </w:rPr>
        <w:t>,</w:t>
      </w:r>
      <w:r w:rsidRPr="00B51A15">
        <w:rPr>
          <w:rFonts w:cs="Arial"/>
        </w:rPr>
        <w:t xml:space="preserve"> Corceles</w:t>
      </w:r>
      <w:r>
        <w:rPr>
          <w:rFonts w:cs="Arial"/>
        </w:rPr>
        <w:t>;</w:t>
      </w:r>
      <w:r w:rsidRPr="00B51A15">
        <w:rPr>
          <w:rFonts w:cs="Arial"/>
        </w:rPr>
        <w:t xml:space="preserve"> Ruta 7</w:t>
      </w:r>
      <w:r>
        <w:rPr>
          <w:rFonts w:cs="Arial"/>
        </w:rPr>
        <w:t>,</w:t>
      </w:r>
      <w:r w:rsidRPr="00B51A15">
        <w:rPr>
          <w:rFonts w:cs="Arial"/>
        </w:rPr>
        <w:t xml:space="preserve"> </w:t>
      </w:r>
      <w:r>
        <w:rPr>
          <w:rFonts w:cs="Arial"/>
        </w:rPr>
        <w:t>colonias</w:t>
      </w:r>
      <w:r w:rsidRPr="00B51A15">
        <w:rPr>
          <w:rFonts w:cs="Arial"/>
        </w:rPr>
        <w:t xml:space="preserve"> Modelo, La Encantada y una calle de Campo Grande</w:t>
      </w:r>
      <w:r>
        <w:rPr>
          <w:rFonts w:cs="Arial"/>
        </w:rPr>
        <w:t>;</w:t>
      </w:r>
      <w:r w:rsidRPr="00B51A15">
        <w:rPr>
          <w:rFonts w:cs="Arial"/>
        </w:rPr>
        <w:t xml:space="preserve"> y la Ruta 8 se extiende </w:t>
      </w:r>
      <w:r>
        <w:rPr>
          <w:rFonts w:cs="Arial"/>
        </w:rPr>
        <w:t>a las colonias</w:t>
      </w:r>
      <w:r w:rsidRPr="00B51A15">
        <w:rPr>
          <w:rFonts w:cs="Arial"/>
        </w:rPr>
        <w:t xml:space="preserve"> Montecarlo, Puerta del Lago, Vista de Lago y Portales</w:t>
      </w:r>
      <w:r>
        <w:rPr>
          <w:rFonts w:cs="Arial"/>
        </w:rPr>
        <w:t>. Se cuenta a</w:t>
      </w:r>
      <w:r w:rsidRPr="00B51A15">
        <w:rPr>
          <w:rFonts w:cs="Arial"/>
        </w:rPr>
        <w:t xml:space="preserve">demás </w:t>
      </w:r>
      <w:r>
        <w:rPr>
          <w:rFonts w:cs="Arial"/>
        </w:rPr>
        <w:t xml:space="preserve">con </w:t>
      </w:r>
      <w:r w:rsidRPr="00B51A15">
        <w:rPr>
          <w:rFonts w:cs="Arial"/>
        </w:rPr>
        <w:t xml:space="preserve">rutas </w:t>
      </w:r>
      <w:r>
        <w:rPr>
          <w:rFonts w:cs="Arial"/>
        </w:rPr>
        <w:t xml:space="preserve">especiales </w:t>
      </w:r>
      <w:r w:rsidRPr="00B51A15">
        <w:rPr>
          <w:rFonts w:cs="Arial"/>
        </w:rPr>
        <w:t>para comercios en</w:t>
      </w:r>
      <w:r>
        <w:rPr>
          <w:rFonts w:cs="Arial"/>
        </w:rPr>
        <w:t xml:space="preserve"> las colonias</w:t>
      </w:r>
      <w:r w:rsidRPr="00B51A15">
        <w:rPr>
          <w:rFonts w:cs="Arial"/>
        </w:rPr>
        <w:t xml:space="preserve"> Paseo de las Misiones y La Coruña.</w:t>
      </w:r>
    </w:p>
    <w:p w14:paraId="5A423D7D" w14:textId="77777777" w:rsidR="00EC118C" w:rsidRDefault="00EC118C" w:rsidP="00B205BA">
      <w:pPr>
        <w:spacing w:after="120" w:line="240" w:lineRule="auto"/>
        <w:rPr>
          <w:rFonts w:cs="Arial"/>
        </w:rPr>
      </w:pPr>
      <w:r>
        <w:rPr>
          <w:rFonts w:cs="Arial"/>
        </w:rPr>
        <w:t>Aunque l</w:t>
      </w:r>
      <w:r w:rsidRPr="0040512D">
        <w:rPr>
          <w:rFonts w:cs="Arial"/>
        </w:rPr>
        <w:t xml:space="preserve">a creación de centros de reciclaje y la implementación de rutas de separación </w:t>
      </w:r>
      <w:r>
        <w:rPr>
          <w:rFonts w:cs="Arial"/>
        </w:rPr>
        <w:t>han demostrado ser</w:t>
      </w:r>
      <w:r w:rsidRPr="0040512D">
        <w:rPr>
          <w:rFonts w:cs="Arial"/>
        </w:rPr>
        <w:t xml:space="preserve"> pasos </w:t>
      </w:r>
      <w:r>
        <w:rPr>
          <w:rFonts w:cs="Arial"/>
        </w:rPr>
        <w:t xml:space="preserve">muy </w:t>
      </w:r>
      <w:r w:rsidRPr="0040512D">
        <w:rPr>
          <w:rFonts w:cs="Arial"/>
        </w:rPr>
        <w:t xml:space="preserve">positivos, es crucial aumentar la participación ciudadana y </w:t>
      </w:r>
      <w:r>
        <w:rPr>
          <w:rFonts w:cs="Arial"/>
        </w:rPr>
        <w:t>ampliar la cobertura de</w:t>
      </w:r>
      <w:r w:rsidRPr="0040512D">
        <w:rPr>
          <w:rFonts w:cs="Arial"/>
        </w:rPr>
        <w:t xml:space="preserve"> estos programas para lograr un impacto más significativo.</w:t>
      </w:r>
    </w:p>
    <w:p w14:paraId="3A3DBC27" w14:textId="77777777" w:rsidR="00EC118C" w:rsidRDefault="00EC118C" w:rsidP="00B205BA">
      <w:pPr>
        <w:spacing w:after="120" w:line="240" w:lineRule="auto"/>
        <w:rPr>
          <w:rFonts w:cs="Arial"/>
        </w:rPr>
      </w:pPr>
      <w:r>
        <w:rPr>
          <w:rFonts w:cs="Arial"/>
        </w:rPr>
        <w:t>De acuerdo con la</w:t>
      </w:r>
      <w:r w:rsidRPr="00FF21F4">
        <w:rPr>
          <w:rFonts w:cs="Arial"/>
        </w:rPr>
        <w:t xml:space="preserve"> Dirección de Sanidad y Limpia</w:t>
      </w:r>
      <w:r>
        <w:rPr>
          <w:rFonts w:cs="Arial"/>
        </w:rPr>
        <w:t>,</w:t>
      </w:r>
      <w:r w:rsidRPr="00FF21F4">
        <w:rPr>
          <w:rFonts w:cs="Arial"/>
        </w:rPr>
        <w:t xml:space="preserve"> </w:t>
      </w:r>
      <w:r>
        <w:rPr>
          <w:rFonts w:cs="Arial"/>
        </w:rPr>
        <w:t>responsable</w:t>
      </w:r>
      <w:r w:rsidRPr="00FF21F4">
        <w:rPr>
          <w:rFonts w:cs="Arial"/>
        </w:rPr>
        <w:t xml:space="preserve"> de la limpieza de calles, avenidas y espacios públicos</w:t>
      </w:r>
      <w:r>
        <w:rPr>
          <w:rFonts w:cs="Arial"/>
        </w:rPr>
        <w:t xml:space="preserve"> en el municipio de Hermosillo</w:t>
      </w:r>
      <w:r w:rsidRPr="00FF21F4">
        <w:rPr>
          <w:rFonts w:cs="Arial"/>
        </w:rPr>
        <w:t xml:space="preserve">, </w:t>
      </w:r>
      <w:r>
        <w:rPr>
          <w:rFonts w:cs="Arial"/>
        </w:rPr>
        <w:t>gracias a este esquema se ha recogido un acumulado de</w:t>
      </w:r>
      <w:r w:rsidRPr="00FF21F4">
        <w:rPr>
          <w:rFonts w:cs="Arial"/>
        </w:rPr>
        <w:t xml:space="preserve"> 9130</w:t>
      </w:r>
      <w:r>
        <w:rPr>
          <w:rFonts w:cs="Arial"/>
        </w:rPr>
        <w:t xml:space="preserve"> </w:t>
      </w:r>
      <w:r w:rsidRPr="00FF21F4">
        <w:rPr>
          <w:rFonts w:cs="Arial"/>
        </w:rPr>
        <w:t>toneladas de basura</w:t>
      </w:r>
      <w:r>
        <w:rPr>
          <w:rFonts w:cs="Arial"/>
        </w:rPr>
        <w:t>,</w:t>
      </w:r>
      <w:r w:rsidRPr="00FF21F4">
        <w:rPr>
          <w:rFonts w:cs="Arial"/>
        </w:rPr>
        <w:t xml:space="preserve"> </w:t>
      </w:r>
      <w:r>
        <w:rPr>
          <w:rFonts w:cs="Arial"/>
        </w:rPr>
        <w:t>en beneficio de</w:t>
      </w:r>
      <w:r w:rsidRPr="00FF21F4">
        <w:rPr>
          <w:rFonts w:cs="Arial"/>
        </w:rPr>
        <w:t xml:space="preserve"> la imagen de la ciudad. </w:t>
      </w:r>
      <w:r>
        <w:rPr>
          <w:rFonts w:cs="Arial"/>
        </w:rPr>
        <w:t xml:space="preserve">Así mismo, a través de las </w:t>
      </w:r>
      <w:r w:rsidRPr="001220E9">
        <w:rPr>
          <w:rFonts w:cs="Arial"/>
        </w:rPr>
        <w:t xml:space="preserve">jornadas </w:t>
      </w:r>
      <w:r w:rsidRPr="00FF21F4">
        <w:rPr>
          <w:rFonts w:cs="Arial"/>
        </w:rPr>
        <w:t xml:space="preserve">de descacharre </w:t>
      </w:r>
      <w:r>
        <w:rPr>
          <w:rFonts w:cs="Arial"/>
        </w:rPr>
        <w:t xml:space="preserve">se </w:t>
      </w:r>
      <w:r w:rsidRPr="00FF21F4">
        <w:rPr>
          <w:rFonts w:cs="Arial"/>
        </w:rPr>
        <w:t>recolecta</w:t>
      </w:r>
      <w:r>
        <w:rPr>
          <w:rFonts w:cs="Arial"/>
        </w:rPr>
        <w:t>ron</w:t>
      </w:r>
      <w:r w:rsidRPr="00FF21F4">
        <w:rPr>
          <w:rFonts w:cs="Arial"/>
        </w:rPr>
        <w:t xml:space="preserve"> </w:t>
      </w:r>
      <w:r>
        <w:rPr>
          <w:rFonts w:cs="Arial"/>
        </w:rPr>
        <w:t xml:space="preserve">más de </w:t>
      </w:r>
      <w:r w:rsidRPr="00FF21F4">
        <w:rPr>
          <w:rFonts w:cs="Arial"/>
        </w:rPr>
        <w:t>10</w:t>
      </w:r>
      <w:r>
        <w:rPr>
          <w:rFonts w:cs="Arial"/>
        </w:rPr>
        <w:t xml:space="preserve"> 500</w:t>
      </w:r>
      <w:r w:rsidRPr="00FF21F4">
        <w:rPr>
          <w:rFonts w:cs="Arial"/>
        </w:rPr>
        <w:t xml:space="preserve"> toneladas de objetos en desuso, lo que </w:t>
      </w:r>
      <w:r>
        <w:rPr>
          <w:rFonts w:cs="Arial"/>
        </w:rPr>
        <w:t>ayuda a prevenir la generación de</w:t>
      </w:r>
      <w:r w:rsidRPr="00FF21F4">
        <w:rPr>
          <w:rFonts w:cs="Arial"/>
        </w:rPr>
        <w:t xml:space="preserve"> focos de infección y la formación de basureros clandestinos</w:t>
      </w:r>
      <w:r>
        <w:rPr>
          <w:rFonts w:cs="Arial"/>
        </w:rPr>
        <w:t xml:space="preserve">. </w:t>
      </w:r>
    </w:p>
    <w:p w14:paraId="6D67F28A" w14:textId="77777777" w:rsidR="00EC118C" w:rsidRDefault="00EC118C" w:rsidP="00B205BA">
      <w:pPr>
        <w:spacing w:after="120" w:line="240" w:lineRule="auto"/>
        <w:rPr>
          <w:rFonts w:cs="Arial"/>
        </w:rPr>
      </w:pPr>
      <w:r>
        <w:rPr>
          <w:rFonts w:cs="Arial"/>
        </w:rPr>
        <w:t>En este mismo esfuerzo, se llevó a cabo l</w:t>
      </w:r>
      <w:r w:rsidRPr="0040512D">
        <w:rPr>
          <w:rFonts w:cs="Arial"/>
        </w:rPr>
        <w:t xml:space="preserve">a limpieza de </w:t>
      </w:r>
      <w:r>
        <w:rPr>
          <w:rFonts w:cs="Arial"/>
        </w:rPr>
        <w:t xml:space="preserve">40 </w:t>
      </w:r>
      <w:r w:rsidRPr="0040512D">
        <w:rPr>
          <w:rFonts w:cs="Arial"/>
        </w:rPr>
        <w:t>canales y arroyos</w:t>
      </w:r>
      <w:r>
        <w:rPr>
          <w:rFonts w:cs="Arial"/>
        </w:rPr>
        <w:t>, una acción</w:t>
      </w:r>
      <w:r w:rsidRPr="0040512D">
        <w:rPr>
          <w:rFonts w:cs="Arial"/>
        </w:rPr>
        <w:t xml:space="preserve"> vital para </w:t>
      </w:r>
      <w:r>
        <w:rPr>
          <w:rFonts w:cs="Arial"/>
        </w:rPr>
        <w:t>prevenir</w:t>
      </w:r>
      <w:r w:rsidRPr="0040512D">
        <w:rPr>
          <w:rFonts w:cs="Arial"/>
        </w:rPr>
        <w:t xml:space="preserve"> inundaciones y </w:t>
      </w:r>
      <w:r>
        <w:rPr>
          <w:rFonts w:cs="Arial"/>
        </w:rPr>
        <w:t xml:space="preserve">mitigar </w:t>
      </w:r>
      <w:r w:rsidRPr="0040512D">
        <w:rPr>
          <w:rFonts w:cs="Arial"/>
        </w:rPr>
        <w:t xml:space="preserve">la proliferación de vectores de enfermedades. La recolección de </w:t>
      </w:r>
      <w:r>
        <w:rPr>
          <w:rFonts w:cs="Arial"/>
        </w:rPr>
        <w:t>alrededor de 3500</w:t>
      </w:r>
      <w:r w:rsidRPr="0040512D">
        <w:rPr>
          <w:rFonts w:cs="Arial"/>
        </w:rPr>
        <w:t xml:space="preserve"> toneladas de basura en estos espacios demuestra un enfoque proactivo en la gestión de riesgos ambientales</w:t>
      </w:r>
      <w:r>
        <w:rPr>
          <w:rFonts w:cs="Arial"/>
        </w:rPr>
        <w:t>. P</w:t>
      </w:r>
      <w:r w:rsidRPr="00FF21F4">
        <w:rPr>
          <w:rFonts w:cs="Arial"/>
        </w:rPr>
        <w:t xml:space="preserve">ara </w:t>
      </w:r>
      <w:r>
        <w:rPr>
          <w:rFonts w:cs="Arial"/>
        </w:rPr>
        <w:t xml:space="preserve">reforzar y continuar con la </w:t>
      </w:r>
      <w:r w:rsidRPr="00FF21F4">
        <w:rPr>
          <w:rFonts w:cs="Arial"/>
        </w:rPr>
        <w:t>mejora</w:t>
      </w:r>
      <w:r>
        <w:rPr>
          <w:rFonts w:cs="Arial"/>
        </w:rPr>
        <w:t xml:space="preserve"> en este rubro, el municipio cuenta con</w:t>
      </w:r>
      <w:r w:rsidRPr="00FF21F4">
        <w:rPr>
          <w:rFonts w:cs="Arial"/>
        </w:rPr>
        <w:t xml:space="preserve"> 11 </w:t>
      </w:r>
      <w:r>
        <w:rPr>
          <w:rFonts w:cs="Arial"/>
        </w:rPr>
        <w:t xml:space="preserve">nuevas </w:t>
      </w:r>
      <w:r w:rsidRPr="00FF21F4">
        <w:rPr>
          <w:rFonts w:cs="Arial"/>
        </w:rPr>
        <w:t xml:space="preserve">barredoras eléctricas </w:t>
      </w:r>
      <w:r>
        <w:rPr>
          <w:rFonts w:cs="Arial"/>
        </w:rPr>
        <w:t>y mantiene en operación el Programa Patrulla Verde.</w:t>
      </w:r>
      <w:r w:rsidRPr="006F69EC">
        <w:rPr>
          <w:rFonts w:cs="Arial"/>
        </w:rPr>
        <w:t xml:space="preserve"> </w:t>
      </w:r>
    </w:p>
    <w:p w14:paraId="286B2D40" w14:textId="3B4B1C7C" w:rsidR="00EC118C" w:rsidRPr="00EC118C" w:rsidRDefault="00EC118C" w:rsidP="00B205BA">
      <w:pPr>
        <w:spacing w:after="120" w:line="240" w:lineRule="auto"/>
        <w:rPr>
          <w:rFonts w:cs="Arial"/>
        </w:rPr>
      </w:pPr>
      <w:r>
        <w:rPr>
          <w:rFonts w:cs="Arial"/>
        </w:rPr>
        <w:t xml:space="preserve">Todas estas acciones </w:t>
      </w:r>
      <w:r w:rsidRPr="00FF21F4">
        <w:rPr>
          <w:rFonts w:cs="Arial"/>
        </w:rPr>
        <w:t>contribuye</w:t>
      </w:r>
      <w:r>
        <w:rPr>
          <w:rFonts w:cs="Arial"/>
        </w:rPr>
        <w:t>n</w:t>
      </w:r>
      <w:r w:rsidRPr="00FF21F4">
        <w:rPr>
          <w:rFonts w:cs="Arial"/>
        </w:rPr>
        <w:t xml:space="preserve"> a una mejor imagen de la ciudad, </w:t>
      </w:r>
      <w:r>
        <w:rPr>
          <w:rFonts w:cs="Arial"/>
        </w:rPr>
        <w:t>a</w:t>
      </w:r>
      <w:r w:rsidRPr="00FF21F4">
        <w:rPr>
          <w:rFonts w:cs="Arial"/>
        </w:rPr>
        <w:t xml:space="preserve"> la salud pública y </w:t>
      </w:r>
      <w:r>
        <w:rPr>
          <w:rFonts w:cs="Arial"/>
        </w:rPr>
        <w:t>al</w:t>
      </w:r>
      <w:r w:rsidRPr="00FF21F4">
        <w:rPr>
          <w:rFonts w:cs="Arial"/>
        </w:rPr>
        <w:t xml:space="preserve"> bienestar de </w:t>
      </w:r>
      <w:r>
        <w:rPr>
          <w:rFonts w:cs="Arial"/>
        </w:rPr>
        <w:t>los hermosillenses</w:t>
      </w:r>
      <w:r w:rsidRPr="00FF21F4">
        <w:rPr>
          <w:rFonts w:cs="Arial"/>
        </w:rPr>
        <w:t>.</w:t>
      </w:r>
    </w:p>
    <w:p w14:paraId="32B3B27D" w14:textId="1C517DBC" w:rsidR="00EC118C" w:rsidRPr="00A033CE" w:rsidRDefault="00EC118C" w:rsidP="00B205BA">
      <w:pPr>
        <w:spacing w:after="120" w:line="240" w:lineRule="auto"/>
        <w:rPr>
          <w:rFonts w:cs="Arial"/>
          <w:b/>
          <w:bCs/>
        </w:rPr>
      </w:pPr>
      <w:r w:rsidRPr="00A033CE">
        <w:rPr>
          <w:rFonts w:cs="Arial"/>
          <w:b/>
          <w:bCs/>
        </w:rPr>
        <w:t>Áreas verdes</w:t>
      </w:r>
      <w:r w:rsidR="00261A27" w:rsidRPr="00A033CE">
        <w:rPr>
          <w:rFonts w:cs="Arial"/>
          <w:b/>
          <w:bCs/>
        </w:rPr>
        <w:t>.</w:t>
      </w:r>
    </w:p>
    <w:p w14:paraId="6AB5E85F" w14:textId="3E2ADFE8" w:rsidR="00EC118C" w:rsidRPr="00F15563" w:rsidRDefault="00EC118C" w:rsidP="00B205BA">
      <w:pPr>
        <w:spacing w:after="120" w:line="240" w:lineRule="auto"/>
        <w:rPr>
          <w:rFonts w:cs="Arial"/>
          <w:b/>
          <w:bCs/>
        </w:rPr>
      </w:pPr>
      <w:r w:rsidRPr="00225D46">
        <w:rPr>
          <w:rFonts w:cs="Arial"/>
        </w:rPr>
        <w:t>Las sequías prolongadas y el aumento de temperaturas</w:t>
      </w:r>
      <w:r>
        <w:rPr>
          <w:rFonts w:cs="Arial"/>
        </w:rPr>
        <w:t xml:space="preserve"> como efecto del cambio climático</w:t>
      </w:r>
      <w:r w:rsidRPr="00225D46">
        <w:rPr>
          <w:rFonts w:cs="Arial"/>
        </w:rPr>
        <w:t xml:space="preserve"> han </w:t>
      </w:r>
      <w:r>
        <w:rPr>
          <w:rFonts w:cs="Arial"/>
        </w:rPr>
        <w:t>propiciado</w:t>
      </w:r>
      <w:r w:rsidRPr="00225D46">
        <w:rPr>
          <w:rFonts w:cs="Arial"/>
        </w:rPr>
        <w:t xml:space="preserve"> </w:t>
      </w:r>
      <w:r>
        <w:rPr>
          <w:rFonts w:cs="Arial"/>
        </w:rPr>
        <w:t xml:space="preserve">el estrés y </w:t>
      </w:r>
      <w:r w:rsidRPr="00225D46">
        <w:rPr>
          <w:rFonts w:cs="Arial"/>
        </w:rPr>
        <w:t xml:space="preserve">la propagación de enfermedades </w:t>
      </w:r>
      <w:r>
        <w:rPr>
          <w:rFonts w:cs="Arial"/>
        </w:rPr>
        <w:t>en</w:t>
      </w:r>
      <w:r w:rsidRPr="00225D46">
        <w:rPr>
          <w:rFonts w:cs="Arial"/>
        </w:rPr>
        <w:t xml:space="preserve"> las especies de árboles no nativos</w:t>
      </w:r>
      <w:r>
        <w:rPr>
          <w:rFonts w:cs="Arial"/>
        </w:rPr>
        <w:t xml:space="preserve"> en el municipio</w:t>
      </w:r>
      <w:r w:rsidRPr="00225D46">
        <w:rPr>
          <w:rFonts w:cs="Arial"/>
        </w:rPr>
        <w:t>. Antiguamente, Hermosillo contaba con abundante agua, lo que permitía mantener árboles de grandes dimensiones; sin embargo, el cambio climático ha impactado negativamente</w:t>
      </w:r>
      <w:r>
        <w:rPr>
          <w:rFonts w:cs="Arial"/>
        </w:rPr>
        <w:t xml:space="preserve">, disminuyendo </w:t>
      </w:r>
      <w:r w:rsidRPr="00225D46">
        <w:rPr>
          <w:rFonts w:cs="Arial"/>
        </w:rPr>
        <w:t>el arbolado urbano.</w:t>
      </w:r>
      <w:r>
        <w:rPr>
          <w:rFonts w:cs="Arial"/>
        </w:rPr>
        <w:t xml:space="preserve"> Ante este reto, e</w:t>
      </w:r>
      <w:r w:rsidRPr="00225D46">
        <w:rPr>
          <w:rFonts w:cs="Arial"/>
        </w:rPr>
        <w:t xml:space="preserve">n los últimos </w:t>
      </w:r>
      <w:r w:rsidRPr="00225D46">
        <w:rPr>
          <w:rFonts w:cs="Arial"/>
        </w:rPr>
        <w:lastRenderedPageBreak/>
        <w:t>tres años se foresta</w:t>
      </w:r>
      <w:r>
        <w:rPr>
          <w:rFonts w:cs="Arial"/>
        </w:rPr>
        <w:t>r</w:t>
      </w:r>
      <w:r w:rsidRPr="00225D46">
        <w:rPr>
          <w:rFonts w:cs="Arial"/>
        </w:rPr>
        <w:t>o</w:t>
      </w:r>
      <w:r>
        <w:rPr>
          <w:rFonts w:cs="Arial"/>
        </w:rPr>
        <w:t>n</w:t>
      </w:r>
      <w:r w:rsidRPr="00225D46">
        <w:rPr>
          <w:rFonts w:cs="Arial"/>
        </w:rPr>
        <w:t xml:space="preserve"> y reforesta</w:t>
      </w:r>
      <w:r>
        <w:rPr>
          <w:rFonts w:cs="Arial"/>
        </w:rPr>
        <w:t>r</w:t>
      </w:r>
      <w:r w:rsidRPr="00225D46">
        <w:rPr>
          <w:rFonts w:cs="Arial"/>
        </w:rPr>
        <w:t>o</w:t>
      </w:r>
      <w:r>
        <w:rPr>
          <w:rFonts w:cs="Arial"/>
        </w:rPr>
        <w:t>n</w:t>
      </w:r>
      <w:r w:rsidRPr="00225D46">
        <w:rPr>
          <w:rFonts w:cs="Arial"/>
        </w:rPr>
        <w:t xml:space="preserve"> más de 21</w:t>
      </w:r>
      <w:r>
        <w:rPr>
          <w:rFonts w:cs="Arial"/>
        </w:rPr>
        <w:t xml:space="preserve"> </w:t>
      </w:r>
      <w:r w:rsidRPr="00225D46">
        <w:rPr>
          <w:rFonts w:cs="Arial"/>
        </w:rPr>
        <w:t xml:space="preserve">900 árboles nativos y más de 3500 </w:t>
      </w:r>
      <w:r>
        <w:rPr>
          <w:rFonts w:cs="Arial"/>
        </w:rPr>
        <w:t xml:space="preserve">árboles </w:t>
      </w:r>
      <w:r w:rsidRPr="00225D46">
        <w:rPr>
          <w:rFonts w:cs="Arial"/>
        </w:rPr>
        <w:t xml:space="preserve">no nativos. </w:t>
      </w:r>
    </w:p>
    <w:p w14:paraId="5FA0762D" w14:textId="77777777" w:rsidR="00EC118C" w:rsidRPr="00632B19" w:rsidRDefault="00EC118C" w:rsidP="00B205BA">
      <w:pPr>
        <w:spacing w:after="120" w:line="240" w:lineRule="auto"/>
        <w:rPr>
          <w:rFonts w:cs="Arial"/>
        </w:rPr>
      </w:pPr>
      <w:r>
        <w:rPr>
          <w:rFonts w:cs="Arial"/>
        </w:rPr>
        <w:t>Para</w:t>
      </w:r>
      <w:r w:rsidRPr="00632B19">
        <w:rPr>
          <w:rFonts w:cs="Arial"/>
        </w:rPr>
        <w:t xml:space="preserve"> 2023, Hermosillo </w:t>
      </w:r>
      <w:r>
        <w:rPr>
          <w:rFonts w:cs="Arial"/>
        </w:rPr>
        <w:t>alcanzó</w:t>
      </w:r>
      <w:r w:rsidRPr="00632B19">
        <w:rPr>
          <w:rFonts w:cs="Arial"/>
        </w:rPr>
        <w:t xml:space="preserve"> una cobertura vegetal de 62.3</w:t>
      </w:r>
      <w:r>
        <w:rPr>
          <w:rFonts w:cs="Arial"/>
        </w:rPr>
        <w:t xml:space="preserve"> </w:t>
      </w:r>
      <w:r w:rsidRPr="00632B19">
        <w:rPr>
          <w:rFonts w:cs="Arial"/>
        </w:rPr>
        <w:t xml:space="preserve">%, </w:t>
      </w:r>
      <w:r>
        <w:rPr>
          <w:rFonts w:cs="Arial"/>
        </w:rPr>
        <w:t xml:space="preserve">cifra </w:t>
      </w:r>
      <w:r w:rsidRPr="00632B19">
        <w:rPr>
          <w:rFonts w:cs="Arial"/>
        </w:rPr>
        <w:t>que representa un incremento de 2.1</w:t>
      </w:r>
      <w:r>
        <w:rPr>
          <w:rFonts w:cs="Arial"/>
        </w:rPr>
        <w:t xml:space="preserve"> </w:t>
      </w:r>
      <w:r w:rsidRPr="00632B19">
        <w:rPr>
          <w:rFonts w:cs="Arial"/>
        </w:rPr>
        <w:t xml:space="preserve">% en comparación con 2020. Este crecimiento se debe en gran parte a donaciones masivas que </w:t>
      </w:r>
      <w:r>
        <w:rPr>
          <w:rFonts w:cs="Arial"/>
        </w:rPr>
        <w:t>permitieron</w:t>
      </w:r>
      <w:r w:rsidRPr="00632B19">
        <w:rPr>
          <w:rFonts w:cs="Arial"/>
        </w:rPr>
        <w:t xml:space="preserve"> la plantación de </w:t>
      </w:r>
      <w:r>
        <w:rPr>
          <w:rFonts w:cs="Arial"/>
        </w:rPr>
        <w:t>más de 4300</w:t>
      </w:r>
      <w:r w:rsidRPr="00632B19">
        <w:rPr>
          <w:rFonts w:cs="Arial"/>
        </w:rPr>
        <w:t xml:space="preserve"> árboles en 17 jornadas. </w:t>
      </w:r>
      <w:r>
        <w:rPr>
          <w:rFonts w:cs="Arial"/>
        </w:rPr>
        <w:t>Hoy, l</w:t>
      </w:r>
      <w:r w:rsidRPr="00632B19">
        <w:rPr>
          <w:rFonts w:cs="Arial"/>
        </w:rPr>
        <w:t>a ciudad cuenta con 852 parques, 18 más que el año anterior, y 1086 áreas verdes, lo que se traduce en un total de 5.6 km² de espacios verdes, equivalentes a 5.9 m² por persona.</w:t>
      </w:r>
    </w:p>
    <w:p w14:paraId="29E28B3E" w14:textId="77777777" w:rsidR="00EC118C" w:rsidRPr="00632B19" w:rsidRDefault="00EC118C" w:rsidP="00B205BA">
      <w:pPr>
        <w:spacing w:after="120" w:line="240" w:lineRule="auto"/>
        <w:rPr>
          <w:rFonts w:cs="Arial"/>
        </w:rPr>
      </w:pPr>
      <w:r w:rsidRPr="00632B19">
        <w:rPr>
          <w:rFonts w:cs="Arial"/>
        </w:rPr>
        <w:t xml:space="preserve">A pesar de estos avances, </w:t>
      </w:r>
      <w:r>
        <w:rPr>
          <w:rFonts w:cs="Arial"/>
        </w:rPr>
        <w:t>en el estudio</w:t>
      </w:r>
      <w:r w:rsidRPr="00632B19">
        <w:rPr>
          <w:rFonts w:cs="Arial"/>
        </w:rPr>
        <w:t xml:space="preserve"> </w:t>
      </w:r>
      <w:r w:rsidRPr="000635AB">
        <w:rPr>
          <w:rFonts w:cs="Arial"/>
          <w:i/>
          <w:iCs/>
        </w:rPr>
        <w:t>Rethinking Hermosillo</w:t>
      </w:r>
      <w:r w:rsidRPr="00632B19">
        <w:rPr>
          <w:rFonts w:cs="Arial"/>
        </w:rPr>
        <w:t xml:space="preserve"> </w:t>
      </w:r>
      <w:r>
        <w:rPr>
          <w:rFonts w:cs="Arial"/>
        </w:rPr>
        <w:t xml:space="preserve">se </w:t>
      </w:r>
      <w:r w:rsidRPr="00632B19">
        <w:rPr>
          <w:rFonts w:cs="Arial"/>
        </w:rPr>
        <w:t xml:space="preserve">señala que en realidad hay solo 2.1 m² de áreas verdes por habitante, lo que está significativamente por debajo de la recomendación de la OMS </w:t>
      </w:r>
      <w:r>
        <w:rPr>
          <w:rFonts w:cs="Arial"/>
        </w:rPr>
        <w:t>(</w:t>
      </w:r>
      <w:r w:rsidRPr="00632B19">
        <w:rPr>
          <w:rFonts w:cs="Arial"/>
        </w:rPr>
        <w:t>10 m²</w:t>
      </w:r>
      <w:r>
        <w:rPr>
          <w:rFonts w:cs="Arial"/>
        </w:rPr>
        <w:t xml:space="preserve"> por habitante). El documento reporta que c</w:t>
      </w:r>
      <w:r w:rsidRPr="00632B19">
        <w:rPr>
          <w:rFonts w:cs="Arial"/>
        </w:rPr>
        <w:t xml:space="preserve">uatro de cada diez habitantes están a menos de 10 minutos a pie de un área verde calificada, cuando la OMS sugiere que al menos cinco de cada diez deberían </w:t>
      </w:r>
      <w:r>
        <w:rPr>
          <w:rFonts w:cs="Arial"/>
        </w:rPr>
        <w:t>contar con</w:t>
      </w:r>
      <w:r w:rsidRPr="00632B19">
        <w:rPr>
          <w:rFonts w:cs="Arial"/>
        </w:rPr>
        <w:t xml:space="preserve"> ese acceso.</w:t>
      </w:r>
    </w:p>
    <w:p w14:paraId="12FF03D7" w14:textId="271A1930" w:rsidR="00EC118C" w:rsidRDefault="00EC118C" w:rsidP="00B205BA">
      <w:pPr>
        <w:spacing w:after="120" w:line="240" w:lineRule="auto"/>
        <w:rPr>
          <w:rFonts w:cs="Arial"/>
        </w:rPr>
      </w:pPr>
      <w:r w:rsidRPr="00632B19">
        <w:rPr>
          <w:rFonts w:cs="Arial"/>
        </w:rPr>
        <w:t xml:space="preserve">Para abordar </w:t>
      </w:r>
      <w:r>
        <w:rPr>
          <w:rFonts w:cs="Arial"/>
        </w:rPr>
        <w:t xml:space="preserve">adecuadamente </w:t>
      </w:r>
      <w:r w:rsidRPr="00632B19">
        <w:rPr>
          <w:rFonts w:cs="Arial"/>
        </w:rPr>
        <w:t xml:space="preserve">estas deficiencias, se ha rehabilitado un vivero municipal con el </w:t>
      </w:r>
      <w:r>
        <w:rPr>
          <w:rFonts w:cs="Arial"/>
        </w:rPr>
        <w:t>que se incrementará</w:t>
      </w:r>
      <w:r w:rsidRPr="00632B19">
        <w:rPr>
          <w:rFonts w:cs="Arial"/>
        </w:rPr>
        <w:t xml:space="preserve"> la producción de plantas nativas, </w:t>
      </w:r>
      <w:r>
        <w:rPr>
          <w:rFonts w:cs="Arial"/>
        </w:rPr>
        <w:t>lo que permitirá la promoción de</w:t>
      </w:r>
      <w:r w:rsidRPr="00632B19">
        <w:rPr>
          <w:rFonts w:cs="Arial"/>
        </w:rPr>
        <w:t xml:space="preserve"> una mayor reforestación</w:t>
      </w:r>
      <w:r>
        <w:rPr>
          <w:rFonts w:cs="Arial"/>
        </w:rPr>
        <w:t xml:space="preserve"> para </w:t>
      </w:r>
      <w:r w:rsidRPr="00632B19">
        <w:rPr>
          <w:rFonts w:cs="Arial"/>
        </w:rPr>
        <w:t>ayudar a cerrar la brecha en la disponibilidad de áreas verdes</w:t>
      </w:r>
      <w:r>
        <w:rPr>
          <w:rFonts w:cs="Arial"/>
        </w:rPr>
        <w:t>. Como</w:t>
      </w:r>
      <w:r w:rsidRPr="00632B19">
        <w:rPr>
          <w:rFonts w:cs="Arial"/>
        </w:rPr>
        <w:t xml:space="preserve"> resultado</w:t>
      </w:r>
      <w:r>
        <w:rPr>
          <w:rFonts w:cs="Arial"/>
        </w:rPr>
        <w:t xml:space="preserve"> de esta iniciativa, ya se han producido</w:t>
      </w:r>
      <w:r w:rsidRPr="00632B19">
        <w:rPr>
          <w:rFonts w:cs="Arial"/>
        </w:rPr>
        <w:t xml:space="preserve"> 30</w:t>
      </w:r>
      <w:r>
        <w:rPr>
          <w:rFonts w:cs="Arial"/>
        </w:rPr>
        <w:t xml:space="preserve"> </w:t>
      </w:r>
      <w:r w:rsidRPr="00632B19">
        <w:rPr>
          <w:rFonts w:cs="Arial"/>
        </w:rPr>
        <w:t>000 plantas</w:t>
      </w:r>
      <w:r>
        <w:rPr>
          <w:rFonts w:cs="Arial"/>
        </w:rPr>
        <w:t>,</w:t>
      </w:r>
      <w:r w:rsidRPr="00632B19">
        <w:rPr>
          <w:rFonts w:cs="Arial"/>
        </w:rPr>
        <w:t xml:space="preserve"> que han sido donadas a la comunidad y utilizadas para reforestar la ciudad</w:t>
      </w:r>
      <w:r>
        <w:rPr>
          <w:rFonts w:cs="Arial"/>
        </w:rPr>
        <w:t xml:space="preserve"> </w:t>
      </w:r>
      <w:r w:rsidRPr="00632B19">
        <w:rPr>
          <w:rFonts w:cs="Arial"/>
        </w:rPr>
        <w:t>y, potencialmente, mejora</w:t>
      </w:r>
      <w:r>
        <w:rPr>
          <w:rFonts w:cs="Arial"/>
        </w:rPr>
        <w:t>r</w:t>
      </w:r>
      <w:r w:rsidRPr="00632B19">
        <w:rPr>
          <w:rFonts w:cs="Arial"/>
        </w:rPr>
        <w:t xml:space="preserve"> la calidad del aire y la biodiversidad local.</w:t>
      </w:r>
    </w:p>
    <w:p w14:paraId="5C4313AA" w14:textId="7D515150" w:rsidR="00EC118C" w:rsidRPr="00A033CE" w:rsidRDefault="00EC118C" w:rsidP="00B205BA">
      <w:pPr>
        <w:spacing w:after="120" w:line="240" w:lineRule="auto"/>
        <w:rPr>
          <w:rFonts w:cs="Arial"/>
          <w:b/>
          <w:bCs/>
        </w:rPr>
      </w:pPr>
      <w:r w:rsidRPr="00A033CE">
        <w:rPr>
          <w:rFonts w:cs="Arial"/>
          <w:b/>
          <w:bCs/>
        </w:rPr>
        <w:t>Panteones</w:t>
      </w:r>
      <w:r w:rsidR="00261A27" w:rsidRPr="00A033CE">
        <w:rPr>
          <w:rFonts w:cs="Arial"/>
          <w:b/>
          <w:bCs/>
        </w:rPr>
        <w:t>.</w:t>
      </w:r>
    </w:p>
    <w:p w14:paraId="4C3AE3EF" w14:textId="50DF97DD" w:rsidR="00EC118C" w:rsidRPr="00EC118C" w:rsidRDefault="00EC118C" w:rsidP="00B205BA">
      <w:pPr>
        <w:spacing w:after="120" w:line="240" w:lineRule="auto"/>
        <w:rPr>
          <w:rFonts w:cs="Arial"/>
        </w:rPr>
      </w:pPr>
      <w:r w:rsidRPr="00614367">
        <w:rPr>
          <w:rFonts w:cs="Arial"/>
        </w:rPr>
        <w:t>Hermosillo cuenta actualmente con cinco panteones</w:t>
      </w:r>
      <w:r>
        <w:rPr>
          <w:rFonts w:cs="Arial"/>
        </w:rPr>
        <w:t xml:space="preserve"> municipales</w:t>
      </w:r>
      <w:r w:rsidRPr="00614367">
        <w:rPr>
          <w:rFonts w:cs="Arial"/>
        </w:rPr>
        <w:t xml:space="preserve">: el Panteón </w:t>
      </w:r>
      <w:r>
        <w:rPr>
          <w:rFonts w:cs="Arial"/>
        </w:rPr>
        <w:t>El</w:t>
      </w:r>
      <w:r w:rsidRPr="00614367">
        <w:rPr>
          <w:rFonts w:cs="Arial"/>
        </w:rPr>
        <w:t xml:space="preserve"> Sahuaro, con 55</w:t>
      </w:r>
      <w:r>
        <w:rPr>
          <w:rFonts w:cs="Arial"/>
        </w:rPr>
        <w:t xml:space="preserve"> </w:t>
      </w:r>
      <w:r w:rsidRPr="00614367">
        <w:rPr>
          <w:rFonts w:cs="Arial"/>
        </w:rPr>
        <w:t>038 lápidas; el Panteón Palo Verde, con 10</w:t>
      </w:r>
      <w:r>
        <w:rPr>
          <w:rFonts w:cs="Arial"/>
        </w:rPr>
        <w:t xml:space="preserve"> </w:t>
      </w:r>
      <w:r w:rsidRPr="00614367">
        <w:rPr>
          <w:rFonts w:cs="Arial"/>
        </w:rPr>
        <w:t>167 criptas; el Panteón La Manga, con 1816; y el Panteón San Agustín, con 37</w:t>
      </w:r>
      <w:r>
        <w:rPr>
          <w:rFonts w:cs="Arial"/>
        </w:rPr>
        <w:t xml:space="preserve"> </w:t>
      </w:r>
      <w:r w:rsidRPr="00614367">
        <w:rPr>
          <w:rFonts w:cs="Arial"/>
        </w:rPr>
        <w:t xml:space="preserve">167 lápidas. Estos panteones han alcanzado su capacidad, lo que llevó a la creación del Panteón Norte. </w:t>
      </w:r>
      <w:r>
        <w:rPr>
          <w:rFonts w:cs="Arial"/>
        </w:rPr>
        <w:t>En este, se</w:t>
      </w:r>
      <w:r w:rsidRPr="00614367">
        <w:rPr>
          <w:rFonts w:cs="Arial"/>
        </w:rPr>
        <w:t xml:space="preserve"> planea </w:t>
      </w:r>
      <w:r>
        <w:rPr>
          <w:rFonts w:cs="Arial"/>
        </w:rPr>
        <w:t>preparar</w:t>
      </w:r>
      <w:r w:rsidRPr="00614367">
        <w:rPr>
          <w:rFonts w:cs="Arial"/>
        </w:rPr>
        <w:t xml:space="preserve"> 30 fosas mensuales, </w:t>
      </w:r>
      <w:r>
        <w:rPr>
          <w:rFonts w:cs="Arial"/>
        </w:rPr>
        <w:t>y hasta ahora se han preparado</w:t>
      </w:r>
      <w:r w:rsidRPr="00614367">
        <w:rPr>
          <w:rFonts w:cs="Arial"/>
        </w:rPr>
        <w:t xml:space="preserve"> 291 espacios nuevos.</w:t>
      </w:r>
      <w:r w:rsidRPr="00225D46">
        <w:rPr>
          <w:rFonts w:cs="Arial"/>
        </w:rPr>
        <w:t xml:space="preserve"> También se </w:t>
      </w:r>
      <w:r>
        <w:rPr>
          <w:rFonts w:cs="Arial"/>
        </w:rPr>
        <w:t>inauguró</w:t>
      </w:r>
      <w:r w:rsidRPr="00225D46">
        <w:rPr>
          <w:rFonts w:cs="Arial"/>
        </w:rPr>
        <w:t xml:space="preserve"> un </w:t>
      </w:r>
      <w:r>
        <w:rPr>
          <w:rFonts w:cs="Arial"/>
        </w:rPr>
        <w:t>espacio para nichos</w:t>
      </w:r>
      <w:r w:rsidRPr="00225D46">
        <w:rPr>
          <w:rFonts w:cs="Arial"/>
        </w:rPr>
        <w:t xml:space="preserve"> en el Panteón </w:t>
      </w:r>
      <w:r>
        <w:rPr>
          <w:rFonts w:cs="Arial"/>
        </w:rPr>
        <w:t xml:space="preserve">El </w:t>
      </w:r>
      <w:r w:rsidRPr="00225D46">
        <w:rPr>
          <w:rFonts w:cs="Arial"/>
        </w:rPr>
        <w:t xml:space="preserve">Sahuaro, </w:t>
      </w:r>
      <w:r>
        <w:rPr>
          <w:rFonts w:cs="Arial"/>
        </w:rPr>
        <w:t>con</w:t>
      </w:r>
      <w:r w:rsidRPr="00225D46">
        <w:rPr>
          <w:rFonts w:cs="Arial"/>
        </w:rPr>
        <w:t xml:space="preserve"> capacidad para 740 nichos, </w:t>
      </w:r>
      <w:r w:rsidRPr="00EC118C">
        <w:rPr>
          <w:rFonts w:cs="Arial"/>
        </w:rPr>
        <w:t xml:space="preserve">de los cuales 580 ya están disponibles. </w:t>
      </w:r>
    </w:p>
    <w:p w14:paraId="0A471EBF" w14:textId="33A956DC" w:rsidR="00EC118C" w:rsidRPr="00A033CE" w:rsidRDefault="00EC118C" w:rsidP="00B205BA">
      <w:pPr>
        <w:spacing w:after="120" w:line="240" w:lineRule="auto"/>
        <w:rPr>
          <w:rFonts w:cs="Arial"/>
          <w:b/>
          <w:bCs/>
        </w:rPr>
      </w:pPr>
      <w:r w:rsidRPr="00A033CE">
        <w:rPr>
          <w:rFonts w:cs="Arial"/>
          <w:b/>
          <w:bCs/>
        </w:rPr>
        <w:t>Protección y bienestar animal</w:t>
      </w:r>
      <w:r w:rsidR="00261A27" w:rsidRPr="00A033CE">
        <w:rPr>
          <w:rFonts w:cs="Arial"/>
          <w:b/>
          <w:bCs/>
        </w:rPr>
        <w:t>.</w:t>
      </w:r>
    </w:p>
    <w:p w14:paraId="0EA45B9E" w14:textId="2CD1E39C" w:rsidR="00EC118C" w:rsidRDefault="00EC118C" w:rsidP="00B205BA">
      <w:pPr>
        <w:spacing w:after="120" w:line="240" w:lineRule="auto"/>
        <w:rPr>
          <w:rFonts w:cs="Arial"/>
        </w:rPr>
      </w:pPr>
      <w:r>
        <w:rPr>
          <w:rFonts w:cs="Arial"/>
        </w:rPr>
        <w:t>De acuerdo con</w:t>
      </w:r>
      <w:r w:rsidRPr="00225D46">
        <w:rPr>
          <w:rFonts w:cs="Arial"/>
        </w:rPr>
        <w:t xml:space="preserve"> el INEGI, </w:t>
      </w:r>
      <w:r>
        <w:rPr>
          <w:rFonts w:cs="Arial"/>
        </w:rPr>
        <w:t>en México existen</w:t>
      </w:r>
      <w:r w:rsidRPr="00225D46">
        <w:rPr>
          <w:rFonts w:cs="Arial"/>
        </w:rPr>
        <w:t xml:space="preserve"> aproximadamente 23 millones de perros y gatos, pero solo 30</w:t>
      </w:r>
      <w:r>
        <w:rPr>
          <w:rFonts w:cs="Arial"/>
        </w:rPr>
        <w:t xml:space="preserve"> </w:t>
      </w:r>
      <w:r w:rsidRPr="00225D46">
        <w:rPr>
          <w:rFonts w:cs="Arial"/>
        </w:rPr>
        <w:t>%</w:t>
      </w:r>
      <w:r>
        <w:rPr>
          <w:rFonts w:cs="Arial"/>
        </w:rPr>
        <w:t xml:space="preserve"> de ellos</w:t>
      </w:r>
      <w:r w:rsidRPr="00225D46">
        <w:rPr>
          <w:rFonts w:cs="Arial"/>
        </w:rPr>
        <w:t xml:space="preserve"> tienen un hogar. </w:t>
      </w:r>
      <w:r>
        <w:rPr>
          <w:rFonts w:cs="Arial"/>
        </w:rPr>
        <w:t xml:space="preserve">Sin embargo, </w:t>
      </w:r>
      <w:r w:rsidRPr="00EC118C">
        <w:rPr>
          <w:rFonts w:cs="Arial"/>
        </w:rPr>
        <w:t>el Índice de Mascotas sin Hogar estima en alrededor de 27.9 millones el número de perros y gatos que viven en la calle, lo que representa una tercera parte de los 88 millones de animales de compañía</w:t>
      </w:r>
      <w:r>
        <w:rPr>
          <w:rFonts w:cs="Arial"/>
        </w:rPr>
        <w:t xml:space="preserve"> que, según este índice, viven</w:t>
      </w:r>
      <w:r w:rsidRPr="00225D46">
        <w:rPr>
          <w:rFonts w:cs="Arial"/>
        </w:rPr>
        <w:t xml:space="preserve"> en el país. Entre los motivos de abandono, 4 de cada 10 personas mencionan el alto compromiso que requieren</w:t>
      </w:r>
      <w:r>
        <w:rPr>
          <w:rFonts w:cs="Arial"/>
        </w:rPr>
        <w:t xml:space="preserve"> los animales;</w:t>
      </w:r>
      <w:r w:rsidRPr="00225D46">
        <w:rPr>
          <w:rFonts w:cs="Arial"/>
        </w:rPr>
        <w:t xml:space="preserve"> 3 de cada 10</w:t>
      </w:r>
      <w:r>
        <w:rPr>
          <w:rFonts w:cs="Arial"/>
        </w:rPr>
        <w:t xml:space="preserve"> lo atribuyen a la</w:t>
      </w:r>
      <w:r w:rsidRPr="00225D46">
        <w:rPr>
          <w:rFonts w:cs="Arial"/>
        </w:rPr>
        <w:t xml:space="preserve"> falta de espacio en sus hogares. En departamentos, 64</w:t>
      </w:r>
      <w:r>
        <w:rPr>
          <w:rFonts w:cs="Arial"/>
        </w:rPr>
        <w:t xml:space="preserve"> </w:t>
      </w:r>
      <w:r w:rsidRPr="00225D46">
        <w:rPr>
          <w:rFonts w:cs="Arial"/>
        </w:rPr>
        <w:t>% considera difícil tener un perro, y el 51</w:t>
      </w:r>
      <w:r>
        <w:rPr>
          <w:rFonts w:cs="Arial"/>
        </w:rPr>
        <w:t xml:space="preserve"> </w:t>
      </w:r>
      <w:r w:rsidRPr="00225D46">
        <w:rPr>
          <w:rFonts w:cs="Arial"/>
        </w:rPr>
        <w:t xml:space="preserve">% </w:t>
      </w:r>
      <w:r>
        <w:rPr>
          <w:rFonts w:cs="Arial"/>
        </w:rPr>
        <w:t>cree eso mismo</w:t>
      </w:r>
      <w:r w:rsidRPr="00225D46">
        <w:rPr>
          <w:rFonts w:cs="Arial"/>
        </w:rPr>
        <w:t xml:space="preserve"> respecto a los gatos.</w:t>
      </w:r>
    </w:p>
    <w:p w14:paraId="525B7C03" w14:textId="77777777" w:rsidR="00EC118C" w:rsidRDefault="00EC118C" w:rsidP="00B205BA">
      <w:pPr>
        <w:spacing w:after="120" w:line="240" w:lineRule="auto"/>
        <w:rPr>
          <w:rFonts w:cs="Arial"/>
        </w:rPr>
      </w:pPr>
      <w:r w:rsidRPr="0040512D">
        <w:rPr>
          <w:rFonts w:cs="Arial"/>
        </w:rPr>
        <w:t>Las estadísticas sobre animales en situación de calle son alarmantes</w:t>
      </w:r>
      <w:r>
        <w:rPr>
          <w:rFonts w:cs="Arial"/>
        </w:rPr>
        <w:t>,</w:t>
      </w:r>
      <w:r w:rsidRPr="0040512D">
        <w:rPr>
          <w:rFonts w:cs="Arial"/>
        </w:rPr>
        <w:t xml:space="preserve"> y sugieren que se requieren más esfuerzos en la adopción y cuidado responsable de mascotas</w:t>
      </w:r>
      <w:r>
        <w:rPr>
          <w:rFonts w:cs="Arial"/>
        </w:rPr>
        <w:t>. Ante este escenario, e</w:t>
      </w:r>
      <w:r w:rsidRPr="00225D46">
        <w:rPr>
          <w:rFonts w:cs="Arial"/>
        </w:rPr>
        <w:t>n 2022 se estableció el Instituto Municipal de Protección y Bienestar Animal,</w:t>
      </w:r>
      <w:r>
        <w:rPr>
          <w:rFonts w:cs="Arial"/>
        </w:rPr>
        <w:t xml:space="preserve"> mediante el cual se aborda el gran desafío de </w:t>
      </w:r>
      <w:r w:rsidRPr="00865175">
        <w:rPr>
          <w:rFonts w:cs="Arial"/>
        </w:rPr>
        <w:t>la alta población de mascotas sin hogar</w:t>
      </w:r>
      <w:r>
        <w:rPr>
          <w:rFonts w:cs="Arial"/>
        </w:rPr>
        <w:t>; también, la mejora de</w:t>
      </w:r>
      <w:r w:rsidRPr="00865175">
        <w:rPr>
          <w:rFonts w:cs="Arial"/>
        </w:rPr>
        <w:t xml:space="preserve"> </w:t>
      </w:r>
      <w:r>
        <w:rPr>
          <w:rFonts w:cs="Arial"/>
        </w:rPr>
        <w:t>la disponibilidad de</w:t>
      </w:r>
      <w:r w:rsidRPr="00865175">
        <w:rPr>
          <w:rFonts w:cs="Arial"/>
        </w:rPr>
        <w:t xml:space="preserve"> recursos para</w:t>
      </w:r>
      <w:r>
        <w:rPr>
          <w:rFonts w:cs="Arial"/>
        </w:rPr>
        <w:t xml:space="preserve"> su</w:t>
      </w:r>
      <w:r w:rsidRPr="00865175">
        <w:rPr>
          <w:rFonts w:cs="Arial"/>
        </w:rPr>
        <w:t xml:space="preserve"> bienestar</w:t>
      </w:r>
      <w:r>
        <w:rPr>
          <w:rFonts w:cs="Arial"/>
        </w:rPr>
        <w:t>. De ahí surge el área de oportunidad de la expansión de las instalaciones, así como del fortalecimiento de la promoción de la adopción.</w:t>
      </w:r>
    </w:p>
    <w:p w14:paraId="1AB16119" w14:textId="77777777" w:rsidR="00EC118C" w:rsidRPr="00612E2D" w:rsidRDefault="00EC118C" w:rsidP="00B205BA">
      <w:pPr>
        <w:spacing w:after="120" w:line="240" w:lineRule="auto"/>
        <w:rPr>
          <w:rFonts w:cs="Arial"/>
        </w:rPr>
      </w:pPr>
      <w:r w:rsidRPr="002820D2">
        <w:rPr>
          <w:rFonts w:cs="Arial"/>
        </w:rPr>
        <w:t xml:space="preserve">Hermosillo tiene la oportunidad de mejorar significativamente su gestión hacia un desarrollo sostenible a largo plazo. Con un enfoque en la innovación, </w:t>
      </w:r>
      <w:r>
        <w:rPr>
          <w:rFonts w:cs="Arial"/>
        </w:rPr>
        <w:t xml:space="preserve">en </w:t>
      </w:r>
      <w:r w:rsidRPr="002820D2">
        <w:rPr>
          <w:rFonts w:cs="Arial"/>
        </w:rPr>
        <w:t>la educación y la colaboración comunitaria, pueden abordar</w:t>
      </w:r>
      <w:r>
        <w:rPr>
          <w:rFonts w:cs="Arial"/>
        </w:rPr>
        <w:t>se</w:t>
      </w:r>
      <w:r w:rsidRPr="002820D2">
        <w:rPr>
          <w:rFonts w:cs="Arial"/>
        </w:rPr>
        <w:t xml:space="preserve"> </w:t>
      </w:r>
      <w:r>
        <w:rPr>
          <w:rFonts w:cs="Arial"/>
        </w:rPr>
        <w:t xml:space="preserve">efectivamente </w:t>
      </w:r>
      <w:r w:rsidRPr="002820D2">
        <w:rPr>
          <w:rFonts w:cs="Arial"/>
        </w:rPr>
        <w:t xml:space="preserve">los desafíos actuales en </w:t>
      </w:r>
      <w:r>
        <w:rPr>
          <w:rFonts w:cs="Arial"/>
        </w:rPr>
        <w:t xml:space="preserve">materia de </w:t>
      </w:r>
      <w:r w:rsidRPr="002820D2">
        <w:rPr>
          <w:rFonts w:cs="Arial"/>
        </w:rPr>
        <w:lastRenderedPageBreak/>
        <w:t>recolección de residuos, reciclaje y mantenimiento de áreas verdes. Esto mejorará la calidad de vida de los ciudadanos</w:t>
      </w:r>
      <w:r>
        <w:rPr>
          <w:rFonts w:cs="Arial"/>
        </w:rPr>
        <w:t xml:space="preserve"> y</w:t>
      </w:r>
      <w:r w:rsidRPr="002820D2">
        <w:rPr>
          <w:rFonts w:cs="Arial"/>
        </w:rPr>
        <w:t xml:space="preserve"> contribuirá a</w:t>
      </w:r>
      <w:r>
        <w:rPr>
          <w:rFonts w:cs="Arial"/>
        </w:rPr>
        <w:t xml:space="preserve"> alcanzar</w:t>
      </w:r>
      <w:r w:rsidRPr="002820D2">
        <w:rPr>
          <w:rFonts w:cs="Arial"/>
        </w:rPr>
        <w:t xml:space="preserve"> los </w:t>
      </w:r>
      <w:r>
        <w:rPr>
          <w:rFonts w:cs="Arial"/>
        </w:rPr>
        <w:t>Objetivos de Desarrollo Sostenible</w:t>
      </w:r>
      <w:r w:rsidRPr="002820D2">
        <w:rPr>
          <w:rFonts w:cs="Arial"/>
        </w:rPr>
        <w:t>, promoviendo un entorno más saludable y seguro para todos.</w:t>
      </w:r>
    </w:p>
    <w:p w14:paraId="06422040" w14:textId="0B15A7D9" w:rsidR="00EC118C" w:rsidRPr="00A033CE" w:rsidRDefault="00EC118C" w:rsidP="00B205BA">
      <w:pPr>
        <w:pStyle w:val="NormalWeb"/>
        <w:spacing w:before="0" w:beforeAutospacing="0" w:after="120" w:afterAutospacing="0"/>
        <w:jc w:val="both"/>
        <w:rPr>
          <w:rFonts w:ascii="Arial" w:hAnsi="Arial" w:cs="Arial"/>
          <w:b/>
          <w:bCs/>
          <w:sz w:val="22"/>
          <w:szCs w:val="28"/>
        </w:rPr>
      </w:pPr>
      <w:r w:rsidRPr="00A033CE">
        <w:rPr>
          <w:rFonts w:ascii="Arial" w:hAnsi="Arial" w:cs="Arial"/>
          <w:b/>
          <w:bCs/>
          <w:sz w:val="22"/>
          <w:szCs w:val="28"/>
        </w:rPr>
        <w:t>El agua en Hermosillo</w:t>
      </w:r>
      <w:r w:rsidR="00261A27" w:rsidRPr="00A033CE">
        <w:rPr>
          <w:rFonts w:ascii="Arial" w:hAnsi="Arial" w:cs="Arial"/>
          <w:b/>
          <w:bCs/>
          <w:sz w:val="22"/>
          <w:szCs w:val="28"/>
        </w:rPr>
        <w:t>.</w:t>
      </w:r>
    </w:p>
    <w:p w14:paraId="49CCA100" w14:textId="77777777" w:rsidR="00A033CE" w:rsidRDefault="00EC118C" w:rsidP="00A033CE">
      <w:pPr>
        <w:pStyle w:val="NormalWeb"/>
        <w:spacing w:before="0" w:beforeAutospacing="0" w:after="120" w:afterAutospacing="0"/>
        <w:jc w:val="both"/>
        <w:rPr>
          <w:rFonts w:ascii="Arial" w:hAnsi="Arial" w:cs="Arial"/>
          <w:sz w:val="22"/>
          <w:szCs w:val="28"/>
        </w:rPr>
      </w:pPr>
      <w:r w:rsidRPr="00800874">
        <w:rPr>
          <w:rFonts w:ascii="Arial" w:hAnsi="Arial" w:cs="Arial"/>
          <w:sz w:val="22"/>
          <w:szCs w:val="28"/>
        </w:rPr>
        <w:t>Según el Censo de Población y Vivienda 2020</w:t>
      </w:r>
      <w:r>
        <w:rPr>
          <w:rFonts w:ascii="Arial" w:hAnsi="Arial" w:cs="Arial"/>
          <w:sz w:val="22"/>
          <w:szCs w:val="28"/>
        </w:rPr>
        <w:t xml:space="preserve"> del INEGI</w:t>
      </w:r>
      <w:r w:rsidRPr="00800874">
        <w:rPr>
          <w:rFonts w:ascii="Arial" w:hAnsi="Arial" w:cs="Arial"/>
          <w:sz w:val="22"/>
          <w:szCs w:val="28"/>
        </w:rPr>
        <w:t xml:space="preserve">, </w:t>
      </w:r>
      <w:r>
        <w:rPr>
          <w:rFonts w:ascii="Arial" w:hAnsi="Arial" w:cs="Arial"/>
          <w:sz w:val="22"/>
          <w:szCs w:val="28"/>
        </w:rPr>
        <w:t>un poco más del</w:t>
      </w:r>
      <w:r w:rsidRPr="00800874">
        <w:rPr>
          <w:rFonts w:ascii="Arial" w:hAnsi="Arial" w:cs="Arial"/>
          <w:sz w:val="22"/>
          <w:szCs w:val="28"/>
        </w:rPr>
        <w:t xml:space="preserve"> </w:t>
      </w:r>
      <w:r>
        <w:rPr>
          <w:rFonts w:ascii="Arial" w:hAnsi="Arial" w:cs="Arial"/>
          <w:sz w:val="22"/>
          <w:szCs w:val="28"/>
        </w:rPr>
        <w:t>99</w:t>
      </w:r>
      <w:r w:rsidRPr="00800874">
        <w:rPr>
          <w:rFonts w:ascii="Arial" w:hAnsi="Arial" w:cs="Arial"/>
          <w:sz w:val="22"/>
          <w:szCs w:val="28"/>
        </w:rPr>
        <w:t xml:space="preserve"> </w:t>
      </w:r>
      <w:r>
        <w:rPr>
          <w:rFonts w:ascii="Arial" w:hAnsi="Arial" w:cs="Arial"/>
          <w:sz w:val="22"/>
          <w:szCs w:val="28"/>
        </w:rPr>
        <w:t>%</w:t>
      </w:r>
      <w:r w:rsidRPr="00800874">
        <w:rPr>
          <w:rFonts w:ascii="Arial" w:hAnsi="Arial" w:cs="Arial"/>
          <w:sz w:val="22"/>
          <w:szCs w:val="28"/>
        </w:rPr>
        <w:t xml:space="preserve"> de las viviendas particulares habitadas en </w:t>
      </w:r>
      <w:r>
        <w:rPr>
          <w:rFonts w:ascii="Arial" w:hAnsi="Arial" w:cs="Arial"/>
          <w:sz w:val="22"/>
          <w:szCs w:val="28"/>
        </w:rPr>
        <w:t>el municipio</w:t>
      </w:r>
      <w:r w:rsidRPr="00800874">
        <w:rPr>
          <w:rFonts w:ascii="Arial" w:hAnsi="Arial" w:cs="Arial"/>
          <w:sz w:val="22"/>
          <w:szCs w:val="28"/>
        </w:rPr>
        <w:t xml:space="preserve"> cuentan con servicio de agua entubada; es decir, un total de 275</w:t>
      </w:r>
      <w:r>
        <w:rPr>
          <w:rFonts w:ascii="Arial" w:hAnsi="Arial" w:cs="Arial"/>
          <w:sz w:val="22"/>
          <w:szCs w:val="28"/>
        </w:rPr>
        <w:t xml:space="preserve"> </w:t>
      </w:r>
      <w:r w:rsidRPr="00800874">
        <w:rPr>
          <w:rFonts w:ascii="Arial" w:hAnsi="Arial" w:cs="Arial"/>
          <w:sz w:val="22"/>
          <w:szCs w:val="28"/>
        </w:rPr>
        <w:t>869 viviendas. De este universo, 98</w:t>
      </w:r>
      <w:r>
        <w:rPr>
          <w:rFonts w:ascii="Arial" w:hAnsi="Arial" w:cs="Arial"/>
          <w:sz w:val="22"/>
          <w:szCs w:val="28"/>
        </w:rPr>
        <w:t xml:space="preserve"> % </w:t>
      </w:r>
      <w:r w:rsidRPr="00800874">
        <w:rPr>
          <w:rFonts w:ascii="Arial" w:hAnsi="Arial" w:cs="Arial"/>
          <w:sz w:val="22"/>
          <w:szCs w:val="28"/>
        </w:rPr>
        <w:t xml:space="preserve">del servicio es </w:t>
      </w:r>
      <w:r>
        <w:rPr>
          <w:rFonts w:ascii="Arial" w:hAnsi="Arial" w:cs="Arial"/>
          <w:sz w:val="22"/>
          <w:szCs w:val="28"/>
        </w:rPr>
        <w:t>suministrado</w:t>
      </w:r>
      <w:r w:rsidRPr="00800874">
        <w:rPr>
          <w:rFonts w:ascii="Arial" w:hAnsi="Arial" w:cs="Arial"/>
          <w:sz w:val="22"/>
          <w:szCs w:val="28"/>
        </w:rPr>
        <w:t xml:space="preserve"> por el Organismo Operador de Agua de Hermosillo a un total de 270</w:t>
      </w:r>
      <w:r>
        <w:rPr>
          <w:rFonts w:ascii="Arial" w:hAnsi="Arial" w:cs="Arial"/>
          <w:sz w:val="22"/>
          <w:szCs w:val="28"/>
        </w:rPr>
        <w:t xml:space="preserve"> </w:t>
      </w:r>
      <w:r w:rsidRPr="00800874">
        <w:rPr>
          <w:rFonts w:ascii="Arial" w:hAnsi="Arial" w:cs="Arial"/>
          <w:sz w:val="22"/>
          <w:szCs w:val="28"/>
        </w:rPr>
        <w:t xml:space="preserve">533 viviendas. En cuestión de disponibilidad de drenaje, 98.6 </w:t>
      </w:r>
      <w:r>
        <w:rPr>
          <w:rFonts w:ascii="Arial" w:hAnsi="Arial" w:cs="Arial"/>
          <w:sz w:val="22"/>
          <w:szCs w:val="28"/>
        </w:rPr>
        <w:t>%</w:t>
      </w:r>
      <w:r w:rsidRPr="00800874">
        <w:rPr>
          <w:rFonts w:ascii="Arial" w:hAnsi="Arial" w:cs="Arial"/>
          <w:sz w:val="22"/>
          <w:szCs w:val="28"/>
        </w:rPr>
        <w:t xml:space="preserve"> disponen de este servicio</w:t>
      </w:r>
      <w:r>
        <w:rPr>
          <w:rFonts w:ascii="Arial" w:hAnsi="Arial" w:cs="Arial"/>
          <w:sz w:val="22"/>
          <w:szCs w:val="28"/>
        </w:rPr>
        <w:t xml:space="preserve"> en el municipio</w:t>
      </w:r>
      <w:r w:rsidRPr="00800874">
        <w:rPr>
          <w:rFonts w:ascii="Arial" w:hAnsi="Arial" w:cs="Arial"/>
          <w:sz w:val="22"/>
          <w:szCs w:val="28"/>
        </w:rPr>
        <w:t>.</w:t>
      </w:r>
    </w:p>
    <w:p w14:paraId="670C6401" w14:textId="77777777" w:rsidR="00A033CE" w:rsidRDefault="00EC118C" w:rsidP="00A033CE">
      <w:pPr>
        <w:pStyle w:val="NormalWeb"/>
        <w:spacing w:before="0" w:beforeAutospacing="0" w:after="120" w:afterAutospacing="0"/>
        <w:jc w:val="both"/>
        <w:rPr>
          <w:rFonts w:ascii="Arial" w:hAnsi="Arial" w:cs="Arial"/>
          <w:sz w:val="22"/>
          <w:szCs w:val="28"/>
        </w:rPr>
      </w:pPr>
      <w:r w:rsidRPr="001952C7">
        <w:rPr>
          <w:rFonts w:ascii="Arial" w:hAnsi="Arial" w:cs="Arial"/>
          <w:sz w:val="22"/>
          <w:szCs w:val="28"/>
        </w:rPr>
        <w:t xml:space="preserve">Ante la declaración de emergencia hídrica en el estado de Sonora, provocada por la escasez de agua en las cuencas hidrológicas, Hermosillo se encuentra en condiciones de sequía excepcional (D4) para 2024. En este contexto, el suministro de agua a la ciudad y </w:t>
      </w:r>
      <w:r>
        <w:rPr>
          <w:rFonts w:ascii="Arial" w:hAnsi="Arial" w:cs="Arial"/>
          <w:sz w:val="22"/>
          <w:szCs w:val="28"/>
        </w:rPr>
        <w:t xml:space="preserve">a </w:t>
      </w:r>
      <w:r w:rsidRPr="001952C7">
        <w:rPr>
          <w:rFonts w:ascii="Arial" w:hAnsi="Arial" w:cs="Arial"/>
          <w:sz w:val="22"/>
          <w:szCs w:val="28"/>
        </w:rPr>
        <w:t xml:space="preserve">la zona rural </w:t>
      </w:r>
      <w:r>
        <w:rPr>
          <w:rFonts w:ascii="Arial" w:hAnsi="Arial" w:cs="Arial"/>
          <w:sz w:val="22"/>
          <w:szCs w:val="28"/>
        </w:rPr>
        <w:t xml:space="preserve">del municipio </w:t>
      </w:r>
      <w:r w:rsidRPr="001952C7">
        <w:rPr>
          <w:rFonts w:ascii="Arial" w:hAnsi="Arial" w:cs="Arial"/>
          <w:sz w:val="22"/>
          <w:szCs w:val="28"/>
        </w:rPr>
        <w:t>se realiza de manera continua las 24 horas, a través de 110 pozos profundos y agua superficial proveniente de la presa "El Novillo"</w:t>
      </w:r>
      <w:r>
        <w:rPr>
          <w:rFonts w:ascii="Arial" w:hAnsi="Arial" w:cs="Arial"/>
          <w:sz w:val="22"/>
          <w:szCs w:val="28"/>
        </w:rPr>
        <w:t>.</w:t>
      </w:r>
      <w:r w:rsidRPr="001952C7">
        <w:rPr>
          <w:rFonts w:ascii="Arial" w:hAnsi="Arial" w:cs="Arial"/>
          <w:sz w:val="22"/>
          <w:szCs w:val="28"/>
        </w:rPr>
        <w:t xml:space="preserve"> </w:t>
      </w:r>
      <w:r>
        <w:rPr>
          <w:rFonts w:ascii="Arial" w:hAnsi="Arial" w:cs="Arial"/>
          <w:sz w:val="22"/>
          <w:szCs w:val="28"/>
        </w:rPr>
        <w:t>La</w:t>
      </w:r>
      <w:r w:rsidRPr="001952C7">
        <w:rPr>
          <w:rFonts w:ascii="Arial" w:hAnsi="Arial" w:cs="Arial"/>
          <w:sz w:val="22"/>
          <w:szCs w:val="28"/>
        </w:rPr>
        <w:t xml:space="preserve"> producción total </w:t>
      </w:r>
      <w:r>
        <w:rPr>
          <w:rFonts w:ascii="Arial" w:hAnsi="Arial" w:cs="Arial"/>
          <w:sz w:val="22"/>
          <w:szCs w:val="28"/>
        </w:rPr>
        <w:t xml:space="preserve">de este esfuerzo </w:t>
      </w:r>
      <w:r w:rsidRPr="001952C7">
        <w:rPr>
          <w:rFonts w:ascii="Arial" w:hAnsi="Arial" w:cs="Arial"/>
          <w:sz w:val="22"/>
          <w:szCs w:val="28"/>
        </w:rPr>
        <w:t xml:space="preserve">oscila entre 137 y 140 millones de metros cúbicos al año, </w:t>
      </w:r>
      <w:r>
        <w:rPr>
          <w:rFonts w:ascii="Arial" w:hAnsi="Arial" w:cs="Arial"/>
          <w:sz w:val="22"/>
          <w:szCs w:val="28"/>
        </w:rPr>
        <w:t>distribuidos a través</w:t>
      </w:r>
      <w:r w:rsidRPr="001952C7">
        <w:rPr>
          <w:rFonts w:ascii="Arial" w:hAnsi="Arial" w:cs="Arial"/>
          <w:sz w:val="22"/>
          <w:szCs w:val="28"/>
        </w:rPr>
        <w:t xml:space="preserve"> de 337</w:t>
      </w:r>
      <w:r>
        <w:rPr>
          <w:rFonts w:ascii="Arial" w:hAnsi="Arial" w:cs="Arial"/>
          <w:sz w:val="22"/>
          <w:szCs w:val="28"/>
        </w:rPr>
        <w:t xml:space="preserve"> </w:t>
      </w:r>
      <w:r w:rsidRPr="001952C7">
        <w:rPr>
          <w:rFonts w:ascii="Arial" w:hAnsi="Arial" w:cs="Arial"/>
          <w:sz w:val="22"/>
          <w:szCs w:val="28"/>
        </w:rPr>
        <w:t>000 tomas domiciliarias.</w:t>
      </w:r>
    </w:p>
    <w:p w14:paraId="0BE76D1D" w14:textId="77777777" w:rsidR="00A033CE" w:rsidRDefault="00EC118C" w:rsidP="00A033CE">
      <w:pPr>
        <w:pStyle w:val="NormalWeb"/>
        <w:spacing w:before="0" w:beforeAutospacing="0" w:after="120" w:afterAutospacing="0"/>
        <w:jc w:val="both"/>
        <w:rPr>
          <w:rFonts w:ascii="Arial" w:hAnsi="Arial" w:cs="Arial"/>
          <w:sz w:val="22"/>
          <w:szCs w:val="28"/>
        </w:rPr>
      </w:pPr>
      <w:r w:rsidRPr="001952C7">
        <w:rPr>
          <w:rFonts w:ascii="Arial" w:hAnsi="Arial" w:cs="Arial"/>
          <w:sz w:val="22"/>
          <w:szCs w:val="28"/>
        </w:rPr>
        <w:t xml:space="preserve">La infraestructura del sistema de agua potable de Hermosillo está compuesta por 580.6 </w:t>
      </w:r>
      <w:r>
        <w:rPr>
          <w:rFonts w:ascii="Arial" w:hAnsi="Arial" w:cs="Arial"/>
          <w:sz w:val="22"/>
          <w:szCs w:val="28"/>
        </w:rPr>
        <w:t>km</w:t>
      </w:r>
      <w:r w:rsidRPr="001952C7">
        <w:rPr>
          <w:rFonts w:ascii="Arial" w:hAnsi="Arial" w:cs="Arial"/>
          <w:sz w:val="22"/>
          <w:szCs w:val="28"/>
        </w:rPr>
        <w:t xml:space="preserve"> de tubería de conducción, 42 tanques de almacenamiento con una capacidad de 88</w:t>
      </w:r>
      <w:r>
        <w:rPr>
          <w:rFonts w:ascii="Arial" w:hAnsi="Arial" w:cs="Arial"/>
          <w:sz w:val="22"/>
          <w:szCs w:val="28"/>
        </w:rPr>
        <w:t xml:space="preserve"> </w:t>
      </w:r>
      <w:r w:rsidRPr="001952C7">
        <w:rPr>
          <w:rFonts w:ascii="Arial" w:hAnsi="Arial" w:cs="Arial"/>
          <w:sz w:val="22"/>
          <w:szCs w:val="28"/>
        </w:rPr>
        <w:t>620 m³ (en su mayoría</w:t>
      </w:r>
      <w:r>
        <w:rPr>
          <w:rFonts w:ascii="Arial" w:hAnsi="Arial" w:cs="Arial"/>
          <w:sz w:val="22"/>
          <w:szCs w:val="28"/>
        </w:rPr>
        <w:t>,</w:t>
      </w:r>
      <w:r w:rsidRPr="001952C7">
        <w:rPr>
          <w:rFonts w:ascii="Arial" w:hAnsi="Arial" w:cs="Arial"/>
          <w:sz w:val="22"/>
          <w:szCs w:val="28"/>
        </w:rPr>
        <w:t xml:space="preserve"> con riesgo estructural debido a su antigüedad), 12 estaciones de rebombeo y 3008.1 km de red de distribución</w:t>
      </w:r>
      <w:r>
        <w:rPr>
          <w:rFonts w:ascii="Arial" w:hAnsi="Arial" w:cs="Arial"/>
          <w:sz w:val="22"/>
          <w:szCs w:val="28"/>
        </w:rPr>
        <w:t>. De estos,</w:t>
      </w:r>
      <w:r w:rsidRPr="001952C7">
        <w:rPr>
          <w:rFonts w:ascii="Arial" w:hAnsi="Arial" w:cs="Arial"/>
          <w:sz w:val="22"/>
          <w:szCs w:val="28"/>
        </w:rPr>
        <w:t xml:space="preserve"> 47</w:t>
      </w:r>
      <w:r>
        <w:rPr>
          <w:rFonts w:ascii="Arial" w:hAnsi="Arial" w:cs="Arial"/>
          <w:sz w:val="22"/>
          <w:szCs w:val="28"/>
        </w:rPr>
        <w:t xml:space="preserve"> </w:t>
      </w:r>
      <w:r w:rsidRPr="001952C7">
        <w:rPr>
          <w:rFonts w:ascii="Arial" w:hAnsi="Arial" w:cs="Arial"/>
          <w:sz w:val="22"/>
          <w:szCs w:val="28"/>
        </w:rPr>
        <w:t xml:space="preserve">% tienen más de 25 años de antigüedad, lo que </w:t>
      </w:r>
      <w:r>
        <w:rPr>
          <w:rFonts w:ascii="Arial" w:hAnsi="Arial" w:cs="Arial"/>
          <w:sz w:val="22"/>
          <w:szCs w:val="28"/>
        </w:rPr>
        <w:t>es causa de</w:t>
      </w:r>
      <w:r w:rsidRPr="001952C7">
        <w:rPr>
          <w:rFonts w:ascii="Arial" w:hAnsi="Arial" w:cs="Arial"/>
          <w:sz w:val="22"/>
          <w:szCs w:val="28"/>
        </w:rPr>
        <w:t xml:space="preserve"> fugas frecuentes. Alrededor de 1832 fugas son reportadas y atendidas mensualmente, con una alta tasa de efectividad en su resolución.</w:t>
      </w:r>
    </w:p>
    <w:p w14:paraId="2C768CAD" w14:textId="77777777" w:rsidR="00287CF8" w:rsidRDefault="00EC118C" w:rsidP="00287CF8">
      <w:pPr>
        <w:pStyle w:val="NormalWeb"/>
        <w:spacing w:before="0" w:beforeAutospacing="0" w:after="120" w:afterAutospacing="0"/>
        <w:jc w:val="both"/>
        <w:rPr>
          <w:rFonts w:ascii="Arial" w:hAnsi="Arial" w:cs="Arial"/>
          <w:sz w:val="22"/>
          <w:szCs w:val="28"/>
        </w:rPr>
      </w:pPr>
      <w:r w:rsidRPr="001952C7">
        <w:rPr>
          <w:rFonts w:ascii="Arial" w:hAnsi="Arial" w:cs="Arial"/>
          <w:sz w:val="22"/>
          <w:szCs w:val="28"/>
        </w:rPr>
        <w:t xml:space="preserve">En cuanto al sistema de alcantarillado sanitario, </w:t>
      </w:r>
      <w:r>
        <w:rPr>
          <w:rFonts w:ascii="Arial" w:hAnsi="Arial" w:cs="Arial"/>
          <w:sz w:val="22"/>
          <w:szCs w:val="28"/>
        </w:rPr>
        <w:t>el municipio</w:t>
      </w:r>
      <w:r w:rsidRPr="001952C7">
        <w:rPr>
          <w:rFonts w:ascii="Arial" w:hAnsi="Arial" w:cs="Arial"/>
          <w:sz w:val="22"/>
          <w:szCs w:val="28"/>
        </w:rPr>
        <w:t xml:space="preserve"> cuenta con una red de 2739.5 km de tuberías, de las cuales</w:t>
      </w:r>
      <w:r>
        <w:rPr>
          <w:rFonts w:ascii="Arial" w:hAnsi="Arial" w:cs="Arial"/>
          <w:sz w:val="22"/>
          <w:szCs w:val="28"/>
        </w:rPr>
        <w:t>,</w:t>
      </w:r>
      <w:r w:rsidRPr="001952C7">
        <w:rPr>
          <w:rFonts w:ascii="Arial" w:hAnsi="Arial" w:cs="Arial"/>
          <w:sz w:val="22"/>
          <w:szCs w:val="28"/>
        </w:rPr>
        <w:t xml:space="preserve"> 23</w:t>
      </w:r>
      <w:r>
        <w:rPr>
          <w:rFonts w:ascii="Arial" w:hAnsi="Arial" w:cs="Arial"/>
          <w:sz w:val="22"/>
          <w:szCs w:val="28"/>
        </w:rPr>
        <w:t xml:space="preserve"> </w:t>
      </w:r>
      <w:r w:rsidRPr="001952C7">
        <w:rPr>
          <w:rFonts w:ascii="Arial" w:hAnsi="Arial" w:cs="Arial"/>
          <w:sz w:val="22"/>
          <w:szCs w:val="28"/>
        </w:rPr>
        <w:t>% son de concreto, 74</w:t>
      </w:r>
      <w:r>
        <w:rPr>
          <w:rFonts w:ascii="Arial" w:hAnsi="Arial" w:cs="Arial"/>
          <w:sz w:val="22"/>
          <w:szCs w:val="28"/>
        </w:rPr>
        <w:t xml:space="preserve"> </w:t>
      </w:r>
      <w:r w:rsidRPr="001952C7">
        <w:rPr>
          <w:rFonts w:ascii="Arial" w:hAnsi="Arial" w:cs="Arial"/>
          <w:sz w:val="22"/>
          <w:szCs w:val="28"/>
        </w:rPr>
        <w:t xml:space="preserve">% de PVC y </w:t>
      </w:r>
      <w:r>
        <w:rPr>
          <w:rFonts w:ascii="Arial" w:hAnsi="Arial" w:cs="Arial"/>
          <w:sz w:val="22"/>
          <w:szCs w:val="28"/>
        </w:rPr>
        <w:t xml:space="preserve">el resto, </w:t>
      </w:r>
      <w:r w:rsidRPr="001952C7">
        <w:rPr>
          <w:rFonts w:ascii="Arial" w:hAnsi="Arial" w:cs="Arial"/>
          <w:sz w:val="22"/>
          <w:szCs w:val="28"/>
        </w:rPr>
        <w:t xml:space="preserve">de otros materiales. </w:t>
      </w:r>
    </w:p>
    <w:p w14:paraId="6ADBEE9E" w14:textId="77777777" w:rsidR="00287CF8" w:rsidRDefault="00EC118C" w:rsidP="00287CF8">
      <w:pPr>
        <w:pStyle w:val="NormalWeb"/>
        <w:spacing w:before="0" w:beforeAutospacing="0" w:after="120" w:afterAutospacing="0"/>
        <w:jc w:val="both"/>
        <w:rPr>
          <w:rFonts w:ascii="Arial" w:hAnsi="Arial" w:cs="Arial"/>
          <w:sz w:val="22"/>
          <w:szCs w:val="28"/>
        </w:rPr>
      </w:pPr>
      <w:r>
        <w:rPr>
          <w:rFonts w:ascii="Arial" w:hAnsi="Arial" w:cs="Arial"/>
          <w:sz w:val="22"/>
          <w:szCs w:val="28"/>
        </w:rPr>
        <w:t>Adicionalmente</w:t>
      </w:r>
      <w:r w:rsidRPr="001952C7">
        <w:rPr>
          <w:rFonts w:ascii="Arial" w:hAnsi="Arial" w:cs="Arial"/>
          <w:sz w:val="22"/>
          <w:szCs w:val="28"/>
        </w:rPr>
        <w:t xml:space="preserve">, </w:t>
      </w:r>
      <w:r>
        <w:rPr>
          <w:rFonts w:ascii="Arial" w:hAnsi="Arial" w:cs="Arial"/>
          <w:sz w:val="22"/>
          <w:szCs w:val="28"/>
        </w:rPr>
        <w:t>se</w:t>
      </w:r>
      <w:r w:rsidRPr="001952C7">
        <w:rPr>
          <w:rFonts w:ascii="Arial" w:hAnsi="Arial" w:cs="Arial"/>
          <w:sz w:val="22"/>
          <w:szCs w:val="28"/>
        </w:rPr>
        <w:t xml:space="preserve"> dispone de cuatro plantas de tratamiento de aguas residuales con una capacidad de tratamiento</w:t>
      </w:r>
      <w:r>
        <w:rPr>
          <w:rFonts w:ascii="Arial" w:hAnsi="Arial" w:cs="Arial"/>
          <w:sz w:val="22"/>
          <w:szCs w:val="28"/>
        </w:rPr>
        <w:t xml:space="preserve"> total</w:t>
      </w:r>
      <w:r w:rsidRPr="001952C7">
        <w:rPr>
          <w:rFonts w:ascii="Arial" w:hAnsi="Arial" w:cs="Arial"/>
          <w:sz w:val="22"/>
          <w:szCs w:val="28"/>
        </w:rPr>
        <w:t xml:space="preserve"> de 2679 litros por segundo</w:t>
      </w:r>
      <w:r>
        <w:rPr>
          <w:rFonts w:ascii="Arial" w:hAnsi="Arial" w:cs="Arial"/>
          <w:sz w:val="22"/>
          <w:szCs w:val="28"/>
        </w:rPr>
        <w:t xml:space="preserve"> (l/s)</w:t>
      </w:r>
      <w:r w:rsidRPr="001952C7">
        <w:rPr>
          <w:rFonts w:ascii="Arial" w:hAnsi="Arial" w:cs="Arial"/>
          <w:sz w:val="22"/>
          <w:szCs w:val="28"/>
        </w:rPr>
        <w:t xml:space="preserve">, además de 45 pequeñas plantas privadas y </w:t>
      </w:r>
      <w:r>
        <w:rPr>
          <w:rFonts w:ascii="Arial" w:hAnsi="Arial" w:cs="Arial"/>
          <w:sz w:val="22"/>
          <w:szCs w:val="28"/>
        </w:rPr>
        <w:t xml:space="preserve">de instituciones </w:t>
      </w:r>
      <w:r w:rsidRPr="001952C7">
        <w:rPr>
          <w:rFonts w:ascii="Arial" w:hAnsi="Arial" w:cs="Arial"/>
          <w:sz w:val="22"/>
          <w:szCs w:val="28"/>
        </w:rPr>
        <w:t>educativas. Anualmente</w:t>
      </w:r>
      <w:r>
        <w:rPr>
          <w:rFonts w:ascii="Arial" w:hAnsi="Arial" w:cs="Arial"/>
          <w:sz w:val="22"/>
          <w:szCs w:val="28"/>
        </w:rPr>
        <w:t>,</w:t>
      </w:r>
      <w:r w:rsidRPr="001952C7">
        <w:rPr>
          <w:rFonts w:ascii="Arial" w:hAnsi="Arial" w:cs="Arial"/>
          <w:sz w:val="22"/>
          <w:szCs w:val="28"/>
        </w:rPr>
        <w:t xml:space="preserve"> se tratan </w:t>
      </w:r>
      <w:r>
        <w:rPr>
          <w:rFonts w:ascii="Arial" w:hAnsi="Arial" w:cs="Arial"/>
          <w:sz w:val="22"/>
          <w:szCs w:val="28"/>
        </w:rPr>
        <w:t>alrededor de</w:t>
      </w:r>
      <w:r w:rsidRPr="001952C7">
        <w:rPr>
          <w:rFonts w:ascii="Arial" w:hAnsi="Arial" w:cs="Arial"/>
          <w:sz w:val="22"/>
          <w:szCs w:val="28"/>
        </w:rPr>
        <w:t xml:space="preserve"> 80 millones de metros cúbicos de aguas residuales, aunque la infraestructura para </w:t>
      </w:r>
      <w:r>
        <w:rPr>
          <w:rFonts w:ascii="Arial" w:hAnsi="Arial" w:cs="Arial"/>
          <w:sz w:val="22"/>
          <w:szCs w:val="28"/>
        </w:rPr>
        <w:t xml:space="preserve">su utilización </w:t>
      </w:r>
      <w:r w:rsidRPr="001952C7">
        <w:rPr>
          <w:rFonts w:ascii="Arial" w:hAnsi="Arial" w:cs="Arial"/>
          <w:sz w:val="22"/>
          <w:szCs w:val="28"/>
        </w:rPr>
        <w:t xml:space="preserve">es limitada. </w:t>
      </w:r>
      <w:r>
        <w:rPr>
          <w:rFonts w:ascii="Arial" w:hAnsi="Arial" w:cs="Arial"/>
          <w:sz w:val="22"/>
          <w:szCs w:val="28"/>
        </w:rPr>
        <w:t>S</w:t>
      </w:r>
      <w:r w:rsidRPr="001952C7">
        <w:rPr>
          <w:rFonts w:ascii="Arial" w:hAnsi="Arial" w:cs="Arial"/>
          <w:sz w:val="22"/>
          <w:szCs w:val="28"/>
        </w:rPr>
        <w:t>e comercializan alrededor de 11 millones de metros cúbicos al año, y se utiliza agua tratada para el riego de áreas verdes, parques y el mantenimiento del lago en el Parque Metropolitano.</w:t>
      </w:r>
    </w:p>
    <w:p w14:paraId="652EC3F5" w14:textId="7761AF3B" w:rsidR="00EC118C" w:rsidRPr="00287CF8" w:rsidRDefault="00EC118C" w:rsidP="00B205BA">
      <w:pPr>
        <w:pStyle w:val="NormalWeb"/>
        <w:spacing w:before="0" w:beforeAutospacing="0" w:after="120" w:afterAutospacing="0"/>
        <w:jc w:val="both"/>
        <w:rPr>
          <w:rFonts w:ascii="Arial" w:hAnsi="Arial" w:cs="Arial"/>
          <w:sz w:val="22"/>
          <w:szCs w:val="28"/>
        </w:rPr>
      </w:pPr>
      <w:r w:rsidRPr="007503ED">
        <w:rPr>
          <w:rFonts w:ascii="Arial" w:hAnsi="Arial" w:cs="Arial"/>
          <w:sz w:val="22"/>
          <w:szCs w:val="28"/>
        </w:rPr>
        <w:t>Actualmente, el Organismo Operador de Agua de Hermosillo mejoró su puntuación en los principales índices de gestión del organismo: eficiencia comercial de 84.7 %; eficiencia física de 45 %; cobertura de micromedición de 58 % y macromedición de 89 %.</w:t>
      </w:r>
    </w:p>
    <w:p w14:paraId="4E2070E9" w14:textId="04CC0E96" w:rsidR="00EC118C" w:rsidRPr="00287CF8" w:rsidRDefault="00EC118C" w:rsidP="00B205BA">
      <w:pPr>
        <w:pStyle w:val="NormalWeb"/>
        <w:spacing w:before="0" w:beforeAutospacing="0" w:after="120" w:afterAutospacing="0"/>
        <w:jc w:val="both"/>
        <w:rPr>
          <w:rFonts w:ascii="Arial" w:hAnsi="Arial" w:cs="Arial"/>
          <w:b/>
          <w:bCs/>
          <w:sz w:val="22"/>
          <w:szCs w:val="28"/>
        </w:rPr>
      </w:pPr>
      <w:r w:rsidRPr="00287CF8">
        <w:rPr>
          <w:rFonts w:ascii="Arial" w:hAnsi="Arial" w:cs="Arial"/>
          <w:b/>
          <w:bCs/>
          <w:sz w:val="22"/>
          <w:szCs w:val="28"/>
        </w:rPr>
        <w:t>Áreas rurales</w:t>
      </w:r>
      <w:r w:rsidR="00261A27" w:rsidRPr="00287CF8">
        <w:rPr>
          <w:rFonts w:ascii="Arial" w:hAnsi="Arial" w:cs="Arial"/>
          <w:b/>
          <w:bCs/>
          <w:sz w:val="22"/>
          <w:szCs w:val="28"/>
        </w:rPr>
        <w:t>.</w:t>
      </w:r>
    </w:p>
    <w:p w14:paraId="6BD9EED6" w14:textId="74191709" w:rsidR="007503ED" w:rsidRPr="00287CF8" w:rsidRDefault="00EC118C" w:rsidP="00B205BA">
      <w:pPr>
        <w:pStyle w:val="NormalWeb"/>
        <w:spacing w:before="0" w:beforeAutospacing="0" w:after="120" w:afterAutospacing="0"/>
        <w:jc w:val="both"/>
        <w:rPr>
          <w:rFonts w:ascii="Arial" w:hAnsi="Arial" w:cs="Arial"/>
          <w:sz w:val="22"/>
          <w:szCs w:val="28"/>
        </w:rPr>
      </w:pPr>
      <w:r>
        <w:rPr>
          <w:rFonts w:ascii="Arial" w:hAnsi="Arial" w:cs="Arial"/>
          <w:sz w:val="22"/>
          <w:szCs w:val="28"/>
        </w:rPr>
        <w:t>La administración municipal</w:t>
      </w:r>
      <w:r w:rsidRPr="00183A23">
        <w:rPr>
          <w:rFonts w:ascii="Arial" w:hAnsi="Arial" w:cs="Arial"/>
          <w:sz w:val="22"/>
          <w:szCs w:val="28"/>
        </w:rPr>
        <w:t xml:space="preserve"> de Hermosillo atiende un total de 21 localidades rurales, distribuidas entre la zona oriente y poniente de la ciudad. </w:t>
      </w:r>
      <w:r>
        <w:rPr>
          <w:rFonts w:ascii="Arial" w:hAnsi="Arial" w:cs="Arial"/>
          <w:sz w:val="22"/>
          <w:szCs w:val="28"/>
        </w:rPr>
        <w:t>En este conjunto de</w:t>
      </w:r>
      <w:r w:rsidRPr="00183A23">
        <w:rPr>
          <w:rFonts w:ascii="Arial" w:hAnsi="Arial" w:cs="Arial"/>
          <w:sz w:val="22"/>
          <w:szCs w:val="28"/>
        </w:rPr>
        <w:t xml:space="preserve"> localidades </w:t>
      </w:r>
      <w:r>
        <w:rPr>
          <w:rFonts w:ascii="Arial" w:hAnsi="Arial" w:cs="Arial"/>
          <w:sz w:val="22"/>
          <w:szCs w:val="28"/>
        </w:rPr>
        <w:t xml:space="preserve">se </w:t>
      </w:r>
      <w:r w:rsidRPr="00183A23">
        <w:rPr>
          <w:rFonts w:ascii="Arial" w:hAnsi="Arial" w:cs="Arial"/>
          <w:sz w:val="22"/>
          <w:szCs w:val="28"/>
        </w:rPr>
        <w:t xml:space="preserve">incluye </w:t>
      </w:r>
      <w:r>
        <w:rPr>
          <w:rFonts w:ascii="Arial" w:hAnsi="Arial" w:cs="Arial"/>
          <w:sz w:val="22"/>
          <w:szCs w:val="28"/>
        </w:rPr>
        <w:t>a</w:t>
      </w:r>
      <w:r w:rsidRPr="00183A23">
        <w:rPr>
          <w:rFonts w:ascii="Arial" w:hAnsi="Arial" w:cs="Arial"/>
          <w:sz w:val="22"/>
          <w:szCs w:val="28"/>
        </w:rPr>
        <w:t xml:space="preserve"> Kino Nuevo, Kino Viejo, Miguel Alemán y Bahía de Kino, en la zona poniente</w:t>
      </w:r>
      <w:r>
        <w:rPr>
          <w:rFonts w:ascii="Arial" w:hAnsi="Arial" w:cs="Arial"/>
          <w:sz w:val="22"/>
          <w:szCs w:val="28"/>
        </w:rPr>
        <w:t>. En la zona oriente, San Pedro</w:t>
      </w:r>
      <w:r w:rsidRPr="00183A23">
        <w:rPr>
          <w:rFonts w:ascii="Arial" w:hAnsi="Arial" w:cs="Arial"/>
          <w:sz w:val="22"/>
          <w:szCs w:val="28"/>
        </w:rPr>
        <w:t xml:space="preserve"> El Saucito, San Isidro</w:t>
      </w:r>
      <w:r>
        <w:rPr>
          <w:rFonts w:ascii="Arial" w:hAnsi="Arial" w:cs="Arial"/>
          <w:sz w:val="22"/>
          <w:szCs w:val="28"/>
        </w:rPr>
        <w:t xml:space="preserve"> y</w:t>
      </w:r>
      <w:r w:rsidRPr="00183A23">
        <w:rPr>
          <w:rFonts w:ascii="Arial" w:hAnsi="Arial" w:cs="Arial"/>
          <w:sz w:val="22"/>
          <w:szCs w:val="28"/>
        </w:rPr>
        <w:t xml:space="preserve"> Mesa del Seri, entre otras. Además, existen 30 comunidades </w:t>
      </w:r>
      <w:r>
        <w:rPr>
          <w:rFonts w:ascii="Arial" w:hAnsi="Arial" w:cs="Arial"/>
          <w:sz w:val="22"/>
          <w:szCs w:val="28"/>
        </w:rPr>
        <w:t>autogestionadas</w:t>
      </w:r>
      <w:r w:rsidRPr="00183A23">
        <w:rPr>
          <w:rFonts w:ascii="Arial" w:hAnsi="Arial" w:cs="Arial"/>
          <w:sz w:val="22"/>
          <w:szCs w:val="28"/>
        </w:rPr>
        <w:t>, que solo reciben asesoría en temas relacionados con el agua potable y el saneamiento.</w:t>
      </w:r>
    </w:p>
    <w:p w14:paraId="7E5983FB" w14:textId="22AC6B06" w:rsidR="00EC118C" w:rsidRDefault="00EC118C" w:rsidP="00B205BA">
      <w:pPr>
        <w:pStyle w:val="NormalWeb"/>
        <w:spacing w:before="0" w:beforeAutospacing="0" w:after="120" w:afterAutospacing="0"/>
        <w:jc w:val="both"/>
        <w:rPr>
          <w:rFonts w:ascii="Arial" w:hAnsi="Arial" w:cs="Arial"/>
          <w:b/>
          <w:bCs/>
          <w:sz w:val="22"/>
          <w:szCs w:val="28"/>
        </w:rPr>
      </w:pPr>
      <w:r w:rsidRPr="00287CF8">
        <w:rPr>
          <w:rFonts w:ascii="Arial" w:hAnsi="Arial" w:cs="Arial"/>
          <w:b/>
          <w:bCs/>
          <w:sz w:val="22"/>
          <w:szCs w:val="28"/>
        </w:rPr>
        <w:t>Área rural oriente</w:t>
      </w:r>
      <w:r w:rsidR="00261A27" w:rsidRPr="00287CF8">
        <w:rPr>
          <w:rFonts w:ascii="Arial" w:hAnsi="Arial" w:cs="Arial"/>
          <w:b/>
          <w:bCs/>
          <w:sz w:val="22"/>
          <w:szCs w:val="28"/>
        </w:rPr>
        <w:t>.</w:t>
      </w:r>
    </w:p>
    <w:p w14:paraId="22C7379A" w14:textId="4B929295" w:rsidR="00EC118C" w:rsidRDefault="00EC118C" w:rsidP="00B205BA">
      <w:pPr>
        <w:pStyle w:val="NormalWeb"/>
        <w:spacing w:before="0" w:beforeAutospacing="0" w:after="120" w:afterAutospacing="0"/>
        <w:jc w:val="both"/>
        <w:rPr>
          <w:rFonts w:ascii="Arial" w:hAnsi="Arial" w:cs="Arial"/>
          <w:sz w:val="22"/>
          <w:szCs w:val="28"/>
        </w:rPr>
      </w:pPr>
      <w:r w:rsidRPr="00183A23">
        <w:rPr>
          <w:rFonts w:ascii="Arial" w:hAnsi="Arial" w:cs="Arial"/>
          <w:sz w:val="22"/>
          <w:szCs w:val="28"/>
        </w:rPr>
        <w:t>El área rural oriente incluye 14 localidades con un total de 6074 usuarios</w:t>
      </w:r>
      <w:r>
        <w:rPr>
          <w:rFonts w:ascii="Arial" w:hAnsi="Arial" w:cs="Arial"/>
          <w:sz w:val="22"/>
          <w:szCs w:val="28"/>
        </w:rPr>
        <w:t xml:space="preserve"> del servicio de agua</w:t>
      </w:r>
      <w:r w:rsidRPr="00183A23">
        <w:rPr>
          <w:rFonts w:ascii="Arial" w:hAnsi="Arial" w:cs="Arial"/>
          <w:sz w:val="22"/>
          <w:szCs w:val="28"/>
        </w:rPr>
        <w:t xml:space="preserve">. La población beneficiada es de </w:t>
      </w:r>
      <w:r>
        <w:rPr>
          <w:rFonts w:ascii="Arial" w:hAnsi="Arial" w:cs="Arial"/>
          <w:sz w:val="22"/>
          <w:szCs w:val="28"/>
        </w:rPr>
        <w:t>alrededor de</w:t>
      </w:r>
      <w:r w:rsidRPr="00183A23">
        <w:rPr>
          <w:rFonts w:ascii="Arial" w:hAnsi="Arial" w:cs="Arial"/>
          <w:sz w:val="22"/>
          <w:szCs w:val="28"/>
        </w:rPr>
        <w:t xml:space="preserve"> 13</w:t>
      </w:r>
      <w:r>
        <w:rPr>
          <w:rFonts w:ascii="Arial" w:hAnsi="Arial" w:cs="Arial"/>
          <w:sz w:val="22"/>
          <w:szCs w:val="28"/>
        </w:rPr>
        <w:t xml:space="preserve"> 900</w:t>
      </w:r>
      <w:r w:rsidRPr="00183A23">
        <w:rPr>
          <w:rFonts w:ascii="Arial" w:hAnsi="Arial" w:cs="Arial"/>
          <w:sz w:val="22"/>
          <w:szCs w:val="28"/>
        </w:rPr>
        <w:t xml:space="preserve"> personas, con un abastecimiento </w:t>
      </w:r>
      <w:r w:rsidRPr="00183A23">
        <w:rPr>
          <w:rFonts w:ascii="Arial" w:hAnsi="Arial" w:cs="Arial"/>
          <w:sz w:val="22"/>
          <w:szCs w:val="28"/>
        </w:rPr>
        <w:lastRenderedPageBreak/>
        <w:t>de agua proveniente de 11 pozos y un</w:t>
      </w:r>
      <w:r>
        <w:rPr>
          <w:rFonts w:ascii="Arial" w:hAnsi="Arial" w:cs="Arial"/>
          <w:sz w:val="22"/>
          <w:szCs w:val="28"/>
        </w:rPr>
        <w:t xml:space="preserve"> sistema de</w:t>
      </w:r>
      <w:r w:rsidRPr="00183A23">
        <w:rPr>
          <w:rFonts w:ascii="Arial" w:hAnsi="Arial" w:cs="Arial"/>
          <w:sz w:val="22"/>
          <w:szCs w:val="28"/>
        </w:rPr>
        <w:t xml:space="preserve"> rebombeo en San Pedro. </w:t>
      </w:r>
      <w:r>
        <w:rPr>
          <w:rFonts w:ascii="Arial" w:hAnsi="Arial" w:cs="Arial"/>
          <w:sz w:val="22"/>
          <w:szCs w:val="28"/>
        </w:rPr>
        <w:t>L</w:t>
      </w:r>
      <w:r w:rsidRPr="00183A23">
        <w:rPr>
          <w:rFonts w:ascii="Arial" w:hAnsi="Arial" w:cs="Arial"/>
          <w:sz w:val="22"/>
          <w:szCs w:val="28"/>
        </w:rPr>
        <w:t xml:space="preserve">a principal problemática en estas localidades es el desabasto de agua potable y la falta de red de alcantarillado. Además, la planta de tratamiento de aguas residuales de San Pedro, con capacidad de 15 </w:t>
      </w:r>
      <w:r>
        <w:rPr>
          <w:rFonts w:ascii="Arial" w:hAnsi="Arial" w:cs="Arial"/>
          <w:sz w:val="22"/>
          <w:szCs w:val="28"/>
        </w:rPr>
        <w:t>l/s</w:t>
      </w:r>
      <w:r w:rsidRPr="00183A23">
        <w:rPr>
          <w:rFonts w:ascii="Arial" w:hAnsi="Arial" w:cs="Arial"/>
          <w:sz w:val="22"/>
          <w:szCs w:val="28"/>
        </w:rPr>
        <w:t xml:space="preserve">, actualmente trata solo entre 3 y 5 </w:t>
      </w:r>
      <w:r>
        <w:rPr>
          <w:rFonts w:ascii="Arial" w:hAnsi="Arial" w:cs="Arial"/>
          <w:sz w:val="22"/>
          <w:szCs w:val="28"/>
        </w:rPr>
        <w:t>l/s,</w:t>
      </w:r>
      <w:r w:rsidRPr="00183A23">
        <w:rPr>
          <w:rFonts w:ascii="Arial" w:hAnsi="Arial" w:cs="Arial"/>
          <w:sz w:val="22"/>
          <w:szCs w:val="28"/>
        </w:rPr>
        <w:t xml:space="preserve"> debido a la insuficiencia de la infraestructura de alcantarillado. En la comunidad de Zamora</w:t>
      </w:r>
      <w:r>
        <w:rPr>
          <w:rFonts w:ascii="Arial" w:hAnsi="Arial" w:cs="Arial"/>
          <w:sz w:val="22"/>
          <w:szCs w:val="28"/>
        </w:rPr>
        <w:t>,</w:t>
      </w:r>
      <w:r w:rsidRPr="00183A23">
        <w:rPr>
          <w:rFonts w:ascii="Arial" w:hAnsi="Arial" w:cs="Arial"/>
          <w:sz w:val="22"/>
          <w:szCs w:val="28"/>
        </w:rPr>
        <w:t xml:space="preserve"> se construyó una planta tratadora de aguas residuales, pero </w:t>
      </w:r>
      <w:r>
        <w:rPr>
          <w:rFonts w:ascii="Arial" w:hAnsi="Arial" w:cs="Arial"/>
          <w:sz w:val="22"/>
          <w:szCs w:val="28"/>
        </w:rPr>
        <w:t xml:space="preserve">se </w:t>
      </w:r>
      <w:r w:rsidRPr="00183A23">
        <w:rPr>
          <w:rFonts w:ascii="Arial" w:hAnsi="Arial" w:cs="Arial"/>
          <w:sz w:val="22"/>
          <w:szCs w:val="28"/>
        </w:rPr>
        <w:t>carece de información técnica sobre su capacidad y condiciones operativas.</w:t>
      </w:r>
    </w:p>
    <w:p w14:paraId="4FACC8CA" w14:textId="1B22FE1E" w:rsidR="00EC118C" w:rsidRPr="00287CF8" w:rsidRDefault="00EC118C" w:rsidP="00B205BA">
      <w:pPr>
        <w:pStyle w:val="NormalWeb"/>
        <w:spacing w:before="0" w:beforeAutospacing="0" w:after="120" w:afterAutospacing="0"/>
        <w:jc w:val="both"/>
        <w:rPr>
          <w:rFonts w:ascii="Arial" w:hAnsi="Arial" w:cs="Arial"/>
          <w:b/>
          <w:bCs/>
          <w:sz w:val="22"/>
          <w:szCs w:val="28"/>
        </w:rPr>
      </w:pPr>
      <w:r w:rsidRPr="00287CF8">
        <w:rPr>
          <w:rFonts w:ascii="Arial" w:hAnsi="Arial" w:cs="Arial"/>
          <w:b/>
          <w:bCs/>
          <w:sz w:val="22"/>
          <w:szCs w:val="28"/>
        </w:rPr>
        <w:t>Área rural poniente</w:t>
      </w:r>
      <w:r w:rsidR="00287CF8">
        <w:rPr>
          <w:rFonts w:ascii="Arial" w:hAnsi="Arial" w:cs="Arial"/>
          <w:b/>
          <w:bCs/>
          <w:sz w:val="22"/>
          <w:szCs w:val="28"/>
        </w:rPr>
        <w:t>.</w:t>
      </w:r>
    </w:p>
    <w:p w14:paraId="329FCFEA" w14:textId="77777777" w:rsidR="00EC118C" w:rsidRDefault="00EC118C" w:rsidP="00B205BA">
      <w:pPr>
        <w:pStyle w:val="NormalWeb"/>
        <w:spacing w:before="0" w:beforeAutospacing="0" w:after="120" w:afterAutospacing="0"/>
        <w:jc w:val="both"/>
        <w:rPr>
          <w:rFonts w:ascii="Arial" w:hAnsi="Arial" w:cs="Arial"/>
          <w:sz w:val="22"/>
          <w:szCs w:val="28"/>
        </w:rPr>
      </w:pPr>
      <w:r w:rsidRPr="00183A23">
        <w:rPr>
          <w:rFonts w:ascii="Arial" w:hAnsi="Arial" w:cs="Arial"/>
          <w:sz w:val="22"/>
          <w:szCs w:val="28"/>
        </w:rPr>
        <w:t xml:space="preserve">La localidad de Miguel Alemán, que incluye las comunidades Ejido Minero de Pilares, Ejido San Luis y Ejido La Habana, cuenta con un abastecimiento de agua de aproximadamente 210 </w:t>
      </w:r>
      <w:r>
        <w:rPr>
          <w:rFonts w:ascii="Arial" w:hAnsi="Arial" w:cs="Arial"/>
          <w:sz w:val="22"/>
          <w:szCs w:val="28"/>
        </w:rPr>
        <w:t>l/s</w:t>
      </w:r>
      <w:r w:rsidRPr="00183A23">
        <w:rPr>
          <w:rFonts w:ascii="Arial" w:hAnsi="Arial" w:cs="Arial"/>
          <w:sz w:val="22"/>
          <w:szCs w:val="28"/>
        </w:rPr>
        <w:t>, suficiente para atender a una población de 44</w:t>
      </w:r>
      <w:r>
        <w:rPr>
          <w:rFonts w:ascii="Arial" w:hAnsi="Arial" w:cs="Arial"/>
          <w:sz w:val="22"/>
          <w:szCs w:val="28"/>
        </w:rPr>
        <w:t xml:space="preserve"> </w:t>
      </w:r>
      <w:r w:rsidRPr="00183A23">
        <w:rPr>
          <w:rFonts w:ascii="Arial" w:hAnsi="Arial" w:cs="Arial"/>
          <w:sz w:val="22"/>
          <w:szCs w:val="28"/>
        </w:rPr>
        <w:t xml:space="preserve">155 personas. La red de agua potable abastece 9744 tomas domiciliarias, de las cuales solo un porcentaje tiene medidores; el resto se calcula mediante estimaciones o cuotas fijas. </w:t>
      </w:r>
    </w:p>
    <w:p w14:paraId="057FFF3D" w14:textId="232B496C" w:rsidR="00EC118C" w:rsidRPr="00287CF8" w:rsidRDefault="00EC118C" w:rsidP="00B205BA">
      <w:pPr>
        <w:pStyle w:val="NormalWeb"/>
        <w:spacing w:before="0" w:beforeAutospacing="0" w:after="120" w:afterAutospacing="0"/>
        <w:jc w:val="both"/>
        <w:rPr>
          <w:rFonts w:ascii="Arial" w:hAnsi="Arial" w:cs="Arial"/>
          <w:sz w:val="22"/>
          <w:szCs w:val="28"/>
        </w:rPr>
      </w:pPr>
      <w:r w:rsidRPr="00183A23">
        <w:rPr>
          <w:rFonts w:ascii="Arial" w:hAnsi="Arial" w:cs="Arial"/>
          <w:sz w:val="22"/>
          <w:szCs w:val="28"/>
        </w:rPr>
        <w:t>La localidad también cuenta con una red de drenaje sanitario que atiende 6924 descargas domiciliarias. Actualmente</w:t>
      </w:r>
      <w:r>
        <w:rPr>
          <w:rFonts w:ascii="Arial" w:hAnsi="Arial" w:cs="Arial"/>
          <w:sz w:val="22"/>
          <w:szCs w:val="28"/>
        </w:rPr>
        <w:t>,</w:t>
      </w:r>
      <w:r w:rsidRPr="00183A23">
        <w:rPr>
          <w:rFonts w:ascii="Arial" w:hAnsi="Arial" w:cs="Arial"/>
          <w:sz w:val="22"/>
          <w:szCs w:val="28"/>
        </w:rPr>
        <w:t xml:space="preserve"> </w:t>
      </w:r>
      <w:r>
        <w:rPr>
          <w:rFonts w:ascii="Arial" w:hAnsi="Arial" w:cs="Arial"/>
          <w:sz w:val="22"/>
          <w:szCs w:val="28"/>
        </w:rPr>
        <w:t>esta red está</w:t>
      </w:r>
      <w:r w:rsidRPr="00183A23">
        <w:rPr>
          <w:rFonts w:ascii="Arial" w:hAnsi="Arial" w:cs="Arial"/>
          <w:sz w:val="22"/>
          <w:szCs w:val="28"/>
        </w:rPr>
        <w:t xml:space="preserve"> en proceso de expansión, ya que el sistema actual presenta deficiencias operativas en 40</w:t>
      </w:r>
      <w:r>
        <w:rPr>
          <w:rFonts w:ascii="Arial" w:hAnsi="Arial" w:cs="Arial"/>
          <w:sz w:val="22"/>
          <w:szCs w:val="28"/>
        </w:rPr>
        <w:t xml:space="preserve"> </w:t>
      </w:r>
      <w:r w:rsidRPr="00183A23">
        <w:rPr>
          <w:rFonts w:ascii="Arial" w:hAnsi="Arial" w:cs="Arial"/>
          <w:sz w:val="22"/>
          <w:szCs w:val="28"/>
        </w:rPr>
        <w:t xml:space="preserve">% de las instalaciones. </w:t>
      </w:r>
      <w:r>
        <w:rPr>
          <w:rFonts w:ascii="Arial" w:hAnsi="Arial" w:cs="Arial"/>
          <w:sz w:val="22"/>
          <w:szCs w:val="28"/>
        </w:rPr>
        <w:t>Además, s</w:t>
      </w:r>
      <w:r w:rsidRPr="00183A23">
        <w:rPr>
          <w:rFonts w:ascii="Arial" w:hAnsi="Arial" w:cs="Arial"/>
          <w:sz w:val="22"/>
          <w:szCs w:val="28"/>
        </w:rPr>
        <w:t xml:space="preserve">e proyecta la construcción de una nueva planta de tratamiento de aguas residuales (PTAR) con capacidad </w:t>
      </w:r>
      <w:r>
        <w:rPr>
          <w:rFonts w:ascii="Arial" w:hAnsi="Arial" w:cs="Arial"/>
          <w:sz w:val="22"/>
          <w:szCs w:val="28"/>
        </w:rPr>
        <w:t>para producir</w:t>
      </w:r>
      <w:r w:rsidRPr="00183A23">
        <w:rPr>
          <w:rFonts w:ascii="Arial" w:hAnsi="Arial" w:cs="Arial"/>
          <w:sz w:val="22"/>
          <w:szCs w:val="28"/>
        </w:rPr>
        <w:t xml:space="preserve"> 80 </w:t>
      </w:r>
      <w:r>
        <w:rPr>
          <w:rFonts w:ascii="Arial" w:hAnsi="Arial" w:cs="Arial"/>
          <w:sz w:val="22"/>
          <w:szCs w:val="28"/>
        </w:rPr>
        <w:t>l/s de aguas tratadas.</w:t>
      </w:r>
    </w:p>
    <w:p w14:paraId="1A6F7A0A" w14:textId="287B9765" w:rsidR="00EC118C" w:rsidRPr="00287CF8" w:rsidRDefault="00EC118C" w:rsidP="00B205BA">
      <w:pPr>
        <w:pStyle w:val="NormalWeb"/>
        <w:spacing w:before="0" w:beforeAutospacing="0" w:after="120" w:afterAutospacing="0"/>
        <w:jc w:val="both"/>
        <w:rPr>
          <w:rFonts w:ascii="Arial" w:hAnsi="Arial" w:cs="Arial"/>
          <w:b/>
          <w:bCs/>
          <w:sz w:val="22"/>
          <w:szCs w:val="28"/>
        </w:rPr>
      </w:pPr>
      <w:r w:rsidRPr="00287CF8">
        <w:rPr>
          <w:rFonts w:ascii="Arial" w:hAnsi="Arial" w:cs="Arial"/>
          <w:b/>
          <w:bCs/>
          <w:sz w:val="22"/>
          <w:szCs w:val="28"/>
        </w:rPr>
        <w:t>Bahía de Kino y Punta Chueca</w:t>
      </w:r>
      <w:r w:rsidR="00287CF8" w:rsidRPr="00287CF8">
        <w:rPr>
          <w:rFonts w:ascii="Arial" w:hAnsi="Arial" w:cs="Arial"/>
          <w:b/>
          <w:bCs/>
          <w:sz w:val="22"/>
          <w:szCs w:val="28"/>
        </w:rPr>
        <w:t>.</w:t>
      </w:r>
    </w:p>
    <w:p w14:paraId="214FDEBB" w14:textId="286BD702" w:rsidR="00EC118C" w:rsidRDefault="00EC118C" w:rsidP="00B205BA">
      <w:pPr>
        <w:pStyle w:val="NormalWeb"/>
        <w:spacing w:before="0" w:beforeAutospacing="0" w:after="120" w:afterAutospacing="0"/>
        <w:jc w:val="both"/>
        <w:rPr>
          <w:rFonts w:ascii="Arial" w:hAnsi="Arial" w:cs="Arial"/>
          <w:sz w:val="22"/>
          <w:szCs w:val="28"/>
        </w:rPr>
      </w:pPr>
      <w:r>
        <w:rPr>
          <w:rFonts w:ascii="Arial" w:hAnsi="Arial" w:cs="Arial"/>
          <w:sz w:val="22"/>
          <w:szCs w:val="28"/>
        </w:rPr>
        <w:t>En estas dos localidades</w:t>
      </w:r>
      <w:r w:rsidRPr="00183A23">
        <w:rPr>
          <w:rFonts w:ascii="Arial" w:hAnsi="Arial" w:cs="Arial"/>
          <w:sz w:val="22"/>
          <w:szCs w:val="28"/>
        </w:rPr>
        <w:t>, se brinda servicio a una población de 7354 personas, con una infraestructura compuesta por un pozo de 50 l/s, tres tanques de almacenamiento y una red de distribución de 111.7 kilómetros que abastece a 4320 tomas domiciliarias. En estas localidades, solo 39</w:t>
      </w:r>
      <w:r>
        <w:rPr>
          <w:rFonts w:ascii="Arial" w:hAnsi="Arial" w:cs="Arial"/>
          <w:sz w:val="22"/>
          <w:szCs w:val="28"/>
        </w:rPr>
        <w:t xml:space="preserve"> </w:t>
      </w:r>
      <w:r w:rsidRPr="00183A23">
        <w:rPr>
          <w:rFonts w:ascii="Arial" w:hAnsi="Arial" w:cs="Arial"/>
          <w:sz w:val="22"/>
          <w:szCs w:val="28"/>
        </w:rPr>
        <w:t>% de las tomas están equipadas con medidores. Bahía de Kino Viejo cuenta con una red de drenaje</w:t>
      </w:r>
      <w:r>
        <w:rPr>
          <w:rFonts w:ascii="Arial" w:hAnsi="Arial" w:cs="Arial"/>
          <w:sz w:val="22"/>
          <w:szCs w:val="28"/>
        </w:rPr>
        <w:t xml:space="preserve"> que</w:t>
      </w:r>
      <w:r w:rsidRPr="00183A23">
        <w:rPr>
          <w:rFonts w:ascii="Arial" w:hAnsi="Arial" w:cs="Arial"/>
          <w:sz w:val="22"/>
          <w:szCs w:val="28"/>
        </w:rPr>
        <w:t xml:space="preserve"> no opera al 100</w:t>
      </w:r>
      <w:r>
        <w:rPr>
          <w:rFonts w:ascii="Arial" w:hAnsi="Arial" w:cs="Arial"/>
          <w:sz w:val="22"/>
          <w:szCs w:val="28"/>
        </w:rPr>
        <w:t xml:space="preserve"> </w:t>
      </w:r>
      <w:r w:rsidRPr="00183A23">
        <w:rPr>
          <w:rFonts w:ascii="Arial" w:hAnsi="Arial" w:cs="Arial"/>
          <w:sz w:val="22"/>
          <w:szCs w:val="28"/>
        </w:rPr>
        <w:t xml:space="preserve">% debido a deficiencias en </w:t>
      </w:r>
      <w:r>
        <w:rPr>
          <w:rFonts w:ascii="Arial" w:hAnsi="Arial" w:cs="Arial"/>
          <w:sz w:val="22"/>
          <w:szCs w:val="28"/>
        </w:rPr>
        <w:t>su</w:t>
      </w:r>
      <w:r w:rsidRPr="00183A23">
        <w:rPr>
          <w:rFonts w:ascii="Arial" w:hAnsi="Arial" w:cs="Arial"/>
          <w:sz w:val="22"/>
          <w:szCs w:val="28"/>
        </w:rPr>
        <w:t xml:space="preserve"> infraestructura. </w:t>
      </w:r>
    </w:p>
    <w:p w14:paraId="488847D2" w14:textId="4C242EFC" w:rsidR="00EC118C" w:rsidRPr="00EC118C" w:rsidRDefault="00EC118C" w:rsidP="00B205BA">
      <w:pPr>
        <w:pStyle w:val="NormalWeb"/>
        <w:spacing w:before="0" w:beforeAutospacing="0" w:after="120" w:afterAutospacing="0"/>
        <w:jc w:val="both"/>
        <w:rPr>
          <w:rFonts w:ascii="Arial" w:hAnsi="Arial" w:cs="Arial"/>
          <w:sz w:val="22"/>
          <w:szCs w:val="28"/>
        </w:rPr>
      </w:pPr>
      <w:r w:rsidRPr="00183A23">
        <w:rPr>
          <w:rFonts w:ascii="Arial" w:hAnsi="Arial" w:cs="Arial"/>
          <w:sz w:val="22"/>
          <w:szCs w:val="28"/>
        </w:rPr>
        <w:t>Para mejorar el suministro de agua en Bahía de Kino, se implementó un sistema de telemetría en el pozo San Diego 2R, lo que permite una respuesta rápida ante cortes de energía y evita</w:t>
      </w:r>
      <w:r>
        <w:rPr>
          <w:rFonts w:ascii="Arial" w:hAnsi="Arial" w:cs="Arial"/>
          <w:sz w:val="22"/>
          <w:szCs w:val="28"/>
        </w:rPr>
        <w:t>r</w:t>
      </w:r>
      <w:r w:rsidRPr="00183A23">
        <w:rPr>
          <w:rFonts w:ascii="Arial" w:hAnsi="Arial" w:cs="Arial"/>
          <w:sz w:val="22"/>
          <w:szCs w:val="28"/>
        </w:rPr>
        <w:t xml:space="preserve"> la falta de agua en la zona.</w:t>
      </w:r>
    </w:p>
    <w:p w14:paraId="2F381AA8" w14:textId="0D2B9EA4" w:rsidR="00EC118C" w:rsidRPr="00287CF8" w:rsidRDefault="00EC118C" w:rsidP="00B205BA">
      <w:pPr>
        <w:pStyle w:val="NormalWeb"/>
        <w:spacing w:before="0" w:beforeAutospacing="0" w:after="120" w:afterAutospacing="0"/>
        <w:jc w:val="both"/>
        <w:rPr>
          <w:rFonts w:ascii="Arial" w:hAnsi="Arial" w:cs="Arial"/>
          <w:b/>
          <w:bCs/>
          <w:sz w:val="22"/>
          <w:szCs w:val="28"/>
        </w:rPr>
      </w:pPr>
      <w:r w:rsidRPr="00287CF8">
        <w:rPr>
          <w:rFonts w:ascii="Arial" w:hAnsi="Arial" w:cs="Arial"/>
          <w:b/>
          <w:bCs/>
          <w:sz w:val="22"/>
          <w:szCs w:val="28"/>
        </w:rPr>
        <w:t>Infraestructura hidráulica</w:t>
      </w:r>
      <w:r w:rsidR="00261A27" w:rsidRPr="00287CF8">
        <w:rPr>
          <w:rFonts w:ascii="Arial" w:hAnsi="Arial" w:cs="Arial"/>
          <w:b/>
          <w:bCs/>
          <w:sz w:val="22"/>
          <w:szCs w:val="28"/>
        </w:rPr>
        <w:t>.</w:t>
      </w:r>
    </w:p>
    <w:p w14:paraId="071E8992" w14:textId="77777777" w:rsidR="00287CF8" w:rsidRDefault="00EC118C" w:rsidP="00287CF8">
      <w:pPr>
        <w:pStyle w:val="NormalWeb"/>
        <w:spacing w:before="0" w:beforeAutospacing="0" w:after="120" w:afterAutospacing="0"/>
        <w:jc w:val="both"/>
        <w:rPr>
          <w:rFonts w:ascii="Arial" w:hAnsi="Arial" w:cs="Arial"/>
          <w:sz w:val="22"/>
          <w:szCs w:val="28"/>
        </w:rPr>
      </w:pPr>
      <w:r w:rsidRPr="002F7824">
        <w:rPr>
          <w:rFonts w:ascii="Arial" w:hAnsi="Arial" w:cs="Arial"/>
          <w:sz w:val="22"/>
          <w:szCs w:val="28"/>
        </w:rPr>
        <w:t xml:space="preserve">Durante la presente administración, se han implementado diversas acciones y proyectos para mejorar la infraestructura hidráulica de Hermosillo, con </w:t>
      </w:r>
      <w:r>
        <w:rPr>
          <w:rFonts w:ascii="Arial" w:hAnsi="Arial" w:cs="Arial"/>
          <w:sz w:val="22"/>
          <w:szCs w:val="28"/>
        </w:rPr>
        <w:t>objeto</w:t>
      </w:r>
      <w:r w:rsidRPr="002F7824">
        <w:rPr>
          <w:rFonts w:ascii="Arial" w:hAnsi="Arial" w:cs="Arial"/>
          <w:sz w:val="22"/>
          <w:szCs w:val="28"/>
        </w:rPr>
        <w:t xml:space="preserve"> de optimizar el abastecimiento de agua potable, mejorar la eficiencia en el uso del recurso, y garantizar el tratamiento y </w:t>
      </w:r>
      <w:r>
        <w:rPr>
          <w:rFonts w:ascii="Arial" w:hAnsi="Arial" w:cs="Arial"/>
          <w:sz w:val="22"/>
          <w:szCs w:val="28"/>
        </w:rPr>
        <w:t>reutilización</w:t>
      </w:r>
      <w:r w:rsidRPr="002F7824">
        <w:rPr>
          <w:rFonts w:ascii="Arial" w:hAnsi="Arial" w:cs="Arial"/>
          <w:sz w:val="22"/>
          <w:szCs w:val="28"/>
        </w:rPr>
        <w:t xml:space="preserve"> adecuad</w:t>
      </w:r>
      <w:r>
        <w:rPr>
          <w:rFonts w:ascii="Arial" w:hAnsi="Arial" w:cs="Arial"/>
          <w:sz w:val="22"/>
          <w:szCs w:val="28"/>
        </w:rPr>
        <w:t>a</w:t>
      </w:r>
      <w:r w:rsidRPr="002F7824">
        <w:rPr>
          <w:rFonts w:ascii="Arial" w:hAnsi="Arial" w:cs="Arial"/>
          <w:sz w:val="22"/>
          <w:szCs w:val="28"/>
        </w:rPr>
        <w:t xml:space="preserve"> del agua.</w:t>
      </w:r>
    </w:p>
    <w:p w14:paraId="7FF02263" w14:textId="4AB11925" w:rsidR="00EC118C" w:rsidRPr="002F7824" w:rsidRDefault="00EC118C" w:rsidP="00287CF8">
      <w:pPr>
        <w:pStyle w:val="NormalWeb"/>
        <w:spacing w:before="0" w:beforeAutospacing="0" w:after="120" w:afterAutospacing="0"/>
        <w:jc w:val="both"/>
        <w:rPr>
          <w:rFonts w:ascii="Arial" w:hAnsi="Arial" w:cs="Arial"/>
          <w:sz w:val="22"/>
          <w:szCs w:val="28"/>
        </w:rPr>
      </w:pPr>
      <w:r w:rsidRPr="002F7824">
        <w:rPr>
          <w:rFonts w:ascii="Arial" w:hAnsi="Arial" w:cs="Arial"/>
          <w:sz w:val="22"/>
          <w:szCs w:val="28"/>
        </w:rPr>
        <w:t>Uno de los esfuerzos clave</w:t>
      </w:r>
      <w:r>
        <w:rPr>
          <w:rFonts w:ascii="Arial" w:hAnsi="Arial" w:cs="Arial"/>
          <w:sz w:val="22"/>
          <w:szCs w:val="28"/>
        </w:rPr>
        <w:t xml:space="preserve"> en este esfuerzo</w:t>
      </w:r>
      <w:r w:rsidRPr="002F7824">
        <w:rPr>
          <w:rFonts w:ascii="Arial" w:hAnsi="Arial" w:cs="Arial"/>
          <w:sz w:val="22"/>
          <w:szCs w:val="28"/>
        </w:rPr>
        <w:t xml:space="preserve"> fue la rehabilitación de 62 pozos </w:t>
      </w:r>
      <w:r>
        <w:rPr>
          <w:rFonts w:ascii="Arial" w:hAnsi="Arial" w:cs="Arial"/>
          <w:sz w:val="22"/>
          <w:szCs w:val="28"/>
        </w:rPr>
        <w:t>que tienen</w:t>
      </w:r>
      <w:r w:rsidRPr="002F7824">
        <w:rPr>
          <w:rFonts w:ascii="Arial" w:hAnsi="Arial" w:cs="Arial"/>
          <w:sz w:val="22"/>
          <w:szCs w:val="28"/>
        </w:rPr>
        <w:t xml:space="preserve"> más de 15 años de antigüedad</w:t>
      </w:r>
      <w:r>
        <w:rPr>
          <w:rFonts w:ascii="Arial" w:hAnsi="Arial" w:cs="Arial"/>
          <w:sz w:val="22"/>
          <w:szCs w:val="28"/>
        </w:rPr>
        <w:t>. Esto</w:t>
      </w:r>
      <w:r w:rsidRPr="002F7824">
        <w:rPr>
          <w:rFonts w:ascii="Arial" w:hAnsi="Arial" w:cs="Arial"/>
          <w:sz w:val="22"/>
          <w:szCs w:val="28"/>
        </w:rPr>
        <w:t xml:space="preserve"> permitió mejorar su eficiencia electromecánica y aumentar la capacidad de extracción. Est</w:t>
      </w:r>
      <w:r>
        <w:rPr>
          <w:rFonts w:ascii="Arial" w:hAnsi="Arial" w:cs="Arial"/>
          <w:sz w:val="22"/>
          <w:szCs w:val="28"/>
        </w:rPr>
        <w:t>o</w:t>
      </w:r>
      <w:r w:rsidRPr="002F7824">
        <w:rPr>
          <w:rFonts w:ascii="Arial" w:hAnsi="Arial" w:cs="Arial"/>
          <w:sz w:val="22"/>
          <w:szCs w:val="28"/>
        </w:rPr>
        <w:t xml:space="preserve"> ha sido fundamental para fortalecer la capacidad de abastecimiento de agua en la ciudad y sus alrededores. Además, se avanzó en la automatización de la red de distribución de agua, que incluye 78 pozos, 16 estaciones de rebombeo y 33 tanques. Mediante la implementación de un sistema de telemetría, se optimizó la operación del sistema, logrando ahorros de energía y mejorando la respuesta ante fallas de energía. Este sistema de monitoreo remoto permite que las infraestructuras operen de manera más eficiente, reduciendo los tiempos de inactividad en caso de cortes de energía.</w:t>
      </w:r>
    </w:p>
    <w:p w14:paraId="1375C860" w14:textId="77777777" w:rsidR="00287CF8" w:rsidRDefault="00EC118C" w:rsidP="00B205BA">
      <w:pPr>
        <w:pStyle w:val="NormalWeb"/>
        <w:spacing w:after="120" w:afterAutospacing="0"/>
        <w:jc w:val="both"/>
        <w:rPr>
          <w:rFonts w:ascii="Arial" w:hAnsi="Arial" w:cs="Arial"/>
          <w:sz w:val="22"/>
          <w:szCs w:val="28"/>
        </w:rPr>
      </w:pPr>
      <w:r w:rsidRPr="002F7824">
        <w:rPr>
          <w:rFonts w:ascii="Arial" w:hAnsi="Arial" w:cs="Arial"/>
          <w:sz w:val="22"/>
          <w:szCs w:val="28"/>
        </w:rPr>
        <w:t xml:space="preserve">En cuanto al control y la eficiencia en el uso del agua, se trabajó en la recuperación del caudal perdido en los sectores hidrométricos. Se implementaron proyectos de </w:t>
      </w:r>
      <w:r w:rsidRPr="002F7824">
        <w:rPr>
          <w:rFonts w:ascii="Arial" w:hAnsi="Arial" w:cs="Arial"/>
          <w:sz w:val="22"/>
          <w:szCs w:val="28"/>
        </w:rPr>
        <w:lastRenderedPageBreak/>
        <w:t xml:space="preserve">automatización en 54 de los 113 sectores, </w:t>
      </w:r>
      <w:r>
        <w:rPr>
          <w:rFonts w:ascii="Arial" w:hAnsi="Arial" w:cs="Arial"/>
          <w:sz w:val="22"/>
          <w:szCs w:val="28"/>
        </w:rPr>
        <w:t>con lo que se logró recuperar</w:t>
      </w:r>
      <w:r w:rsidRPr="002F7824">
        <w:rPr>
          <w:rFonts w:ascii="Arial" w:hAnsi="Arial" w:cs="Arial"/>
          <w:sz w:val="22"/>
          <w:szCs w:val="28"/>
        </w:rPr>
        <w:t xml:space="preserve"> 45</w:t>
      </w:r>
      <w:r>
        <w:rPr>
          <w:rFonts w:ascii="Arial" w:hAnsi="Arial" w:cs="Arial"/>
          <w:sz w:val="22"/>
          <w:szCs w:val="28"/>
        </w:rPr>
        <w:t xml:space="preserve"> </w:t>
      </w:r>
      <w:r w:rsidRPr="002F7824">
        <w:rPr>
          <w:rFonts w:ascii="Arial" w:hAnsi="Arial" w:cs="Arial"/>
          <w:sz w:val="22"/>
          <w:szCs w:val="28"/>
        </w:rPr>
        <w:t xml:space="preserve">% de la cobertura perdida y </w:t>
      </w:r>
      <w:r>
        <w:rPr>
          <w:rFonts w:ascii="Arial" w:hAnsi="Arial" w:cs="Arial"/>
          <w:sz w:val="22"/>
          <w:szCs w:val="28"/>
        </w:rPr>
        <w:t>mejorar</w:t>
      </w:r>
      <w:r w:rsidRPr="002F7824">
        <w:rPr>
          <w:rFonts w:ascii="Arial" w:hAnsi="Arial" w:cs="Arial"/>
          <w:sz w:val="22"/>
          <w:szCs w:val="28"/>
        </w:rPr>
        <w:t xml:space="preserve"> el control de pérdidas de agua y la detección de fugas. A la par</w:t>
      </w:r>
      <w:r>
        <w:rPr>
          <w:rFonts w:ascii="Arial" w:hAnsi="Arial" w:cs="Arial"/>
          <w:sz w:val="22"/>
          <w:szCs w:val="28"/>
        </w:rPr>
        <w:t xml:space="preserve"> de esto</w:t>
      </w:r>
      <w:r w:rsidRPr="002F7824">
        <w:rPr>
          <w:rFonts w:ascii="Arial" w:hAnsi="Arial" w:cs="Arial"/>
          <w:sz w:val="22"/>
          <w:szCs w:val="28"/>
        </w:rPr>
        <w:t>, se realiz</w:t>
      </w:r>
      <w:r>
        <w:rPr>
          <w:rFonts w:ascii="Arial" w:hAnsi="Arial" w:cs="Arial"/>
          <w:sz w:val="22"/>
          <w:szCs w:val="28"/>
        </w:rPr>
        <w:t>aron labores de</w:t>
      </w:r>
      <w:r w:rsidRPr="002F7824">
        <w:rPr>
          <w:rFonts w:ascii="Arial" w:hAnsi="Arial" w:cs="Arial"/>
          <w:sz w:val="22"/>
          <w:szCs w:val="28"/>
        </w:rPr>
        <w:t xml:space="preserve"> mantenimiento correctivo y limpieza a 81.5</w:t>
      </w:r>
      <w:r>
        <w:rPr>
          <w:rFonts w:ascii="Arial" w:hAnsi="Arial" w:cs="Arial"/>
          <w:sz w:val="22"/>
          <w:szCs w:val="28"/>
        </w:rPr>
        <w:t xml:space="preserve"> </w:t>
      </w:r>
      <w:r w:rsidRPr="002F7824">
        <w:rPr>
          <w:rFonts w:ascii="Arial" w:hAnsi="Arial" w:cs="Arial"/>
          <w:sz w:val="22"/>
          <w:szCs w:val="28"/>
        </w:rPr>
        <w:t xml:space="preserve">% de los 2739.5 kilómetros de la red de drenaje sanitario, y </w:t>
      </w:r>
      <w:r>
        <w:rPr>
          <w:rFonts w:ascii="Arial" w:hAnsi="Arial" w:cs="Arial"/>
          <w:sz w:val="22"/>
          <w:szCs w:val="28"/>
        </w:rPr>
        <w:t>a</w:t>
      </w:r>
      <w:r w:rsidRPr="002F7824">
        <w:rPr>
          <w:rFonts w:ascii="Arial" w:hAnsi="Arial" w:cs="Arial"/>
          <w:sz w:val="22"/>
          <w:szCs w:val="28"/>
        </w:rPr>
        <w:t xml:space="preserve"> 21.6</w:t>
      </w:r>
      <w:r>
        <w:rPr>
          <w:rFonts w:ascii="Arial" w:hAnsi="Arial" w:cs="Arial"/>
          <w:sz w:val="22"/>
          <w:szCs w:val="28"/>
        </w:rPr>
        <w:t xml:space="preserve"> </w:t>
      </w:r>
      <w:r w:rsidRPr="002F7824">
        <w:rPr>
          <w:rFonts w:ascii="Arial" w:hAnsi="Arial" w:cs="Arial"/>
          <w:sz w:val="22"/>
          <w:szCs w:val="28"/>
        </w:rPr>
        <w:t>% de los 69</w:t>
      </w:r>
      <w:r>
        <w:rPr>
          <w:rFonts w:ascii="Arial" w:hAnsi="Arial" w:cs="Arial"/>
          <w:sz w:val="22"/>
          <w:szCs w:val="28"/>
        </w:rPr>
        <w:t xml:space="preserve"> </w:t>
      </w:r>
      <w:r w:rsidRPr="002F7824">
        <w:rPr>
          <w:rFonts w:ascii="Arial" w:hAnsi="Arial" w:cs="Arial"/>
          <w:sz w:val="22"/>
          <w:szCs w:val="28"/>
        </w:rPr>
        <w:t>014 pozos de visita, lo que contribuyó a mejorar la infraestructura del sistema de alcantarillado.</w:t>
      </w:r>
    </w:p>
    <w:p w14:paraId="1D1898CA" w14:textId="77777777" w:rsidR="00287CF8" w:rsidRDefault="00EC118C" w:rsidP="00B205BA">
      <w:pPr>
        <w:pStyle w:val="NormalWeb"/>
        <w:spacing w:after="120" w:afterAutospacing="0"/>
        <w:jc w:val="both"/>
        <w:rPr>
          <w:rFonts w:ascii="Arial" w:hAnsi="Arial" w:cs="Arial"/>
          <w:sz w:val="22"/>
          <w:szCs w:val="28"/>
        </w:rPr>
      </w:pPr>
      <w:r w:rsidRPr="002F7824">
        <w:rPr>
          <w:rFonts w:ascii="Arial" w:hAnsi="Arial" w:cs="Arial"/>
          <w:sz w:val="22"/>
          <w:szCs w:val="28"/>
        </w:rPr>
        <w:t xml:space="preserve">Otro proyecto importante fue la construcción de una línea morada de 3.8 kilómetros, destinada a la conducción de agua tratada desde la Planta de Tratamiento de Aguas Residuales (PTAR) de Hermosillo hacia zonas agrícolas. Este sistema permite evitar el uso de aguas negras para riego, cumpliendo con las normativas ambientales y promoviendo el uso eficiente del agua potable. En este mismo </w:t>
      </w:r>
      <w:r>
        <w:rPr>
          <w:rFonts w:ascii="Arial" w:hAnsi="Arial" w:cs="Arial"/>
          <w:sz w:val="22"/>
          <w:szCs w:val="28"/>
        </w:rPr>
        <w:t>esfuerzo</w:t>
      </w:r>
      <w:r w:rsidRPr="002F7824">
        <w:rPr>
          <w:rFonts w:ascii="Arial" w:hAnsi="Arial" w:cs="Arial"/>
          <w:sz w:val="22"/>
          <w:szCs w:val="28"/>
        </w:rPr>
        <w:t xml:space="preserve">, </w:t>
      </w:r>
      <w:r>
        <w:rPr>
          <w:rFonts w:ascii="Arial" w:hAnsi="Arial" w:cs="Arial"/>
          <w:sz w:val="22"/>
          <w:szCs w:val="28"/>
        </w:rPr>
        <w:t>está en marcha</w:t>
      </w:r>
      <w:r w:rsidRPr="002F7824">
        <w:rPr>
          <w:rFonts w:ascii="Arial" w:hAnsi="Arial" w:cs="Arial"/>
          <w:sz w:val="22"/>
          <w:szCs w:val="28"/>
        </w:rPr>
        <w:t xml:space="preserve"> la construcción de una nueva PTAR y una red morada para el parque industrial, con el objetivo de reutilizar el agua tratada en procesos industriales. Esto promueve la sostenibilidad</w:t>
      </w:r>
      <w:r>
        <w:rPr>
          <w:rFonts w:ascii="Arial" w:hAnsi="Arial" w:cs="Arial"/>
          <w:sz w:val="22"/>
          <w:szCs w:val="28"/>
        </w:rPr>
        <w:t xml:space="preserve"> y</w:t>
      </w:r>
      <w:r w:rsidRPr="002F7824">
        <w:rPr>
          <w:rFonts w:ascii="Arial" w:hAnsi="Arial" w:cs="Arial"/>
          <w:sz w:val="22"/>
          <w:szCs w:val="28"/>
        </w:rPr>
        <w:t xml:space="preserve"> optimiza los recursos hídricos para el sector industrial.</w:t>
      </w:r>
    </w:p>
    <w:p w14:paraId="21F56884" w14:textId="6CCD5A93" w:rsidR="00EC118C" w:rsidRPr="002F7824" w:rsidRDefault="00EC118C" w:rsidP="00B205BA">
      <w:pPr>
        <w:pStyle w:val="NormalWeb"/>
        <w:spacing w:after="120" w:afterAutospacing="0"/>
        <w:jc w:val="both"/>
        <w:rPr>
          <w:rFonts w:ascii="Arial" w:hAnsi="Arial" w:cs="Arial"/>
          <w:sz w:val="22"/>
          <w:szCs w:val="28"/>
        </w:rPr>
      </w:pPr>
      <w:r w:rsidRPr="002F7824">
        <w:rPr>
          <w:rFonts w:ascii="Arial" w:hAnsi="Arial" w:cs="Arial"/>
          <w:sz w:val="22"/>
          <w:szCs w:val="28"/>
        </w:rPr>
        <w:t xml:space="preserve">En el marco del proyecto Misión XXI, se </w:t>
      </w:r>
      <w:r>
        <w:rPr>
          <w:rFonts w:ascii="Arial" w:hAnsi="Arial" w:cs="Arial"/>
          <w:sz w:val="22"/>
          <w:szCs w:val="28"/>
        </w:rPr>
        <w:t>reubicaron</w:t>
      </w:r>
      <w:r w:rsidRPr="002F7824">
        <w:rPr>
          <w:rFonts w:ascii="Arial" w:hAnsi="Arial" w:cs="Arial"/>
          <w:sz w:val="22"/>
          <w:szCs w:val="28"/>
        </w:rPr>
        <w:t xml:space="preserve"> pozos y líneas de conducción fuera del área </w:t>
      </w:r>
      <w:r>
        <w:rPr>
          <w:rFonts w:ascii="Arial" w:hAnsi="Arial" w:cs="Arial"/>
          <w:sz w:val="22"/>
          <w:szCs w:val="28"/>
        </w:rPr>
        <w:t>L</w:t>
      </w:r>
      <w:r w:rsidRPr="002F7824">
        <w:rPr>
          <w:rFonts w:ascii="Arial" w:hAnsi="Arial" w:cs="Arial"/>
          <w:sz w:val="22"/>
          <w:szCs w:val="28"/>
        </w:rPr>
        <w:t xml:space="preserve">as Riberas, lo que permitió recuperar un caudal de 202 </w:t>
      </w:r>
      <w:r>
        <w:rPr>
          <w:rFonts w:ascii="Arial" w:hAnsi="Arial" w:cs="Arial"/>
          <w:sz w:val="22"/>
          <w:szCs w:val="28"/>
        </w:rPr>
        <w:t>l/s</w:t>
      </w:r>
      <w:r w:rsidRPr="002F7824">
        <w:rPr>
          <w:rFonts w:ascii="Arial" w:hAnsi="Arial" w:cs="Arial"/>
          <w:sz w:val="22"/>
          <w:szCs w:val="28"/>
        </w:rPr>
        <w:t xml:space="preserve"> </w:t>
      </w:r>
      <w:r>
        <w:rPr>
          <w:rFonts w:ascii="Arial" w:hAnsi="Arial" w:cs="Arial"/>
          <w:sz w:val="22"/>
          <w:szCs w:val="28"/>
        </w:rPr>
        <w:t>y optimizar</w:t>
      </w:r>
      <w:r w:rsidRPr="002F7824">
        <w:rPr>
          <w:rFonts w:ascii="Arial" w:hAnsi="Arial" w:cs="Arial"/>
          <w:sz w:val="22"/>
          <w:szCs w:val="28"/>
        </w:rPr>
        <w:t xml:space="preserve"> el uso del agua </w:t>
      </w:r>
      <w:r>
        <w:rPr>
          <w:rFonts w:ascii="Arial" w:hAnsi="Arial" w:cs="Arial"/>
          <w:sz w:val="22"/>
          <w:szCs w:val="28"/>
        </w:rPr>
        <w:t>al reducir</w:t>
      </w:r>
      <w:r w:rsidRPr="002F7824">
        <w:rPr>
          <w:rFonts w:ascii="Arial" w:hAnsi="Arial" w:cs="Arial"/>
          <w:sz w:val="22"/>
          <w:szCs w:val="28"/>
        </w:rPr>
        <w:t xml:space="preserve"> las pérdidas en el sistema de distribución. También se </w:t>
      </w:r>
      <w:r>
        <w:rPr>
          <w:rFonts w:ascii="Arial" w:hAnsi="Arial" w:cs="Arial"/>
          <w:sz w:val="22"/>
          <w:szCs w:val="28"/>
        </w:rPr>
        <w:t>instalaron</w:t>
      </w:r>
      <w:r w:rsidRPr="002F7824">
        <w:rPr>
          <w:rFonts w:ascii="Arial" w:hAnsi="Arial" w:cs="Arial"/>
          <w:sz w:val="22"/>
          <w:szCs w:val="28"/>
        </w:rPr>
        <w:t xml:space="preserve"> 48</w:t>
      </w:r>
      <w:r>
        <w:rPr>
          <w:rFonts w:ascii="Arial" w:hAnsi="Arial" w:cs="Arial"/>
          <w:sz w:val="22"/>
          <w:szCs w:val="28"/>
        </w:rPr>
        <w:t xml:space="preserve"> </w:t>
      </w:r>
      <w:r w:rsidRPr="002F7824">
        <w:rPr>
          <w:rFonts w:ascii="Arial" w:hAnsi="Arial" w:cs="Arial"/>
          <w:sz w:val="22"/>
          <w:szCs w:val="28"/>
        </w:rPr>
        <w:t xml:space="preserve">800 medidores de agua, </w:t>
      </w:r>
      <w:r>
        <w:rPr>
          <w:rFonts w:ascii="Arial" w:hAnsi="Arial" w:cs="Arial"/>
          <w:sz w:val="22"/>
          <w:szCs w:val="28"/>
        </w:rPr>
        <w:t xml:space="preserve">con </w:t>
      </w:r>
      <w:r w:rsidRPr="002F7824">
        <w:rPr>
          <w:rFonts w:ascii="Arial" w:hAnsi="Arial" w:cs="Arial"/>
          <w:sz w:val="22"/>
          <w:szCs w:val="28"/>
        </w:rPr>
        <w:t>lo que ha mejorado el control del consumo y reducido el desperdicio. Este esfuerzo ha permitido aumentar la cobertura de micromedición</w:t>
      </w:r>
      <w:r>
        <w:rPr>
          <w:rFonts w:ascii="Arial" w:hAnsi="Arial" w:cs="Arial"/>
          <w:sz w:val="22"/>
          <w:szCs w:val="28"/>
        </w:rPr>
        <w:t>,</w:t>
      </w:r>
      <w:r w:rsidRPr="002F7824">
        <w:rPr>
          <w:rFonts w:ascii="Arial" w:hAnsi="Arial" w:cs="Arial"/>
          <w:sz w:val="22"/>
          <w:szCs w:val="28"/>
        </w:rPr>
        <w:t xml:space="preserve"> del 44</w:t>
      </w:r>
      <w:r>
        <w:rPr>
          <w:rFonts w:ascii="Arial" w:hAnsi="Arial" w:cs="Arial"/>
          <w:sz w:val="22"/>
          <w:szCs w:val="28"/>
        </w:rPr>
        <w:t xml:space="preserve"> </w:t>
      </w:r>
      <w:r w:rsidRPr="002F7824">
        <w:rPr>
          <w:rFonts w:ascii="Arial" w:hAnsi="Arial" w:cs="Arial"/>
          <w:sz w:val="22"/>
          <w:szCs w:val="28"/>
        </w:rPr>
        <w:t>% en 2021</w:t>
      </w:r>
      <w:r>
        <w:rPr>
          <w:rFonts w:ascii="Arial" w:hAnsi="Arial" w:cs="Arial"/>
          <w:sz w:val="22"/>
          <w:szCs w:val="28"/>
        </w:rPr>
        <w:t>,</w:t>
      </w:r>
      <w:r w:rsidRPr="002F7824">
        <w:rPr>
          <w:rFonts w:ascii="Arial" w:hAnsi="Arial" w:cs="Arial"/>
          <w:sz w:val="22"/>
          <w:szCs w:val="28"/>
        </w:rPr>
        <w:t xml:space="preserve"> a 58</w:t>
      </w:r>
      <w:r>
        <w:rPr>
          <w:rFonts w:ascii="Arial" w:hAnsi="Arial" w:cs="Arial"/>
          <w:sz w:val="22"/>
          <w:szCs w:val="28"/>
        </w:rPr>
        <w:t xml:space="preserve"> </w:t>
      </w:r>
      <w:r w:rsidRPr="002F7824">
        <w:rPr>
          <w:rFonts w:ascii="Arial" w:hAnsi="Arial" w:cs="Arial"/>
          <w:sz w:val="22"/>
          <w:szCs w:val="28"/>
        </w:rPr>
        <w:t>% en septiembre de 2024.</w:t>
      </w:r>
    </w:p>
    <w:p w14:paraId="5EB75543" w14:textId="77777777" w:rsidR="00EC118C" w:rsidRDefault="00EC118C" w:rsidP="00B205BA">
      <w:pPr>
        <w:pStyle w:val="NormalWeb"/>
        <w:spacing w:after="120" w:afterAutospacing="0"/>
        <w:jc w:val="both"/>
        <w:rPr>
          <w:rFonts w:ascii="Arial" w:hAnsi="Arial" w:cs="Arial"/>
          <w:sz w:val="22"/>
          <w:szCs w:val="28"/>
        </w:rPr>
      </w:pPr>
      <w:r w:rsidRPr="002F7824">
        <w:rPr>
          <w:rFonts w:ascii="Arial" w:hAnsi="Arial" w:cs="Arial"/>
          <w:sz w:val="22"/>
          <w:szCs w:val="28"/>
        </w:rPr>
        <w:t>Finalmente, se aprobó un procedimiento para la cancelación de cartera vencida, lo que ha facilitado la regularización de los adeudos de los usuarios. Este proceso ha contribuido a reducir la cartera vencida del área urbana, de 93</w:t>
      </w:r>
      <w:r>
        <w:rPr>
          <w:rFonts w:ascii="Arial" w:hAnsi="Arial" w:cs="Arial"/>
          <w:sz w:val="22"/>
          <w:szCs w:val="28"/>
        </w:rPr>
        <w:t xml:space="preserve"> </w:t>
      </w:r>
      <w:r w:rsidRPr="002F7824">
        <w:rPr>
          <w:rFonts w:ascii="Arial" w:hAnsi="Arial" w:cs="Arial"/>
          <w:sz w:val="22"/>
          <w:szCs w:val="28"/>
        </w:rPr>
        <w:t>505 usuarios morosos en 2021</w:t>
      </w:r>
      <w:r>
        <w:rPr>
          <w:rFonts w:ascii="Arial" w:hAnsi="Arial" w:cs="Arial"/>
          <w:sz w:val="22"/>
          <w:szCs w:val="28"/>
        </w:rPr>
        <w:t>.</w:t>
      </w:r>
      <w:r w:rsidRPr="002F7824">
        <w:rPr>
          <w:rFonts w:ascii="Arial" w:hAnsi="Arial" w:cs="Arial"/>
          <w:sz w:val="22"/>
          <w:szCs w:val="28"/>
        </w:rPr>
        <w:t xml:space="preserve"> a 91</w:t>
      </w:r>
      <w:r>
        <w:rPr>
          <w:rFonts w:ascii="Arial" w:hAnsi="Arial" w:cs="Arial"/>
          <w:sz w:val="22"/>
          <w:szCs w:val="28"/>
        </w:rPr>
        <w:t xml:space="preserve"> </w:t>
      </w:r>
      <w:r w:rsidRPr="002F7824">
        <w:rPr>
          <w:rFonts w:ascii="Arial" w:hAnsi="Arial" w:cs="Arial"/>
          <w:sz w:val="22"/>
          <w:szCs w:val="28"/>
        </w:rPr>
        <w:t xml:space="preserve">059 en 2024, con una disminución significativa en el monto de adeudos. </w:t>
      </w:r>
    </w:p>
    <w:p w14:paraId="3A4EC5DB" w14:textId="77777777" w:rsidR="00EC118C" w:rsidRPr="00183A23" w:rsidRDefault="00EC118C" w:rsidP="00B205BA">
      <w:pPr>
        <w:pStyle w:val="NormalWeb"/>
        <w:spacing w:after="120" w:afterAutospacing="0"/>
        <w:jc w:val="both"/>
        <w:rPr>
          <w:rFonts w:ascii="Arial" w:hAnsi="Arial" w:cs="Arial"/>
          <w:sz w:val="22"/>
          <w:szCs w:val="28"/>
        </w:rPr>
      </w:pPr>
      <w:r>
        <w:rPr>
          <w:rFonts w:ascii="Arial" w:hAnsi="Arial" w:cs="Arial"/>
          <w:sz w:val="22"/>
          <w:szCs w:val="28"/>
        </w:rPr>
        <w:t>En conjunto, estas</w:t>
      </w:r>
      <w:r w:rsidRPr="002F7824">
        <w:rPr>
          <w:rFonts w:ascii="Arial" w:hAnsi="Arial" w:cs="Arial"/>
          <w:sz w:val="22"/>
          <w:szCs w:val="28"/>
        </w:rPr>
        <w:t xml:space="preserve"> medidas</w:t>
      </w:r>
      <w:r>
        <w:rPr>
          <w:rFonts w:ascii="Arial" w:hAnsi="Arial" w:cs="Arial"/>
          <w:sz w:val="22"/>
          <w:szCs w:val="28"/>
        </w:rPr>
        <w:t xml:space="preserve"> van orientadas a</w:t>
      </w:r>
      <w:r w:rsidRPr="002F7824">
        <w:rPr>
          <w:rFonts w:ascii="Arial" w:hAnsi="Arial" w:cs="Arial"/>
          <w:sz w:val="22"/>
          <w:szCs w:val="28"/>
        </w:rPr>
        <w:t xml:space="preserve"> garantizar un uso más eficiente y sostenible del agua en Hermosillo, </w:t>
      </w:r>
      <w:r>
        <w:rPr>
          <w:rFonts w:ascii="Arial" w:hAnsi="Arial" w:cs="Arial"/>
          <w:sz w:val="22"/>
          <w:szCs w:val="28"/>
        </w:rPr>
        <w:t xml:space="preserve">a </w:t>
      </w:r>
      <w:r w:rsidRPr="002F7824">
        <w:rPr>
          <w:rFonts w:ascii="Arial" w:hAnsi="Arial" w:cs="Arial"/>
          <w:sz w:val="22"/>
          <w:szCs w:val="28"/>
        </w:rPr>
        <w:t xml:space="preserve">mejorar la infraestructura existente y </w:t>
      </w:r>
      <w:r>
        <w:rPr>
          <w:rFonts w:ascii="Arial" w:hAnsi="Arial" w:cs="Arial"/>
          <w:sz w:val="22"/>
          <w:szCs w:val="28"/>
        </w:rPr>
        <w:t xml:space="preserve">a </w:t>
      </w:r>
      <w:r w:rsidRPr="002F7824">
        <w:rPr>
          <w:rFonts w:ascii="Arial" w:hAnsi="Arial" w:cs="Arial"/>
          <w:sz w:val="22"/>
          <w:szCs w:val="28"/>
        </w:rPr>
        <w:t>promover la modernización del sistema hídrico para satisfacer las crecientes demandas de la población y el sector industrial, al tiempo que se fomenta la conservación del recurso.</w:t>
      </w:r>
    </w:p>
    <w:p w14:paraId="4289816C" w14:textId="77777777" w:rsidR="00287CF8" w:rsidRDefault="00EC118C" w:rsidP="00B205BA">
      <w:pPr>
        <w:spacing w:after="120" w:line="240" w:lineRule="auto"/>
        <w:rPr>
          <w:rFonts w:cs="Arial"/>
        </w:rPr>
      </w:pPr>
      <w:r>
        <w:rPr>
          <w:rFonts w:cs="Arial"/>
        </w:rPr>
        <w:t xml:space="preserve">Ante </w:t>
      </w:r>
      <w:r w:rsidRPr="00FA0B1E">
        <w:rPr>
          <w:rFonts w:cs="Arial"/>
        </w:rPr>
        <w:t>la creciente demanda de agua</w:t>
      </w:r>
      <w:r>
        <w:rPr>
          <w:rFonts w:cs="Arial"/>
        </w:rPr>
        <w:t>,</w:t>
      </w:r>
      <w:r w:rsidRPr="00FA0B1E">
        <w:rPr>
          <w:rFonts w:cs="Arial"/>
        </w:rPr>
        <w:t xml:space="preserve"> </w:t>
      </w:r>
      <w:r>
        <w:rPr>
          <w:rFonts w:cs="Arial"/>
        </w:rPr>
        <w:t>derivada del aumento poblacional acelerado y la v</w:t>
      </w:r>
      <w:r w:rsidRPr="00602ED2">
        <w:rPr>
          <w:rFonts w:cs="Arial"/>
        </w:rPr>
        <w:t xml:space="preserve">ulnerabilidad </w:t>
      </w:r>
      <w:r>
        <w:rPr>
          <w:rFonts w:cs="Arial"/>
        </w:rPr>
        <w:t>ante</w:t>
      </w:r>
      <w:r w:rsidRPr="00602ED2">
        <w:rPr>
          <w:rFonts w:cs="Arial"/>
        </w:rPr>
        <w:t xml:space="preserve"> eventos climáticos extremos</w:t>
      </w:r>
      <w:r>
        <w:rPr>
          <w:rFonts w:cs="Arial"/>
        </w:rPr>
        <w:t xml:space="preserve"> que </w:t>
      </w:r>
      <w:r w:rsidRPr="00602ED2">
        <w:rPr>
          <w:rFonts w:cs="Arial"/>
        </w:rPr>
        <w:t xml:space="preserve">impactan la disponibilidad y calidad del agua </w:t>
      </w:r>
      <w:r>
        <w:rPr>
          <w:rFonts w:cs="Arial"/>
        </w:rPr>
        <w:t>y ponen</w:t>
      </w:r>
      <w:r w:rsidRPr="00602ED2">
        <w:rPr>
          <w:rFonts w:cs="Arial"/>
        </w:rPr>
        <w:t xml:space="preserve"> en riesgo la seguridad hídrica</w:t>
      </w:r>
      <w:r>
        <w:rPr>
          <w:rFonts w:cs="Arial"/>
        </w:rPr>
        <w:t>, l</w:t>
      </w:r>
      <w:r w:rsidRPr="00FA0B1E">
        <w:rPr>
          <w:rFonts w:cs="Arial"/>
        </w:rPr>
        <w:t>os retos del Organismo Operador</w:t>
      </w:r>
      <w:r>
        <w:rPr>
          <w:rFonts w:cs="Arial"/>
        </w:rPr>
        <w:t xml:space="preserve"> de Agua</w:t>
      </w:r>
      <w:r w:rsidRPr="00FA0B1E">
        <w:rPr>
          <w:rFonts w:cs="Arial"/>
        </w:rPr>
        <w:t xml:space="preserve"> de Hermosillo se concentran en la insuficiencia de recursos, </w:t>
      </w:r>
      <w:r>
        <w:rPr>
          <w:rFonts w:cs="Arial"/>
        </w:rPr>
        <w:t xml:space="preserve">la mejora de la red de </w:t>
      </w:r>
      <w:r w:rsidRPr="00FA0B1E">
        <w:rPr>
          <w:rFonts w:cs="Arial"/>
        </w:rPr>
        <w:t>infraestructura,</w:t>
      </w:r>
      <w:r>
        <w:rPr>
          <w:rFonts w:cs="Arial"/>
        </w:rPr>
        <w:t xml:space="preserve"> el</w:t>
      </w:r>
      <w:r w:rsidRPr="00FA0B1E">
        <w:rPr>
          <w:rFonts w:cs="Arial"/>
        </w:rPr>
        <w:t xml:space="preserve"> </w:t>
      </w:r>
      <w:r w:rsidRPr="0067263F">
        <w:rPr>
          <w:rFonts w:cs="Arial"/>
        </w:rPr>
        <w:t>tratamiento de aguas residuales y la capacidad de almacenamiento y drenaje.</w:t>
      </w:r>
    </w:p>
    <w:p w14:paraId="290C0D02" w14:textId="449FD3B4" w:rsidR="00EC118C" w:rsidRDefault="00EC118C" w:rsidP="00B205BA">
      <w:pPr>
        <w:spacing w:after="120" w:line="240" w:lineRule="auto"/>
        <w:rPr>
          <w:rFonts w:cs="Arial"/>
        </w:rPr>
      </w:pPr>
      <w:r>
        <w:rPr>
          <w:rFonts w:cs="Arial"/>
        </w:rPr>
        <w:t>L</w:t>
      </w:r>
      <w:r w:rsidRPr="00BD0930">
        <w:rPr>
          <w:rFonts w:cs="Arial"/>
        </w:rPr>
        <w:t>a gestión del agua en Hermosillo se revela como un desafío complejo</w:t>
      </w:r>
      <w:r>
        <w:rPr>
          <w:rFonts w:cs="Arial"/>
        </w:rPr>
        <w:t>,</w:t>
      </w:r>
      <w:r w:rsidRPr="00BD0930">
        <w:rPr>
          <w:rFonts w:cs="Arial"/>
        </w:rPr>
        <w:t xml:space="preserve"> que requiere una visión a largo plazo</w:t>
      </w:r>
      <w:r>
        <w:rPr>
          <w:rFonts w:cs="Arial"/>
        </w:rPr>
        <w:t xml:space="preserve"> y una</w:t>
      </w:r>
      <w:r w:rsidRPr="00BD0930">
        <w:rPr>
          <w:rFonts w:cs="Arial"/>
        </w:rPr>
        <w:t xml:space="preserve"> </w:t>
      </w:r>
      <w:r w:rsidRPr="00FA0B1E">
        <w:rPr>
          <w:rFonts w:cs="Arial"/>
        </w:rPr>
        <w:t>gestión integral y sostenible que combine planificación estratégica,</w:t>
      </w:r>
      <w:r w:rsidRPr="009E6F70">
        <w:rPr>
          <w:rFonts w:cs="Arial"/>
        </w:rPr>
        <w:t xml:space="preserve"> </w:t>
      </w:r>
      <w:r w:rsidRPr="00BD0930">
        <w:rPr>
          <w:rFonts w:cs="Arial"/>
        </w:rPr>
        <w:t>inversiones sostenidas</w:t>
      </w:r>
      <w:r>
        <w:rPr>
          <w:rFonts w:cs="Arial"/>
        </w:rPr>
        <w:t xml:space="preserve"> e </w:t>
      </w:r>
      <w:r w:rsidRPr="00FA0B1E">
        <w:rPr>
          <w:rFonts w:cs="Arial"/>
        </w:rPr>
        <w:t>innovación tecnológica</w:t>
      </w:r>
      <w:r>
        <w:rPr>
          <w:rFonts w:cs="Arial"/>
        </w:rPr>
        <w:t>.</w:t>
      </w:r>
    </w:p>
    <w:p w14:paraId="4E5BD779" w14:textId="77777777" w:rsidR="00EC118C" w:rsidRPr="00BD0930" w:rsidRDefault="00EC118C" w:rsidP="00B205BA">
      <w:pPr>
        <w:spacing w:after="120" w:line="240" w:lineRule="auto"/>
        <w:rPr>
          <w:rFonts w:cs="Arial"/>
        </w:rPr>
      </w:pPr>
      <w:r w:rsidRPr="00BD0930">
        <w:rPr>
          <w:rFonts w:cs="Arial"/>
        </w:rPr>
        <w:t xml:space="preserve">Para garantizar la sostenibilidad financiera del organismo, es imperativo explorar nuevas fuentes de financiamiento y optimizar la gestión de los recursos existentes. </w:t>
      </w:r>
      <w:r>
        <w:rPr>
          <w:rFonts w:cs="Arial"/>
        </w:rPr>
        <w:t>En este proceso</w:t>
      </w:r>
      <w:r w:rsidRPr="00BD0930">
        <w:rPr>
          <w:rFonts w:cs="Arial"/>
        </w:rPr>
        <w:t xml:space="preserve">, es fundamental la participación ciudadana para construir soluciones y asegurar que las decisiones reflejen las necesidades de la comunidad. </w:t>
      </w:r>
    </w:p>
    <w:p w14:paraId="34661D51" w14:textId="77777777" w:rsidR="00EC118C" w:rsidRDefault="00EC118C" w:rsidP="00B205BA">
      <w:pPr>
        <w:spacing w:after="120" w:line="240" w:lineRule="auto"/>
        <w:rPr>
          <w:rFonts w:cs="Arial"/>
        </w:rPr>
      </w:pPr>
      <w:r>
        <w:rPr>
          <w:rFonts w:cs="Arial"/>
        </w:rPr>
        <w:t>En esta fundamental tarea, la</w:t>
      </w:r>
      <w:r w:rsidRPr="00BD0930">
        <w:rPr>
          <w:rFonts w:cs="Arial"/>
        </w:rPr>
        <w:t xml:space="preserve"> tecnología emerge como una aliada clave, </w:t>
      </w:r>
      <w:r>
        <w:rPr>
          <w:rFonts w:cs="Arial"/>
        </w:rPr>
        <w:t>con</w:t>
      </w:r>
      <w:r w:rsidRPr="00BD0930">
        <w:rPr>
          <w:rFonts w:cs="Arial"/>
        </w:rPr>
        <w:t xml:space="preserve"> herramientas innovadoras para mejorar la eficiencia operativa, la transparencia y la calidad de los servicios. Finalmente, un marco regulatorio sólido y actualizado es indispensable para </w:t>
      </w:r>
      <w:r w:rsidRPr="00BD0930">
        <w:rPr>
          <w:rFonts w:cs="Arial"/>
        </w:rPr>
        <w:lastRenderedPageBreak/>
        <w:t xml:space="preserve">establecer las bases legales y normativas que garanticen una gestión adecuada del recurso hídrico. </w:t>
      </w:r>
    </w:p>
    <w:p w14:paraId="4C7F7688" w14:textId="5D71B183" w:rsidR="00EC118C" w:rsidRPr="00287CF8" w:rsidRDefault="00EC118C" w:rsidP="00B205BA">
      <w:pPr>
        <w:spacing w:after="120" w:line="240" w:lineRule="auto"/>
        <w:rPr>
          <w:rFonts w:cs="Arial"/>
          <w:b/>
          <w:bCs/>
        </w:rPr>
      </w:pPr>
      <w:r w:rsidRPr="00287CF8">
        <w:rPr>
          <w:rFonts w:cs="Arial"/>
          <w:b/>
          <w:bCs/>
        </w:rPr>
        <w:t>Demanda energética</w:t>
      </w:r>
      <w:r w:rsidR="00261A27" w:rsidRPr="00287CF8">
        <w:rPr>
          <w:rFonts w:cs="Arial"/>
          <w:b/>
          <w:bCs/>
        </w:rPr>
        <w:t>.</w:t>
      </w:r>
    </w:p>
    <w:p w14:paraId="50F30B88" w14:textId="77777777" w:rsidR="00EC118C" w:rsidRPr="005547F8" w:rsidRDefault="00EC118C" w:rsidP="00B205BA">
      <w:pPr>
        <w:spacing w:after="120" w:line="240" w:lineRule="auto"/>
        <w:rPr>
          <w:rFonts w:cs="Arial"/>
        </w:rPr>
      </w:pPr>
      <w:r w:rsidRPr="005547F8">
        <w:rPr>
          <w:rFonts w:cs="Arial"/>
        </w:rPr>
        <w:t>El crecimiento de la demanda neta y el consumo de energía eléctrica están determinados por varios factores clave. Uno de los más relevantes es el crecimiento económico, ya que</w:t>
      </w:r>
      <w:r>
        <w:rPr>
          <w:rFonts w:cs="Arial"/>
        </w:rPr>
        <w:t>,</w:t>
      </w:r>
      <w:r w:rsidRPr="005547F8">
        <w:rPr>
          <w:rFonts w:cs="Arial"/>
        </w:rPr>
        <w:t xml:space="preserve"> a medida que aumenta el Producto Interno Bruto (PIB) de una región, también crece </w:t>
      </w:r>
      <w:r>
        <w:rPr>
          <w:rFonts w:cs="Arial"/>
        </w:rPr>
        <w:t>su</w:t>
      </w:r>
      <w:r w:rsidRPr="005547F8">
        <w:rPr>
          <w:rFonts w:cs="Arial"/>
        </w:rPr>
        <w:t xml:space="preserve"> consumo de electricidad</w:t>
      </w:r>
      <w:r>
        <w:rPr>
          <w:rFonts w:cs="Arial"/>
        </w:rPr>
        <w:t>,</w:t>
      </w:r>
      <w:r w:rsidRPr="005547F8">
        <w:rPr>
          <w:rFonts w:cs="Arial"/>
        </w:rPr>
        <w:t xml:space="preserve"> debido a la mayor adquisición de productos y servicios, como electrodomésticos. El crecimiento poblacional es otro factor determinante: a mayor población, se requiere construir más viviendas y desarrollar infraestructura comercial e industrial, lo cual</w:t>
      </w:r>
      <w:r>
        <w:rPr>
          <w:rFonts w:cs="Arial"/>
        </w:rPr>
        <w:t>, a su vez,</w:t>
      </w:r>
      <w:r w:rsidRPr="005547F8">
        <w:rPr>
          <w:rFonts w:cs="Arial"/>
        </w:rPr>
        <w:t xml:space="preserve"> incrementa el consumo de energía.</w:t>
      </w:r>
    </w:p>
    <w:p w14:paraId="1B02305A" w14:textId="77777777" w:rsidR="00EC118C" w:rsidRPr="005547F8" w:rsidRDefault="00EC118C" w:rsidP="00B205BA">
      <w:pPr>
        <w:spacing w:after="120" w:line="240" w:lineRule="auto"/>
        <w:rPr>
          <w:rFonts w:cs="Arial"/>
        </w:rPr>
      </w:pPr>
      <w:r w:rsidRPr="005547F8">
        <w:rPr>
          <w:rFonts w:cs="Arial"/>
        </w:rPr>
        <w:t xml:space="preserve">La estacionalidad también influye, ya que las variaciones climáticas extremas, como temperaturas altas o bajas, lluvias intensas o fenómenos meteorológicos como huracanes o El Niño, tienden a aumentar significativamente la demanda de electricidad. </w:t>
      </w:r>
      <w:r>
        <w:rPr>
          <w:rFonts w:cs="Arial"/>
        </w:rPr>
        <w:t>Aunada a ello</w:t>
      </w:r>
      <w:r w:rsidRPr="005547F8">
        <w:rPr>
          <w:rFonts w:cs="Arial"/>
        </w:rPr>
        <w:t>, la electromovilidad ha surgido como un nuevo factor que impulsa la demanda energética. La adopción creciente de vehículos eléctricos, tanto particulares como de transporte público, requiere una mayor carga de baterías, lo que contribuye al incremento del consumo en el sistema eléctrico.</w:t>
      </w:r>
    </w:p>
    <w:p w14:paraId="3E059CBA" w14:textId="77777777" w:rsidR="00EC118C" w:rsidRDefault="00EC118C" w:rsidP="00B205BA">
      <w:pPr>
        <w:spacing w:after="120" w:line="240" w:lineRule="auto"/>
        <w:rPr>
          <w:rFonts w:cs="Arial"/>
        </w:rPr>
      </w:pPr>
      <w:r w:rsidRPr="005547F8">
        <w:rPr>
          <w:rFonts w:cs="Arial"/>
        </w:rPr>
        <w:t>En 2022, el consumo neto nacional del Sistema Eléctrico Nacional (SEN) alcanzó los 333</w:t>
      </w:r>
      <w:r>
        <w:rPr>
          <w:rFonts w:cs="Arial"/>
        </w:rPr>
        <w:t xml:space="preserve"> </w:t>
      </w:r>
      <w:r w:rsidRPr="005547F8">
        <w:rPr>
          <w:rFonts w:cs="Arial"/>
        </w:rPr>
        <w:t>662 GWh, un aumento de 3.4</w:t>
      </w:r>
      <w:r>
        <w:rPr>
          <w:rFonts w:cs="Arial"/>
        </w:rPr>
        <w:t xml:space="preserve"> </w:t>
      </w:r>
      <w:r w:rsidRPr="005547F8">
        <w:rPr>
          <w:rFonts w:cs="Arial"/>
        </w:rPr>
        <w:t>% respecto al consumo registrado en 2021. Este incremento refleja la recuperación gradual de la economía mexicana tras el impacto de la contingencia sanitaria que provocó la suspensión de diversas actividades productivas. Según datos del Centro Nacional de Control de Energía (CENACE), la demanda máxima en Hermosillo en 2022 fue de 1203 MW, mientras que en la zona agrícola de Hermosillo fue de 202 MW.</w:t>
      </w:r>
    </w:p>
    <w:p w14:paraId="1F279D35" w14:textId="77777777" w:rsidR="00013F4A" w:rsidRPr="00013F4A" w:rsidRDefault="00EC118C" w:rsidP="00013F4A">
      <w:pPr>
        <w:spacing w:after="120" w:line="240" w:lineRule="auto"/>
        <w:rPr>
          <w:rFonts w:cs="Arial"/>
        </w:rPr>
      </w:pPr>
      <w:r w:rsidRPr="00BA65DC">
        <w:rPr>
          <w:rFonts w:cs="Arial"/>
        </w:rPr>
        <w:t xml:space="preserve">Según el Programa de Desarrollo del Sistema Eléctrico Nacional (Prodesen) 2022-2036, se </w:t>
      </w:r>
      <w:r w:rsidRPr="00013F4A">
        <w:rPr>
          <w:rFonts w:cs="Arial"/>
        </w:rPr>
        <w:t>estima un crecimiento anual de 3 % en la demanda eléctrica, debido a factores como el aumento poblacional y económico. Para atender esta demanda, se prevé que la capacidad instalada del país aumente en 48 % para 2036, centrando la estrategia de expansión en las plantas de ciclos combinados (gas natural y vapor).</w:t>
      </w:r>
    </w:p>
    <w:p w14:paraId="5FFFF215" w14:textId="0AF61F9E" w:rsidR="00EC118C" w:rsidRPr="00013F4A" w:rsidRDefault="00EC118C" w:rsidP="00013F4A">
      <w:pPr>
        <w:spacing w:after="120" w:line="240" w:lineRule="auto"/>
        <w:rPr>
          <w:rFonts w:cs="Arial"/>
        </w:rPr>
      </w:pPr>
      <w:r w:rsidRPr="00013F4A">
        <w:rPr>
          <w:rFonts w:cs="Arial"/>
          <w:szCs w:val="28"/>
        </w:rPr>
        <w:t xml:space="preserve">México enfrenta un panorama desafiante en lo relativo a energías limpias. La Secretaría de </w:t>
      </w:r>
      <w:r w:rsidRPr="00013F4A">
        <w:rPr>
          <w:rFonts w:cs="Arial"/>
        </w:rPr>
        <w:t xml:space="preserve">Energía estima que, entre 2022 y 2025, solo 14 % de la capacidad adicional corresponderá a fuentes renovables, mientras que casi 68 % estará destinado a ciclos combinados. Para el período 2026 - 2035 se estima que 72 % de las nuevas adiciones corresponderán a energías renovables. </w:t>
      </w:r>
    </w:p>
    <w:p w14:paraId="56128CEE" w14:textId="1AF87195" w:rsidR="00013F4A" w:rsidRPr="00013F4A" w:rsidRDefault="00EC118C" w:rsidP="00013F4A">
      <w:pPr>
        <w:pStyle w:val="NormalWeb"/>
        <w:spacing w:before="0" w:beforeAutospacing="0" w:after="120" w:afterAutospacing="0"/>
        <w:jc w:val="both"/>
        <w:rPr>
          <w:rFonts w:ascii="Arial" w:hAnsi="Arial" w:cs="Arial"/>
          <w:sz w:val="22"/>
          <w:szCs w:val="22"/>
        </w:rPr>
      </w:pPr>
      <w:r w:rsidRPr="00013F4A">
        <w:rPr>
          <w:rFonts w:ascii="Arial" w:hAnsi="Arial" w:cs="Arial"/>
          <w:sz w:val="22"/>
          <w:szCs w:val="22"/>
        </w:rPr>
        <w:t>La meta es producir 35% de energía limpia para 2024 y 43 % en 2030, según quedó establecido en el artículo 3 de la Ley de Transición Energética y en la Ley General de Cambio Climático en su artículo Tercero Transitorio.</w:t>
      </w:r>
    </w:p>
    <w:p w14:paraId="4FC6176D" w14:textId="5D95C77A" w:rsidR="00EC118C" w:rsidRPr="00013F4A" w:rsidRDefault="00EC118C" w:rsidP="00013F4A">
      <w:pPr>
        <w:pStyle w:val="NormalWeb"/>
        <w:spacing w:before="0" w:beforeAutospacing="0" w:after="120" w:afterAutospacing="0"/>
        <w:jc w:val="both"/>
        <w:rPr>
          <w:rFonts w:ascii="Arial" w:hAnsi="Arial" w:cs="Arial"/>
          <w:sz w:val="22"/>
          <w:szCs w:val="22"/>
        </w:rPr>
      </w:pPr>
      <w:r w:rsidRPr="00013F4A">
        <w:rPr>
          <w:rFonts w:ascii="Arial" w:hAnsi="Arial" w:cs="Arial"/>
          <w:sz w:val="22"/>
          <w:szCs w:val="22"/>
        </w:rPr>
        <w:t>Impulsar la transición energética tiene como condición indispensable la diversificación de la infraestructura de generación eléctrica, mediante la integración acelerada de fuentes de bajas o nulas emisiones de gases de efecto invernadero. Esto implica incrementar la inversión en generación eléctrica renovable.</w:t>
      </w:r>
    </w:p>
    <w:p w14:paraId="7D7D850A" w14:textId="5B4FA0A0" w:rsidR="00EC118C" w:rsidRPr="00013F4A" w:rsidRDefault="00EC118C" w:rsidP="00B205BA">
      <w:pPr>
        <w:pStyle w:val="NormalWeb"/>
        <w:spacing w:before="0" w:beforeAutospacing="0" w:after="120" w:afterAutospacing="0"/>
        <w:jc w:val="both"/>
        <w:rPr>
          <w:rFonts w:ascii="Arial" w:hAnsi="Arial" w:cs="Arial"/>
          <w:b/>
          <w:bCs/>
          <w:sz w:val="22"/>
          <w:szCs w:val="28"/>
        </w:rPr>
      </w:pPr>
      <w:r w:rsidRPr="00013F4A">
        <w:rPr>
          <w:rFonts w:ascii="Arial" w:hAnsi="Arial" w:cs="Arial"/>
          <w:b/>
          <w:bCs/>
          <w:sz w:val="22"/>
          <w:szCs w:val="28"/>
        </w:rPr>
        <w:t>Hermosillo: Ciudad Solar</w:t>
      </w:r>
      <w:r w:rsidR="00013F4A">
        <w:rPr>
          <w:rFonts w:ascii="Arial" w:hAnsi="Arial" w:cs="Arial"/>
          <w:b/>
          <w:bCs/>
          <w:sz w:val="22"/>
          <w:szCs w:val="28"/>
        </w:rPr>
        <w:t>.</w:t>
      </w:r>
    </w:p>
    <w:p w14:paraId="3A2D4842" w14:textId="77777777" w:rsidR="00013F4A" w:rsidRDefault="00EC118C" w:rsidP="00013F4A">
      <w:pPr>
        <w:pStyle w:val="NormalWeb"/>
        <w:spacing w:before="0" w:beforeAutospacing="0" w:after="120" w:afterAutospacing="0"/>
        <w:jc w:val="both"/>
        <w:rPr>
          <w:rFonts w:ascii="Arial" w:hAnsi="Arial" w:cs="Arial"/>
          <w:sz w:val="22"/>
          <w:szCs w:val="28"/>
        </w:rPr>
      </w:pPr>
      <w:r w:rsidRPr="00A60B1F">
        <w:rPr>
          <w:rFonts w:ascii="Arial" w:hAnsi="Arial" w:cs="Arial"/>
          <w:sz w:val="22"/>
          <w:szCs w:val="28"/>
        </w:rPr>
        <w:t xml:space="preserve">Sonora es uno de los estados con mayor capacidad para generar electricidad a partir de energías renovables </w:t>
      </w:r>
      <w:r>
        <w:rPr>
          <w:rFonts w:ascii="Arial" w:hAnsi="Arial" w:cs="Arial"/>
          <w:sz w:val="22"/>
          <w:szCs w:val="28"/>
        </w:rPr>
        <w:t xml:space="preserve">en el país, </w:t>
      </w:r>
      <w:r w:rsidRPr="00A60B1F">
        <w:rPr>
          <w:rFonts w:ascii="Arial" w:hAnsi="Arial" w:cs="Arial"/>
          <w:sz w:val="22"/>
          <w:szCs w:val="28"/>
        </w:rPr>
        <w:t xml:space="preserve">y </w:t>
      </w:r>
      <w:r>
        <w:rPr>
          <w:rFonts w:ascii="Arial" w:hAnsi="Arial" w:cs="Arial"/>
          <w:sz w:val="22"/>
          <w:szCs w:val="28"/>
        </w:rPr>
        <w:t xml:space="preserve">el que </w:t>
      </w:r>
      <w:r w:rsidRPr="00A60B1F">
        <w:rPr>
          <w:rFonts w:ascii="Arial" w:hAnsi="Arial" w:cs="Arial"/>
          <w:sz w:val="22"/>
          <w:szCs w:val="28"/>
        </w:rPr>
        <w:t xml:space="preserve">cuenta con el mayor número de proyectos autorizados en este ámbito, según datos de la Comisión Reguladora de Energía. De acuerdo con el Mapa de Ruta de Energía en Sonora 2024, se estima que para 2030 el </w:t>
      </w:r>
      <w:r w:rsidRPr="00A60B1F">
        <w:rPr>
          <w:rFonts w:ascii="Arial" w:hAnsi="Arial" w:cs="Arial"/>
          <w:sz w:val="22"/>
          <w:szCs w:val="28"/>
        </w:rPr>
        <w:lastRenderedPageBreak/>
        <w:t>estado alcanzará una producción de 25</w:t>
      </w:r>
      <w:r>
        <w:rPr>
          <w:rFonts w:ascii="Arial" w:hAnsi="Arial" w:cs="Arial"/>
          <w:sz w:val="22"/>
          <w:szCs w:val="28"/>
        </w:rPr>
        <w:t xml:space="preserve"> </w:t>
      </w:r>
      <w:r w:rsidRPr="00A60B1F">
        <w:rPr>
          <w:rFonts w:ascii="Arial" w:hAnsi="Arial" w:cs="Arial"/>
          <w:sz w:val="22"/>
          <w:szCs w:val="28"/>
        </w:rPr>
        <w:t xml:space="preserve">684.4 Gigawatts-hora, </w:t>
      </w:r>
      <w:r>
        <w:rPr>
          <w:rFonts w:ascii="Arial" w:hAnsi="Arial" w:cs="Arial"/>
          <w:sz w:val="22"/>
          <w:szCs w:val="28"/>
        </w:rPr>
        <w:t>con lo que se consolidará</w:t>
      </w:r>
      <w:r w:rsidRPr="00A60B1F">
        <w:rPr>
          <w:rFonts w:ascii="Arial" w:hAnsi="Arial" w:cs="Arial"/>
          <w:sz w:val="22"/>
          <w:szCs w:val="28"/>
        </w:rPr>
        <w:t xml:space="preserve"> como el principal generador de energía en la región noroeste.</w:t>
      </w:r>
    </w:p>
    <w:p w14:paraId="79B81457" w14:textId="77777777" w:rsidR="00013F4A" w:rsidRDefault="00EC118C" w:rsidP="00013F4A">
      <w:pPr>
        <w:pStyle w:val="NormalWeb"/>
        <w:spacing w:before="0" w:beforeAutospacing="0" w:after="120" w:afterAutospacing="0"/>
        <w:jc w:val="both"/>
        <w:rPr>
          <w:rFonts w:ascii="Arial" w:hAnsi="Arial" w:cs="Arial"/>
          <w:sz w:val="22"/>
          <w:szCs w:val="28"/>
        </w:rPr>
      </w:pPr>
      <w:r w:rsidRPr="00A60B1F">
        <w:rPr>
          <w:rFonts w:ascii="Arial" w:hAnsi="Arial" w:cs="Arial"/>
          <w:sz w:val="22"/>
          <w:szCs w:val="28"/>
        </w:rPr>
        <w:t xml:space="preserve">En este contexto, </w:t>
      </w:r>
      <w:r>
        <w:rPr>
          <w:rFonts w:ascii="Arial" w:hAnsi="Arial" w:cs="Arial"/>
          <w:sz w:val="22"/>
          <w:szCs w:val="28"/>
        </w:rPr>
        <w:t xml:space="preserve">el Gobierno Municipal de </w:t>
      </w:r>
      <w:r w:rsidRPr="00A60B1F">
        <w:rPr>
          <w:rFonts w:ascii="Arial" w:hAnsi="Arial" w:cs="Arial"/>
          <w:sz w:val="22"/>
          <w:szCs w:val="28"/>
        </w:rPr>
        <w:t>Hermosillo creó en 2021 la Agencia Municipal de Energía y Cambio Climático (AMECC), cuyo objetivo es impulsar un modelo energético sostenible y reducir el impacto del cambio climático</w:t>
      </w:r>
      <w:r>
        <w:rPr>
          <w:rFonts w:ascii="Arial" w:hAnsi="Arial" w:cs="Arial"/>
          <w:sz w:val="22"/>
          <w:szCs w:val="28"/>
        </w:rPr>
        <w:t xml:space="preserve"> en el municipio</w:t>
      </w:r>
      <w:r w:rsidRPr="00A60B1F">
        <w:rPr>
          <w:rFonts w:ascii="Arial" w:hAnsi="Arial" w:cs="Arial"/>
          <w:sz w:val="22"/>
          <w:szCs w:val="28"/>
        </w:rPr>
        <w:t>. Desde su fundación, la AMECC ha implementado más de 17 iniciativas, entre las que destacan la instalación de sistemas fotovoltaicos en edificios públicos, la incorporación de patrullas eléctricas y programas de eficiencia energética.</w:t>
      </w:r>
    </w:p>
    <w:p w14:paraId="4742C0AC" w14:textId="77777777" w:rsidR="00013F4A" w:rsidRDefault="00EC118C" w:rsidP="00013F4A">
      <w:pPr>
        <w:pStyle w:val="NormalWeb"/>
        <w:spacing w:before="0" w:beforeAutospacing="0" w:after="120" w:afterAutospacing="0"/>
        <w:jc w:val="both"/>
        <w:rPr>
          <w:rFonts w:ascii="Arial" w:hAnsi="Arial" w:cs="Arial"/>
          <w:sz w:val="22"/>
          <w:szCs w:val="28"/>
        </w:rPr>
      </w:pPr>
      <w:r w:rsidRPr="00E719F2">
        <w:rPr>
          <w:rFonts w:ascii="Arial" w:hAnsi="Arial" w:cs="Arial"/>
          <w:sz w:val="22"/>
          <w:szCs w:val="28"/>
        </w:rPr>
        <w:t>Uno de los proyectos más relevantes ha sido la instalación de</w:t>
      </w:r>
      <w:r>
        <w:rPr>
          <w:rFonts w:ascii="Arial" w:hAnsi="Arial" w:cs="Arial"/>
          <w:sz w:val="22"/>
          <w:szCs w:val="28"/>
        </w:rPr>
        <w:t xml:space="preserve"> un sistema de</w:t>
      </w:r>
      <w:r w:rsidRPr="00E719F2">
        <w:rPr>
          <w:rFonts w:ascii="Arial" w:hAnsi="Arial" w:cs="Arial"/>
          <w:sz w:val="22"/>
          <w:szCs w:val="28"/>
        </w:rPr>
        <w:t xml:space="preserve"> 680 kW de capacidad fotovoltaica en edificios públicos, lo que permitió en 2022 </w:t>
      </w:r>
      <w:r>
        <w:rPr>
          <w:rFonts w:ascii="Arial" w:hAnsi="Arial" w:cs="Arial"/>
          <w:sz w:val="22"/>
          <w:szCs w:val="28"/>
        </w:rPr>
        <w:t>una</w:t>
      </w:r>
      <w:r w:rsidRPr="00E719F2">
        <w:rPr>
          <w:rFonts w:ascii="Arial" w:hAnsi="Arial" w:cs="Arial"/>
          <w:sz w:val="22"/>
          <w:szCs w:val="28"/>
        </w:rPr>
        <w:t xml:space="preserve"> reducción de 21</w:t>
      </w:r>
      <w:r>
        <w:rPr>
          <w:rFonts w:ascii="Arial" w:hAnsi="Arial" w:cs="Arial"/>
          <w:sz w:val="22"/>
          <w:szCs w:val="28"/>
        </w:rPr>
        <w:t xml:space="preserve"> </w:t>
      </w:r>
      <w:r w:rsidRPr="00E719F2">
        <w:rPr>
          <w:rFonts w:ascii="Arial" w:hAnsi="Arial" w:cs="Arial"/>
          <w:sz w:val="22"/>
          <w:szCs w:val="28"/>
        </w:rPr>
        <w:t>% en costos de electricidad</w:t>
      </w:r>
      <w:r>
        <w:rPr>
          <w:rFonts w:ascii="Arial" w:hAnsi="Arial" w:cs="Arial"/>
          <w:sz w:val="22"/>
          <w:szCs w:val="28"/>
        </w:rPr>
        <w:t>,</w:t>
      </w:r>
      <w:r w:rsidRPr="00E719F2">
        <w:rPr>
          <w:rFonts w:ascii="Arial" w:hAnsi="Arial" w:cs="Arial"/>
          <w:sz w:val="22"/>
          <w:szCs w:val="28"/>
        </w:rPr>
        <w:t xml:space="preserve"> y una disminución de 35</w:t>
      </w:r>
      <w:r>
        <w:rPr>
          <w:rFonts w:ascii="Arial" w:hAnsi="Arial" w:cs="Arial"/>
          <w:sz w:val="22"/>
          <w:szCs w:val="28"/>
        </w:rPr>
        <w:t xml:space="preserve"> </w:t>
      </w:r>
      <w:r w:rsidRPr="00E719F2">
        <w:rPr>
          <w:rFonts w:ascii="Arial" w:hAnsi="Arial" w:cs="Arial"/>
          <w:sz w:val="22"/>
          <w:szCs w:val="28"/>
        </w:rPr>
        <w:t xml:space="preserve">% en el consumo de energía eléctrica. Además, se modernizaron equipos eléctricos en los edificios municipales, sustituyendo </w:t>
      </w:r>
      <w:r>
        <w:rPr>
          <w:rFonts w:ascii="Arial" w:hAnsi="Arial" w:cs="Arial"/>
          <w:sz w:val="22"/>
          <w:szCs w:val="28"/>
        </w:rPr>
        <w:t>equipos de refrigeración</w:t>
      </w:r>
      <w:r w:rsidRPr="00E719F2">
        <w:rPr>
          <w:rFonts w:ascii="Arial" w:hAnsi="Arial" w:cs="Arial"/>
          <w:sz w:val="22"/>
          <w:szCs w:val="28"/>
        </w:rPr>
        <w:t xml:space="preserve"> antiguos y focos halógenos por </w:t>
      </w:r>
      <w:r>
        <w:rPr>
          <w:rFonts w:ascii="Arial" w:hAnsi="Arial" w:cs="Arial"/>
          <w:sz w:val="22"/>
          <w:szCs w:val="28"/>
        </w:rPr>
        <w:t>refrigeraciones</w:t>
      </w:r>
      <w:r w:rsidRPr="00E719F2">
        <w:rPr>
          <w:rFonts w:ascii="Arial" w:hAnsi="Arial" w:cs="Arial"/>
          <w:sz w:val="22"/>
          <w:szCs w:val="28"/>
        </w:rPr>
        <w:t xml:space="preserve"> más eficientes y lámparas LED. </w:t>
      </w:r>
    </w:p>
    <w:p w14:paraId="69B4FE53" w14:textId="77777777" w:rsidR="00013F4A" w:rsidRDefault="00EC118C" w:rsidP="00013F4A">
      <w:pPr>
        <w:pStyle w:val="NormalWeb"/>
        <w:spacing w:before="0" w:beforeAutospacing="0" w:after="120" w:afterAutospacing="0"/>
        <w:jc w:val="both"/>
        <w:rPr>
          <w:rFonts w:ascii="Arial" w:hAnsi="Arial" w:cs="Arial"/>
          <w:sz w:val="22"/>
          <w:szCs w:val="28"/>
        </w:rPr>
      </w:pPr>
      <w:r w:rsidRPr="00E719F2">
        <w:rPr>
          <w:rFonts w:ascii="Arial" w:hAnsi="Arial" w:cs="Arial"/>
          <w:sz w:val="22"/>
          <w:szCs w:val="28"/>
        </w:rPr>
        <w:t>En el mismo año, se dotó a la Policía Municipal con 220 patrullas eléctricas, las cuales cargan sus baterías en la estación de carga solar ubicada en la Comandancia Zona Norte</w:t>
      </w:r>
      <w:r>
        <w:rPr>
          <w:rFonts w:ascii="Arial" w:hAnsi="Arial" w:cs="Arial"/>
          <w:sz w:val="22"/>
          <w:szCs w:val="28"/>
        </w:rPr>
        <w:t xml:space="preserve">. Esta es </w:t>
      </w:r>
      <w:r w:rsidRPr="00E719F2">
        <w:rPr>
          <w:rFonts w:ascii="Arial" w:hAnsi="Arial" w:cs="Arial"/>
          <w:sz w:val="22"/>
          <w:szCs w:val="28"/>
        </w:rPr>
        <w:t>la electrolinera más grande de América Latina, equipada con 345 paneles solares y 124 estaciones de carga. En febrero de 2023, la organización Iniciativa Cambio Climático de México (ICM) determinó que las patrullas tienen un rendimiento de 98</w:t>
      </w:r>
      <w:r>
        <w:rPr>
          <w:rFonts w:ascii="Arial" w:hAnsi="Arial" w:cs="Arial"/>
          <w:sz w:val="22"/>
          <w:szCs w:val="28"/>
        </w:rPr>
        <w:t xml:space="preserve"> </w:t>
      </w:r>
      <w:r w:rsidRPr="00E719F2">
        <w:rPr>
          <w:rFonts w:ascii="Arial" w:hAnsi="Arial" w:cs="Arial"/>
          <w:sz w:val="22"/>
          <w:szCs w:val="28"/>
        </w:rPr>
        <w:t xml:space="preserve">%, </w:t>
      </w:r>
      <w:r>
        <w:rPr>
          <w:rFonts w:ascii="Arial" w:hAnsi="Arial" w:cs="Arial"/>
          <w:sz w:val="22"/>
          <w:szCs w:val="28"/>
        </w:rPr>
        <w:t>y estimó</w:t>
      </w:r>
      <w:r w:rsidRPr="00E719F2">
        <w:rPr>
          <w:rFonts w:ascii="Arial" w:hAnsi="Arial" w:cs="Arial"/>
          <w:sz w:val="22"/>
          <w:szCs w:val="28"/>
        </w:rPr>
        <w:t xml:space="preserve"> el retorno de</w:t>
      </w:r>
      <w:r>
        <w:rPr>
          <w:rFonts w:ascii="Arial" w:hAnsi="Arial" w:cs="Arial"/>
          <w:sz w:val="22"/>
          <w:szCs w:val="28"/>
        </w:rPr>
        <w:t xml:space="preserve"> la</w:t>
      </w:r>
      <w:r w:rsidRPr="00E719F2">
        <w:rPr>
          <w:rFonts w:ascii="Arial" w:hAnsi="Arial" w:cs="Arial"/>
          <w:sz w:val="22"/>
          <w:szCs w:val="28"/>
        </w:rPr>
        <w:t xml:space="preserve"> inversión en apenas tres meses</w:t>
      </w:r>
      <w:r>
        <w:rPr>
          <w:rFonts w:ascii="Arial" w:hAnsi="Arial" w:cs="Arial"/>
          <w:sz w:val="22"/>
          <w:szCs w:val="28"/>
        </w:rPr>
        <w:t>,</w:t>
      </w:r>
      <w:r w:rsidRPr="00E719F2">
        <w:rPr>
          <w:rFonts w:ascii="Arial" w:hAnsi="Arial" w:cs="Arial"/>
          <w:sz w:val="22"/>
          <w:szCs w:val="28"/>
        </w:rPr>
        <w:t xml:space="preserve"> gracias a los ahorros en combustible, refacciones y emisiones contaminantes.</w:t>
      </w:r>
    </w:p>
    <w:p w14:paraId="11EFB2AE" w14:textId="77777777" w:rsidR="00013F4A" w:rsidRDefault="00EC118C" w:rsidP="00013F4A">
      <w:pPr>
        <w:pStyle w:val="NormalWeb"/>
        <w:spacing w:before="0" w:beforeAutospacing="0" w:after="120" w:afterAutospacing="0"/>
        <w:jc w:val="both"/>
        <w:rPr>
          <w:rFonts w:ascii="Arial" w:hAnsi="Arial" w:cs="Arial"/>
          <w:sz w:val="22"/>
          <w:szCs w:val="28"/>
        </w:rPr>
      </w:pPr>
      <w:r w:rsidRPr="00E719F2">
        <w:rPr>
          <w:rFonts w:ascii="Arial" w:hAnsi="Arial" w:cs="Arial"/>
          <w:sz w:val="22"/>
          <w:szCs w:val="28"/>
        </w:rPr>
        <w:t>Otro programa importante es</w:t>
      </w:r>
      <w:r>
        <w:rPr>
          <w:rFonts w:ascii="Arial" w:hAnsi="Arial" w:cs="Arial"/>
          <w:sz w:val="22"/>
          <w:szCs w:val="28"/>
        </w:rPr>
        <w:t xml:space="preserve"> el implementado por el equipo</w:t>
      </w:r>
      <w:r w:rsidRPr="00E719F2">
        <w:rPr>
          <w:rFonts w:ascii="Arial" w:hAnsi="Arial" w:cs="Arial"/>
          <w:sz w:val="22"/>
          <w:szCs w:val="28"/>
        </w:rPr>
        <w:t xml:space="preserve"> “Tumba Watts”, una cuadrilla de técnicos especializados en </w:t>
      </w:r>
      <w:r>
        <w:rPr>
          <w:rFonts w:ascii="Arial" w:hAnsi="Arial" w:cs="Arial"/>
          <w:sz w:val="22"/>
          <w:szCs w:val="28"/>
        </w:rPr>
        <w:t>la detección de</w:t>
      </w:r>
      <w:r w:rsidRPr="00E719F2">
        <w:rPr>
          <w:rFonts w:ascii="Arial" w:hAnsi="Arial" w:cs="Arial"/>
          <w:sz w:val="22"/>
          <w:szCs w:val="28"/>
        </w:rPr>
        <w:t xml:space="preserve"> fugas de energía en hogares, beneficiando a más de tres mil familias de Hermosillo. </w:t>
      </w:r>
      <w:r>
        <w:rPr>
          <w:rFonts w:ascii="Arial" w:hAnsi="Arial" w:cs="Arial"/>
          <w:sz w:val="22"/>
          <w:szCs w:val="28"/>
        </w:rPr>
        <w:t>El programa</w:t>
      </w:r>
      <w:r w:rsidRPr="00E719F2">
        <w:rPr>
          <w:rFonts w:ascii="Arial" w:hAnsi="Arial" w:cs="Arial"/>
          <w:sz w:val="22"/>
          <w:szCs w:val="28"/>
        </w:rPr>
        <w:t xml:space="preserve"> establece que toda iniciativa relacionada con energía debe someterse a un diagnóstico de eficiencia antes de su implementación. </w:t>
      </w:r>
    </w:p>
    <w:p w14:paraId="639E58CF" w14:textId="77777777" w:rsidR="00013F4A" w:rsidRDefault="00EC118C" w:rsidP="00013F4A">
      <w:pPr>
        <w:pStyle w:val="NormalWeb"/>
        <w:spacing w:before="0" w:beforeAutospacing="0" w:after="120" w:afterAutospacing="0"/>
        <w:jc w:val="both"/>
        <w:rPr>
          <w:rFonts w:ascii="Arial" w:hAnsi="Arial" w:cs="Arial"/>
          <w:sz w:val="22"/>
          <w:szCs w:val="28"/>
        </w:rPr>
      </w:pPr>
      <w:r w:rsidRPr="00E719F2">
        <w:rPr>
          <w:rFonts w:ascii="Arial" w:hAnsi="Arial" w:cs="Arial"/>
          <w:sz w:val="22"/>
          <w:szCs w:val="28"/>
        </w:rPr>
        <w:t>La iluminación de espacios públicos también ha sido un área prioritaria</w:t>
      </w:r>
      <w:r>
        <w:rPr>
          <w:rFonts w:ascii="Arial" w:hAnsi="Arial" w:cs="Arial"/>
          <w:sz w:val="22"/>
          <w:szCs w:val="28"/>
        </w:rPr>
        <w:t>. E</w:t>
      </w:r>
      <w:r w:rsidRPr="00E719F2">
        <w:rPr>
          <w:rFonts w:ascii="Arial" w:hAnsi="Arial" w:cs="Arial"/>
          <w:sz w:val="22"/>
          <w:szCs w:val="28"/>
        </w:rPr>
        <w:t xml:space="preserve">n el </w:t>
      </w:r>
      <w:r>
        <w:rPr>
          <w:rFonts w:ascii="Arial" w:hAnsi="Arial" w:cs="Arial"/>
          <w:sz w:val="22"/>
          <w:szCs w:val="28"/>
        </w:rPr>
        <w:t>b</w:t>
      </w:r>
      <w:r w:rsidRPr="00E719F2">
        <w:rPr>
          <w:rFonts w:ascii="Arial" w:hAnsi="Arial" w:cs="Arial"/>
          <w:sz w:val="22"/>
          <w:szCs w:val="28"/>
        </w:rPr>
        <w:t>ulevar Morelos se instalaron luminarias solares alimentadas por un sistema de 10.1 kWp y 20 paneles solares, logrando una iluminación sostenible en toda la avenida. Cabe resaltar que la estructura de estos paneles se construyó con materiales reciclados, contribuyendo a una infraestructura sustentable.</w:t>
      </w:r>
    </w:p>
    <w:p w14:paraId="2A6F5971" w14:textId="77777777" w:rsidR="00013F4A" w:rsidRDefault="00EC118C" w:rsidP="00013F4A">
      <w:pPr>
        <w:pStyle w:val="NormalWeb"/>
        <w:spacing w:before="0" w:beforeAutospacing="0" w:after="120" w:afterAutospacing="0"/>
        <w:jc w:val="both"/>
        <w:rPr>
          <w:rFonts w:ascii="Arial" w:hAnsi="Arial" w:cs="Arial"/>
          <w:sz w:val="22"/>
          <w:szCs w:val="28"/>
        </w:rPr>
      </w:pPr>
      <w:r w:rsidRPr="00E719F2">
        <w:rPr>
          <w:rFonts w:ascii="Arial" w:hAnsi="Arial" w:cs="Arial"/>
          <w:sz w:val="22"/>
          <w:szCs w:val="28"/>
        </w:rPr>
        <w:t xml:space="preserve">En cuanto a la seguridad, el programa “Camina Segura”, en colaboración con la Secretaría de Seguridad Pública, ha instalado lámparas solares en paraderos de autobuses situados en rutas identificadas como de alto riesgo para mujeres que transitan hacia sus lugares de trabajo. Además, se han implementado iniciativas para fomentar el uso de energía solar en hogares y negocios. </w:t>
      </w:r>
      <w:r>
        <w:rPr>
          <w:rFonts w:ascii="Arial" w:hAnsi="Arial" w:cs="Arial"/>
          <w:sz w:val="22"/>
          <w:szCs w:val="28"/>
        </w:rPr>
        <w:t>Un ejemplo es e</w:t>
      </w:r>
      <w:r w:rsidRPr="00E719F2">
        <w:rPr>
          <w:rFonts w:ascii="Arial" w:hAnsi="Arial" w:cs="Arial"/>
          <w:sz w:val="22"/>
          <w:szCs w:val="28"/>
        </w:rPr>
        <w:t>l programa “Hogar Solar”</w:t>
      </w:r>
      <w:r>
        <w:rPr>
          <w:rFonts w:ascii="Arial" w:hAnsi="Arial" w:cs="Arial"/>
          <w:sz w:val="22"/>
          <w:szCs w:val="28"/>
        </w:rPr>
        <w:t>,</w:t>
      </w:r>
      <w:r w:rsidRPr="00E719F2">
        <w:rPr>
          <w:rFonts w:ascii="Arial" w:hAnsi="Arial" w:cs="Arial"/>
          <w:sz w:val="22"/>
          <w:szCs w:val="28"/>
        </w:rPr>
        <w:t xml:space="preserve"> </w:t>
      </w:r>
      <w:r>
        <w:rPr>
          <w:rFonts w:ascii="Arial" w:hAnsi="Arial" w:cs="Arial"/>
          <w:sz w:val="22"/>
          <w:szCs w:val="28"/>
        </w:rPr>
        <w:t xml:space="preserve">que </w:t>
      </w:r>
      <w:r w:rsidRPr="00E719F2">
        <w:rPr>
          <w:rFonts w:ascii="Arial" w:hAnsi="Arial" w:cs="Arial"/>
          <w:sz w:val="22"/>
          <w:szCs w:val="28"/>
        </w:rPr>
        <w:t>ofrece un subsidio de 20</w:t>
      </w:r>
      <w:r>
        <w:rPr>
          <w:rFonts w:ascii="Arial" w:hAnsi="Arial" w:cs="Arial"/>
          <w:sz w:val="22"/>
          <w:szCs w:val="28"/>
        </w:rPr>
        <w:t xml:space="preserve"> </w:t>
      </w:r>
      <w:r w:rsidRPr="00E719F2">
        <w:rPr>
          <w:rFonts w:ascii="Arial" w:hAnsi="Arial" w:cs="Arial"/>
          <w:sz w:val="22"/>
          <w:szCs w:val="28"/>
        </w:rPr>
        <w:t xml:space="preserve">% para adquirir paneles solares residenciales, beneficiando a más de 400 familias en sus primeras dos etapas. Por otro lado, </w:t>
      </w:r>
      <w:r>
        <w:rPr>
          <w:rFonts w:ascii="Arial" w:hAnsi="Arial" w:cs="Arial"/>
          <w:sz w:val="22"/>
          <w:szCs w:val="28"/>
        </w:rPr>
        <w:t xml:space="preserve">el programa </w:t>
      </w:r>
      <w:r w:rsidRPr="00E719F2">
        <w:rPr>
          <w:rFonts w:ascii="Arial" w:hAnsi="Arial" w:cs="Arial"/>
          <w:sz w:val="22"/>
          <w:szCs w:val="28"/>
        </w:rPr>
        <w:t>“Impulso Solar” está enfocado en la instalación de paneles en pequeños negocios, mientras que</w:t>
      </w:r>
      <w:r>
        <w:rPr>
          <w:rFonts w:ascii="Arial" w:hAnsi="Arial" w:cs="Arial"/>
          <w:sz w:val="22"/>
          <w:szCs w:val="28"/>
        </w:rPr>
        <w:t xml:space="preserve"> el de</w:t>
      </w:r>
      <w:r w:rsidRPr="00E719F2">
        <w:rPr>
          <w:rFonts w:ascii="Arial" w:hAnsi="Arial" w:cs="Arial"/>
          <w:sz w:val="22"/>
          <w:szCs w:val="28"/>
        </w:rPr>
        <w:t xml:space="preserve"> “Peso Solar” apoya a organizaciones civiles, ayudándoles a reducir costos de servicios y a destinar mayores recursos a la atención de grupos vulnerables.</w:t>
      </w:r>
    </w:p>
    <w:p w14:paraId="085021B9" w14:textId="467FA87B" w:rsidR="00EC118C" w:rsidRPr="00013F4A" w:rsidRDefault="00EC118C" w:rsidP="00013F4A">
      <w:pPr>
        <w:pStyle w:val="NormalWeb"/>
        <w:spacing w:before="0" w:beforeAutospacing="0" w:after="120" w:afterAutospacing="0"/>
        <w:jc w:val="both"/>
        <w:rPr>
          <w:rFonts w:ascii="Arial" w:hAnsi="Arial" w:cs="Arial"/>
          <w:sz w:val="22"/>
          <w:szCs w:val="22"/>
        </w:rPr>
      </w:pPr>
      <w:r w:rsidRPr="00EC118C">
        <w:rPr>
          <w:rFonts w:ascii="Arial" w:hAnsi="Arial" w:cs="Arial"/>
          <w:sz w:val="22"/>
          <w:szCs w:val="28"/>
        </w:rPr>
        <w:t xml:space="preserve">Actualmente se encuentra en etapa de planeación la creación de un parque fotovoltaico </w:t>
      </w:r>
      <w:r w:rsidRPr="00013F4A">
        <w:rPr>
          <w:rFonts w:ascii="Arial" w:hAnsi="Arial" w:cs="Arial"/>
          <w:sz w:val="22"/>
          <w:szCs w:val="22"/>
        </w:rPr>
        <w:t>para el autoabastecimiento de energía del alumbrado público de la ciudad, lo que permitirá reducir los costos de electricidad. Igualmente, se avanza en la conversión a energía solar de la central de bombeo de agua del Acueducto Independencia, acción a cargo de Agua de Hermosillo.</w:t>
      </w:r>
    </w:p>
    <w:p w14:paraId="458D029C" w14:textId="0CC706F7" w:rsidR="00EC118C" w:rsidRPr="00013F4A" w:rsidRDefault="00EC118C" w:rsidP="00013F4A">
      <w:pPr>
        <w:pStyle w:val="Textoindependiente"/>
        <w:spacing w:after="120"/>
        <w:ind w:right="117"/>
        <w:jc w:val="both"/>
        <w:rPr>
          <w:rFonts w:ascii="Arial" w:hAnsi="Arial" w:cs="Arial"/>
          <w:sz w:val="22"/>
          <w:szCs w:val="22"/>
        </w:rPr>
      </w:pPr>
      <w:r w:rsidRPr="00013F4A">
        <w:rPr>
          <w:rFonts w:ascii="Arial" w:hAnsi="Arial" w:cs="Arial"/>
          <w:sz w:val="22"/>
          <w:szCs w:val="22"/>
        </w:rPr>
        <w:lastRenderedPageBreak/>
        <w:t>Hermosillo se encuentra en plena transición hacia un modelo energético más sostenible, alineando sus políticas locales con las tendencias globales que muestran un aumento en el uso de energías renovables. Por su potencial en producción de energía solar y eólica, aspira a convertirse en una "Ciudad Solar" y líder en sostenibilidad energética para el 2030.</w:t>
      </w:r>
    </w:p>
    <w:p w14:paraId="4DA9FDCD" w14:textId="25A85F53" w:rsidR="00EC118C" w:rsidRPr="00013F4A" w:rsidRDefault="00EC118C" w:rsidP="00B205BA">
      <w:pPr>
        <w:spacing w:after="120" w:line="240" w:lineRule="auto"/>
        <w:rPr>
          <w:rFonts w:cs="Arial"/>
          <w:b/>
          <w:bCs/>
        </w:rPr>
      </w:pPr>
      <w:r w:rsidRPr="00013F4A">
        <w:rPr>
          <w:rFonts w:cs="Arial"/>
          <w:b/>
          <w:bCs/>
        </w:rPr>
        <w:t>Electromovilidad</w:t>
      </w:r>
      <w:r w:rsidR="00261A27" w:rsidRPr="00013F4A">
        <w:rPr>
          <w:rFonts w:cs="Arial"/>
          <w:b/>
          <w:bCs/>
        </w:rPr>
        <w:t>.</w:t>
      </w:r>
    </w:p>
    <w:p w14:paraId="77EC2320" w14:textId="77777777" w:rsidR="00013F4A" w:rsidRDefault="00EC118C" w:rsidP="00B205BA">
      <w:pPr>
        <w:spacing w:after="120" w:line="240" w:lineRule="auto"/>
        <w:rPr>
          <w:rFonts w:cs="Arial"/>
        </w:rPr>
      </w:pPr>
      <w:r>
        <w:rPr>
          <w:rFonts w:cs="Arial"/>
        </w:rPr>
        <w:t xml:space="preserve">La </w:t>
      </w:r>
      <w:r w:rsidRPr="00A60B1F">
        <w:rPr>
          <w:rFonts w:cs="Arial"/>
        </w:rPr>
        <w:t xml:space="preserve">Ley para el aprovechamiento de energías renovables y el financiamiento de la transición energética </w:t>
      </w:r>
      <w:r>
        <w:rPr>
          <w:rFonts w:cs="Arial"/>
        </w:rPr>
        <w:t>t</w:t>
      </w:r>
      <w:r w:rsidRPr="00A60B1F">
        <w:rPr>
          <w:rFonts w:cs="Arial"/>
        </w:rPr>
        <w:t>iene por objeto regular el aprovechamiento de fuentes de energía renovables y las tecnologías limpias para generar electricidad con fines distintos a la prestación del servicio público de energía eléctrica, así como establecer la estrategia nacional y los instrumentos para el financiamiento de la transición energética</w:t>
      </w:r>
      <w:r>
        <w:rPr>
          <w:rStyle w:val="Refdenotaalpie"/>
          <w:rFonts w:cs="Arial"/>
        </w:rPr>
        <w:footnoteReference w:id="31"/>
      </w:r>
      <w:r>
        <w:rPr>
          <w:rFonts w:cs="Arial"/>
        </w:rPr>
        <w:t>.</w:t>
      </w:r>
    </w:p>
    <w:p w14:paraId="6675334D" w14:textId="710F6D97" w:rsidR="00EC118C" w:rsidRDefault="00EC118C" w:rsidP="00B205BA">
      <w:pPr>
        <w:spacing w:after="120" w:line="240" w:lineRule="auto"/>
        <w:rPr>
          <w:rFonts w:cs="Arial"/>
        </w:rPr>
      </w:pPr>
      <w:r>
        <w:rPr>
          <w:rFonts w:cs="Arial"/>
        </w:rPr>
        <w:t>De esta ley emana e</w:t>
      </w:r>
      <w:r w:rsidRPr="0075360E">
        <w:rPr>
          <w:rFonts w:cs="Arial"/>
        </w:rPr>
        <w:t>l Acuerdo Núm. A/108/2024</w:t>
      </w:r>
      <w:r>
        <w:rPr>
          <w:rFonts w:cs="Arial"/>
        </w:rPr>
        <w:t xml:space="preserve">, el cual </w:t>
      </w:r>
      <w:r w:rsidRPr="0075360E">
        <w:rPr>
          <w:rFonts w:cs="Arial"/>
        </w:rPr>
        <w:t xml:space="preserve">establece disposiciones generales para la integración de la infraestructura de carga de vehículos eléctricos (VE) y vehículos híbridos eléctricos conectables (VHE) al Sistema Eléctrico Nacional (SEN), dentro del marco de una Red Eléctrica Inteligente (REI). </w:t>
      </w:r>
      <w:r>
        <w:rPr>
          <w:rFonts w:cs="Arial"/>
        </w:rPr>
        <w:t xml:space="preserve"> </w:t>
      </w:r>
    </w:p>
    <w:p w14:paraId="393DF467" w14:textId="77777777" w:rsidR="00EC118C" w:rsidRPr="0075360E" w:rsidRDefault="00EC118C" w:rsidP="00B205BA">
      <w:pPr>
        <w:spacing w:after="120" w:line="240" w:lineRule="auto"/>
        <w:rPr>
          <w:rFonts w:cs="Arial"/>
        </w:rPr>
      </w:pPr>
      <w:r>
        <w:rPr>
          <w:rFonts w:cs="Arial"/>
        </w:rPr>
        <w:t>Dicho acuerdo b</w:t>
      </w:r>
      <w:r w:rsidRPr="0075360E">
        <w:rPr>
          <w:rFonts w:cs="Arial"/>
        </w:rPr>
        <w:t xml:space="preserve">usca asegurar la correcta integración de la infraestructura de carga de vehículos eléctricos al SEN, promoviendo el uso de tecnologías limpias y contribuyendo a la </w:t>
      </w:r>
      <w:r w:rsidRPr="00AC388E">
        <w:rPr>
          <w:rFonts w:cs="Arial"/>
        </w:rPr>
        <w:t>transición energética del</w:t>
      </w:r>
      <w:r w:rsidRPr="0075360E">
        <w:rPr>
          <w:rFonts w:cs="Arial"/>
        </w:rPr>
        <w:t xml:space="preserve"> país, mientras se apoya el crecimiento de la movilidad eléctrica y se fomenta un uso más eficiente y sostenible de la energía.</w:t>
      </w:r>
    </w:p>
    <w:p w14:paraId="4694819C" w14:textId="77777777" w:rsidR="00013F4A" w:rsidRDefault="00EC118C" w:rsidP="00B205BA">
      <w:pPr>
        <w:spacing w:after="120" w:line="240" w:lineRule="auto"/>
        <w:rPr>
          <w:rFonts w:cs="Arial"/>
        </w:rPr>
      </w:pPr>
      <w:r>
        <w:rPr>
          <w:rFonts w:cs="Arial"/>
        </w:rPr>
        <w:t>L</w:t>
      </w:r>
      <w:r w:rsidRPr="0075360E">
        <w:rPr>
          <w:rFonts w:cs="Arial"/>
        </w:rPr>
        <w:t>a Red Eléctrica Inteligente es aquella que integra tecnologías avanzadas de medición, monitoreo, comunicación y operación, con el objetivo de mejorar la eficiencia, confiabilidad, calidad y seguridad del SEN. Entre estas tecnologías se incluyen la Infraestructura de Medición Avanzada (AMI), los Recursos Distribuidos de Energía (RDE), los Sistemas de Almacenamiento de Energía y la conexión de vehículos eléctricos, entre otros.</w:t>
      </w:r>
    </w:p>
    <w:p w14:paraId="436D6B9E" w14:textId="3134830E" w:rsidR="00EC118C" w:rsidRDefault="00EC118C" w:rsidP="00B205BA">
      <w:pPr>
        <w:spacing w:after="120" w:line="240" w:lineRule="auto"/>
        <w:rPr>
          <w:rFonts w:cs="Arial"/>
        </w:rPr>
      </w:pPr>
      <w:r w:rsidRPr="0075360E">
        <w:rPr>
          <w:rFonts w:cs="Arial"/>
        </w:rPr>
        <w:t xml:space="preserve">El Programa de Redes Eléctricas Inteligentes emitido en 2017 por la Secretaría de Energía destaca la importancia de integrar </w:t>
      </w:r>
      <w:r>
        <w:rPr>
          <w:rFonts w:cs="Arial"/>
        </w:rPr>
        <w:t xml:space="preserve">la </w:t>
      </w:r>
      <w:r w:rsidRPr="0075360E">
        <w:rPr>
          <w:rFonts w:cs="Arial"/>
        </w:rPr>
        <w:t xml:space="preserve">generación renovable (principalmente solar, eólica e hidráulica), así como recursos distribuidos, como los vehículos eléctricos y sus estaciones de carga, para cumplir con las metas de energía limpia del país. </w:t>
      </w:r>
    </w:p>
    <w:p w14:paraId="57C661BE" w14:textId="77777777" w:rsidR="00EC118C" w:rsidRDefault="00EC118C" w:rsidP="00B205BA">
      <w:pPr>
        <w:spacing w:after="120" w:line="240" w:lineRule="auto"/>
        <w:rPr>
          <w:rFonts w:cs="Arial"/>
        </w:rPr>
      </w:pPr>
      <w:r w:rsidRPr="0075360E">
        <w:rPr>
          <w:rFonts w:cs="Arial"/>
        </w:rPr>
        <w:t>Asimismo, el Programa de Desarrollo del Sistema Eléctrico Nacional (PRODESEN) 2022-2036 subraya los beneficios de la electromovilidad, como los ahorros de energía de hasta 80</w:t>
      </w:r>
      <w:r>
        <w:rPr>
          <w:rFonts w:cs="Arial"/>
        </w:rPr>
        <w:t xml:space="preserve"> </w:t>
      </w:r>
      <w:r w:rsidRPr="0075360E">
        <w:rPr>
          <w:rFonts w:cs="Arial"/>
        </w:rPr>
        <w:t>% y la reducción de las emisiones de gases de efecto invernadero (GEI) entre 41 y 64</w:t>
      </w:r>
      <w:r>
        <w:rPr>
          <w:rFonts w:cs="Arial"/>
        </w:rPr>
        <w:t xml:space="preserve"> </w:t>
      </w:r>
      <w:r w:rsidRPr="0075360E">
        <w:rPr>
          <w:rFonts w:cs="Arial"/>
        </w:rPr>
        <w:t xml:space="preserve">% en comparación con los vehículos de combustión interna. </w:t>
      </w:r>
    </w:p>
    <w:p w14:paraId="70A08B97" w14:textId="77777777" w:rsidR="00EC118C" w:rsidRPr="0075360E" w:rsidRDefault="00EC118C" w:rsidP="00B205BA">
      <w:pPr>
        <w:spacing w:after="120" w:line="240" w:lineRule="auto"/>
        <w:rPr>
          <w:rFonts w:cs="Arial"/>
        </w:rPr>
      </w:pPr>
      <w:r w:rsidRPr="0075360E">
        <w:rPr>
          <w:rFonts w:cs="Arial"/>
        </w:rPr>
        <w:t xml:space="preserve">Para 2036, se proyecta que México </w:t>
      </w:r>
      <w:r>
        <w:rPr>
          <w:rFonts w:cs="Arial"/>
        </w:rPr>
        <w:t>habrá integrado</w:t>
      </w:r>
      <w:r w:rsidRPr="0075360E">
        <w:rPr>
          <w:rFonts w:cs="Arial"/>
        </w:rPr>
        <w:t xml:space="preserve"> alrededor de 4.9 millones de vehículos eléctricos, lo que representaría 32.3</w:t>
      </w:r>
      <w:r>
        <w:rPr>
          <w:rFonts w:cs="Arial"/>
        </w:rPr>
        <w:t xml:space="preserve"> </w:t>
      </w:r>
      <w:r w:rsidRPr="0075360E">
        <w:rPr>
          <w:rFonts w:cs="Arial"/>
        </w:rPr>
        <w:t>% de los vehículos automotores en circulación, y un consumo de aproximadamente 13</w:t>
      </w:r>
      <w:r>
        <w:rPr>
          <w:rFonts w:cs="Arial"/>
        </w:rPr>
        <w:t xml:space="preserve"> </w:t>
      </w:r>
      <w:r w:rsidRPr="0075360E">
        <w:rPr>
          <w:rFonts w:cs="Arial"/>
        </w:rPr>
        <w:t xml:space="preserve">283 GWh, </w:t>
      </w:r>
      <w:r>
        <w:rPr>
          <w:rFonts w:cs="Arial"/>
        </w:rPr>
        <w:t>equivalentes a</w:t>
      </w:r>
      <w:r w:rsidRPr="0075360E">
        <w:rPr>
          <w:rFonts w:cs="Arial"/>
        </w:rPr>
        <w:t xml:space="preserve"> 2.8</w:t>
      </w:r>
      <w:r>
        <w:rPr>
          <w:rFonts w:cs="Arial"/>
        </w:rPr>
        <w:t xml:space="preserve"> </w:t>
      </w:r>
      <w:r w:rsidRPr="0075360E">
        <w:rPr>
          <w:rFonts w:cs="Arial"/>
        </w:rPr>
        <w:t>% del consumo neto del SEN.</w:t>
      </w:r>
    </w:p>
    <w:p w14:paraId="5A180A54" w14:textId="77777777" w:rsidR="00EC118C" w:rsidRPr="0075360E" w:rsidRDefault="00EC118C" w:rsidP="00B205BA">
      <w:pPr>
        <w:spacing w:after="120" w:line="240" w:lineRule="auto"/>
        <w:rPr>
          <w:rFonts w:cs="Arial"/>
        </w:rPr>
      </w:pPr>
      <w:r>
        <w:rPr>
          <w:rFonts w:cs="Arial"/>
        </w:rPr>
        <w:t>Por su parte, e</w:t>
      </w:r>
      <w:r w:rsidRPr="0075360E">
        <w:rPr>
          <w:rFonts w:cs="Arial"/>
        </w:rPr>
        <w:t xml:space="preserve">l Programa Nacional para el Aprovechamiento Sustentable de la Energía (PRONASE) 2020-2024 también juega un papel clave en este proceso, al promover el uso de tecnologías vehiculares más eficientes, como los vehículos híbridos y eléctricos, con el fin de reducir las emisiones de gases contaminantes y acelerar la transición energética del país. Este proceso exige contar con una infraestructura de carga adecuada, robusta y </w:t>
      </w:r>
      <w:r w:rsidRPr="0075360E">
        <w:rPr>
          <w:rFonts w:cs="Arial"/>
        </w:rPr>
        <w:lastRenderedPageBreak/>
        <w:t>segura, que garantice la cobertura necesaria para la movilidad eléctrica en todo el territorio nacional.</w:t>
      </w:r>
    </w:p>
    <w:p w14:paraId="675116B3" w14:textId="77777777" w:rsidR="00EC118C" w:rsidRPr="0075360E" w:rsidRDefault="00EC118C" w:rsidP="00B205BA">
      <w:pPr>
        <w:spacing w:after="120" w:line="240" w:lineRule="auto"/>
        <w:rPr>
          <w:rFonts w:cs="Arial"/>
        </w:rPr>
      </w:pPr>
      <w:r w:rsidRPr="0075360E">
        <w:rPr>
          <w:rFonts w:cs="Arial"/>
        </w:rPr>
        <w:t>Además, según datos del Instituto Nacional de Estadística y Geografía (INEGI), las ventas de vehículos eléctricos e híbridos en México crecieron un 220</w:t>
      </w:r>
      <w:r>
        <w:rPr>
          <w:rFonts w:cs="Arial"/>
        </w:rPr>
        <w:t xml:space="preserve"> </w:t>
      </w:r>
      <w:r w:rsidRPr="0075360E">
        <w:rPr>
          <w:rFonts w:cs="Arial"/>
        </w:rPr>
        <w:t>% entre 2021 y 2022</w:t>
      </w:r>
      <w:r>
        <w:rPr>
          <w:rFonts w:cs="Arial"/>
        </w:rPr>
        <w:t>; alcanzaron un total de</w:t>
      </w:r>
      <w:r w:rsidRPr="0075360E">
        <w:rPr>
          <w:rFonts w:cs="Arial"/>
        </w:rPr>
        <w:t xml:space="preserve"> 14</w:t>
      </w:r>
      <w:r>
        <w:rPr>
          <w:rFonts w:cs="Arial"/>
        </w:rPr>
        <w:t xml:space="preserve"> </w:t>
      </w:r>
      <w:r w:rsidRPr="0075360E">
        <w:rPr>
          <w:rFonts w:cs="Arial"/>
        </w:rPr>
        <w:t xml:space="preserve">670 unidades </w:t>
      </w:r>
      <w:r>
        <w:rPr>
          <w:rFonts w:cs="Arial"/>
        </w:rPr>
        <w:t xml:space="preserve">vendidas </w:t>
      </w:r>
      <w:r w:rsidRPr="0075360E">
        <w:rPr>
          <w:rFonts w:cs="Arial"/>
        </w:rPr>
        <w:t>a finales de 2023</w:t>
      </w:r>
      <w:r>
        <w:rPr>
          <w:rFonts w:cs="Arial"/>
        </w:rPr>
        <w:t xml:space="preserve"> y </w:t>
      </w:r>
      <w:r w:rsidRPr="00174A62">
        <w:rPr>
          <w:rFonts w:cs="Arial"/>
        </w:rPr>
        <w:t>70</w:t>
      </w:r>
      <w:r>
        <w:rPr>
          <w:rFonts w:cs="Arial"/>
        </w:rPr>
        <w:t xml:space="preserve"> </w:t>
      </w:r>
      <w:r w:rsidRPr="00174A62">
        <w:rPr>
          <w:rFonts w:cs="Arial"/>
        </w:rPr>
        <w:t>186</w:t>
      </w:r>
      <w:r>
        <w:rPr>
          <w:rFonts w:cs="Arial"/>
        </w:rPr>
        <w:t xml:space="preserve"> durante 2024 (4.7 veces más)</w:t>
      </w:r>
      <w:r w:rsidRPr="0075360E">
        <w:rPr>
          <w:rFonts w:cs="Arial"/>
        </w:rPr>
        <w:t>. Este crecimiento en la adopción de vehículos eléctricos hace urgente la expansión de la infraestructura de carga para asegurar que los usuarios puedan acceder a la energía necesaria de manera segura y eficiente.</w:t>
      </w:r>
    </w:p>
    <w:p w14:paraId="2CE0B73B" w14:textId="77777777" w:rsidR="00EC118C" w:rsidRDefault="00EC118C" w:rsidP="00B205BA">
      <w:pPr>
        <w:spacing w:after="120" w:line="240" w:lineRule="auto"/>
        <w:rPr>
          <w:rFonts w:cs="Arial"/>
        </w:rPr>
      </w:pPr>
      <w:r w:rsidRPr="0075360E">
        <w:rPr>
          <w:rFonts w:cs="Arial"/>
        </w:rPr>
        <w:t>El PRODESEN 2023-2037 proyecta que</w:t>
      </w:r>
      <w:r>
        <w:rPr>
          <w:rFonts w:cs="Arial"/>
        </w:rPr>
        <w:t>,</w:t>
      </w:r>
      <w:r w:rsidRPr="0075360E">
        <w:rPr>
          <w:rFonts w:cs="Arial"/>
        </w:rPr>
        <w:t xml:space="preserve"> para 2037</w:t>
      </w:r>
      <w:r>
        <w:rPr>
          <w:rFonts w:cs="Arial"/>
        </w:rPr>
        <w:t>,</w:t>
      </w:r>
      <w:r w:rsidRPr="0075360E">
        <w:rPr>
          <w:rFonts w:cs="Arial"/>
        </w:rPr>
        <w:t xml:space="preserve"> se contará con alrededor de 17</w:t>
      </w:r>
      <w:r>
        <w:rPr>
          <w:rFonts w:cs="Arial"/>
        </w:rPr>
        <w:t xml:space="preserve"> </w:t>
      </w:r>
      <w:r w:rsidRPr="0075360E">
        <w:rPr>
          <w:rFonts w:cs="Arial"/>
        </w:rPr>
        <w:t>780 estaciones de carga</w:t>
      </w:r>
      <w:r>
        <w:rPr>
          <w:rFonts w:cs="Arial"/>
        </w:rPr>
        <w:t xml:space="preserve"> en el país</w:t>
      </w:r>
      <w:r w:rsidRPr="0075360E">
        <w:rPr>
          <w:rFonts w:cs="Arial"/>
        </w:rPr>
        <w:t>, lo que representará 3.1</w:t>
      </w:r>
      <w:r>
        <w:rPr>
          <w:rFonts w:cs="Arial"/>
        </w:rPr>
        <w:t xml:space="preserve"> </w:t>
      </w:r>
      <w:r w:rsidRPr="0075360E">
        <w:rPr>
          <w:rFonts w:cs="Arial"/>
        </w:rPr>
        <w:t>% del consumo bruto del SEN. En este escenario, se espera que los vehículos eléctricos constituyan 34.2</w:t>
      </w:r>
      <w:r>
        <w:rPr>
          <w:rFonts w:cs="Arial"/>
        </w:rPr>
        <w:t xml:space="preserve"> </w:t>
      </w:r>
      <w:r w:rsidRPr="0075360E">
        <w:rPr>
          <w:rFonts w:cs="Arial"/>
        </w:rPr>
        <w:t xml:space="preserve">% de los vehículos en circulación en ese año. </w:t>
      </w:r>
    </w:p>
    <w:p w14:paraId="43E222FB" w14:textId="77777777" w:rsidR="00EC118C" w:rsidRDefault="00EC118C" w:rsidP="00B205BA">
      <w:pPr>
        <w:spacing w:after="120" w:line="240" w:lineRule="auto"/>
        <w:rPr>
          <w:rFonts w:cs="Arial"/>
        </w:rPr>
      </w:pPr>
      <w:r w:rsidRPr="0075360E">
        <w:rPr>
          <w:rFonts w:cs="Arial"/>
        </w:rPr>
        <w:t>Esta proyección resalta la relevancia de la infraestructura de carga como parte de una estrategia integral para la transición energética, considerando que el sector del transporte es el mayor consumidor de energía en el país, con 46</w:t>
      </w:r>
      <w:r>
        <w:rPr>
          <w:rFonts w:cs="Arial"/>
        </w:rPr>
        <w:t xml:space="preserve"> </w:t>
      </w:r>
      <w:r w:rsidRPr="0075360E">
        <w:rPr>
          <w:rFonts w:cs="Arial"/>
        </w:rPr>
        <w:t>% del consumo energético final.</w:t>
      </w:r>
    </w:p>
    <w:p w14:paraId="5564DB23" w14:textId="77777777" w:rsidR="00EC118C" w:rsidRPr="00BE2873" w:rsidRDefault="00EC118C" w:rsidP="00B205BA">
      <w:pPr>
        <w:spacing w:after="120" w:line="240" w:lineRule="auto"/>
        <w:rPr>
          <w:rFonts w:cs="Arial"/>
        </w:rPr>
      </w:pPr>
      <w:r>
        <w:rPr>
          <w:rFonts w:cs="Arial"/>
        </w:rPr>
        <w:t xml:space="preserve">En este contexto, </w:t>
      </w:r>
      <w:r w:rsidRPr="00BE2873">
        <w:rPr>
          <w:rFonts w:cs="Arial"/>
        </w:rPr>
        <w:t xml:space="preserve">Hermosillo inauguró </w:t>
      </w:r>
      <w:r>
        <w:rPr>
          <w:rFonts w:cs="Arial"/>
        </w:rPr>
        <w:t>e</w:t>
      </w:r>
      <w:r w:rsidRPr="00BE2873">
        <w:rPr>
          <w:rFonts w:cs="Arial"/>
        </w:rPr>
        <w:t xml:space="preserve">n 2022 la electrolinera ubicada en la Comandancia Zona Norte de la Policía Municipal. Este cambio a energía limpia y renovable </w:t>
      </w:r>
      <w:r>
        <w:rPr>
          <w:rFonts w:cs="Arial"/>
        </w:rPr>
        <w:t>generó</w:t>
      </w:r>
      <w:r w:rsidRPr="00BE2873">
        <w:rPr>
          <w:rFonts w:cs="Arial"/>
        </w:rPr>
        <w:t xml:space="preserve"> una reducción drástica en los costos operativos, pasando de un gasto de 837 pesos diarios en gasolina por patrulla a solo 65 pesos con las nuevas unidades eléctricas. </w:t>
      </w:r>
    </w:p>
    <w:p w14:paraId="1937B365" w14:textId="77777777" w:rsidR="00EC118C" w:rsidRDefault="00EC118C" w:rsidP="00B205BA">
      <w:pPr>
        <w:spacing w:after="120" w:line="240" w:lineRule="auto"/>
        <w:rPr>
          <w:rFonts w:cs="Arial"/>
        </w:rPr>
      </w:pPr>
      <w:r w:rsidRPr="00BE2873">
        <w:rPr>
          <w:rFonts w:cs="Arial"/>
        </w:rPr>
        <w:t>Ad</w:t>
      </w:r>
      <w:r>
        <w:rPr>
          <w:rFonts w:cs="Arial"/>
        </w:rPr>
        <w:t>icionalmente</w:t>
      </w:r>
      <w:r w:rsidRPr="00BE2873">
        <w:rPr>
          <w:rFonts w:cs="Arial"/>
        </w:rPr>
        <w:t xml:space="preserve">, en 2023, </w:t>
      </w:r>
      <w:r>
        <w:rPr>
          <w:rFonts w:cs="Arial"/>
        </w:rPr>
        <w:t>se</w:t>
      </w:r>
      <w:r w:rsidRPr="00BE2873">
        <w:rPr>
          <w:rFonts w:cs="Arial"/>
        </w:rPr>
        <w:t xml:space="preserve"> inauguró la primera electrolinera pública gratuita de México, ubicada en </w:t>
      </w:r>
      <w:r>
        <w:rPr>
          <w:rFonts w:cs="Arial"/>
        </w:rPr>
        <w:t>E</w:t>
      </w:r>
      <w:r w:rsidRPr="00BE2873">
        <w:rPr>
          <w:rFonts w:cs="Arial"/>
        </w:rPr>
        <w:t xml:space="preserve">l Cárcamo, y </w:t>
      </w:r>
      <w:r>
        <w:rPr>
          <w:rFonts w:cs="Arial"/>
        </w:rPr>
        <w:t>se entregaron</w:t>
      </w:r>
      <w:r w:rsidRPr="00BE2873">
        <w:rPr>
          <w:rFonts w:cs="Arial"/>
        </w:rPr>
        <w:t xml:space="preserve"> 29 vehículos eléctricos a 15 dependencias municipales. </w:t>
      </w:r>
      <w:r>
        <w:rPr>
          <w:rFonts w:cs="Arial"/>
        </w:rPr>
        <w:t>Esta</w:t>
      </w:r>
      <w:r w:rsidRPr="00BE2873">
        <w:rPr>
          <w:rFonts w:cs="Arial"/>
        </w:rPr>
        <w:t xml:space="preserve"> electrolinera cuenta con 30 cargadores de nivel dos (7 kW) y un sistema fotovoltaico de 101 kW compuesto por 184 paneles solares de 550 W.</w:t>
      </w:r>
      <w:r>
        <w:rPr>
          <w:rFonts w:cs="Arial"/>
        </w:rPr>
        <w:t xml:space="preserve"> Los</w:t>
      </w:r>
      <w:r w:rsidRPr="00BE2873">
        <w:rPr>
          <w:rFonts w:cs="Arial"/>
        </w:rPr>
        <w:t xml:space="preserve"> vehículos</w:t>
      </w:r>
      <w:r>
        <w:rPr>
          <w:rFonts w:cs="Arial"/>
        </w:rPr>
        <w:t xml:space="preserve"> tienen</w:t>
      </w:r>
      <w:r w:rsidRPr="00BE2873">
        <w:rPr>
          <w:rFonts w:cs="Arial"/>
        </w:rPr>
        <w:t xml:space="preserve"> una autonomía de 300 km y un tiempo de carga de 6 a 8 horas</w:t>
      </w:r>
      <w:r>
        <w:rPr>
          <w:rFonts w:cs="Arial"/>
        </w:rPr>
        <w:t>.</w:t>
      </w:r>
      <w:r w:rsidRPr="00BE2873">
        <w:rPr>
          <w:rFonts w:cs="Arial"/>
        </w:rPr>
        <w:t xml:space="preserve"> </w:t>
      </w:r>
      <w:r>
        <w:rPr>
          <w:rFonts w:cs="Arial"/>
        </w:rPr>
        <w:t>F</w:t>
      </w:r>
      <w:r w:rsidRPr="00BE2873">
        <w:rPr>
          <w:rFonts w:cs="Arial"/>
        </w:rPr>
        <w:t xml:space="preserve">ueron adquiridos mediante licitación pública, con una inversión total de más de 11 millones de pesos. </w:t>
      </w:r>
    </w:p>
    <w:p w14:paraId="4B102216" w14:textId="08E9EFD4" w:rsidR="006004FD" w:rsidRDefault="00EC118C" w:rsidP="00B205BA">
      <w:pPr>
        <w:spacing w:after="120" w:line="240" w:lineRule="auto"/>
        <w:rPr>
          <w:rFonts w:cs="Arial"/>
          <w:b/>
          <w:sz w:val="24"/>
          <w:szCs w:val="24"/>
        </w:rPr>
      </w:pPr>
      <w:r w:rsidRPr="00BE2873">
        <w:rPr>
          <w:rFonts w:cs="Arial"/>
        </w:rPr>
        <w:t>Estas acciones refuerzan el compromiso de</w:t>
      </w:r>
      <w:r>
        <w:rPr>
          <w:rFonts w:cs="Arial"/>
        </w:rPr>
        <w:t xml:space="preserve">l Gobierno Municipal de Hermosillo </w:t>
      </w:r>
      <w:r w:rsidRPr="00BE2873">
        <w:rPr>
          <w:rFonts w:cs="Arial"/>
        </w:rPr>
        <w:t>con la sostenibilidad y el uso de tecnología verde, marcando un antes y un después en la gestión de recursos y la reducción del impacto ambiental</w:t>
      </w:r>
    </w:p>
    <w:p w14:paraId="0ED682D4" w14:textId="77777777" w:rsidR="006004FD" w:rsidRDefault="006004FD" w:rsidP="00B205BA">
      <w:pPr>
        <w:spacing w:after="120" w:line="240" w:lineRule="auto"/>
        <w:rPr>
          <w:rFonts w:cs="Arial"/>
          <w:b/>
          <w:sz w:val="24"/>
          <w:szCs w:val="24"/>
        </w:rPr>
      </w:pPr>
    </w:p>
    <w:p w14:paraId="27F02546" w14:textId="77777777" w:rsidR="00A13BDA" w:rsidRDefault="00A13BDA" w:rsidP="00B205BA">
      <w:pPr>
        <w:spacing w:after="120" w:line="240" w:lineRule="auto"/>
        <w:rPr>
          <w:rFonts w:cs="Arial"/>
          <w:b/>
          <w:sz w:val="24"/>
          <w:szCs w:val="24"/>
        </w:rPr>
      </w:pPr>
    </w:p>
    <w:p w14:paraId="28DBAD73" w14:textId="77777777" w:rsidR="00A13BDA" w:rsidRDefault="00A13BDA" w:rsidP="00B205BA">
      <w:pPr>
        <w:spacing w:after="120" w:line="240" w:lineRule="auto"/>
        <w:rPr>
          <w:rFonts w:cs="Arial"/>
          <w:b/>
          <w:sz w:val="24"/>
          <w:szCs w:val="24"/>
        </w:rPr>
      </w:pPr>
    </w:p>
    <w:p w14:paraId="41727FEF" w14:textId="09F1856F" w:rsidR="00A13BDA" w:rsidRDefault="00A13BDA" w:rsidP="00B205BA">
      <w:pPr>
        <w:spacing w:after="120" w:line="240" w:lineRule="auto"/>
        <w:rPr>
          <w:rFonts w:cs="Arial"/>
          <w:b/>
          <w:sz w:val="24"/>
          <w:szCs w:val="24"/>
        </w:rPr>
      </w:pPr>
    </w:p>
    <w:p w14:paraId="11989CD7" w14:textId="77777777" w:rsidR="00EC118C" w:rsidRDefault="00EC118C" w:rsidP="00B205BA">
      <w:pPr>
        <w:spacing w:after="120" w:line="240" w:lineRule="auto"/>
        <w:rPr>
          <w:rFonts w:cs="Arial"/>
          <w:b/>
          <w:sz w:val="24"/>
          <w:szCs w:val="24"/>
        </w:rPr>
      </w:pPr>
    </w:p>
    <w:p w14:paraId="60CA03A7" w14:textId="77777777" w:rsidR="00A13BDA" w:rsidRDefault="00A13BDA" w:rsidP="00B205BA">
      <w:pPr>
        <w:spacing w:after="120" w:line="240" w:lineRule="auto"/>
        <w:rPr>
          <w:rFonts w:cs="Arial"/>
          <w:b/>
          <w:sz w:val="24"/>
          <w:szCs w:val="24"/>
        </w:rPr>
      </w:pPr>
    </w:p>
    <w:p w14:paraId="78EFF122" w14:textId="77777777" w:rsidR="00A13BDA" w:rsidRDefault="00A13BDA" w:rsidP="00B205BA">
      <w:pPr>
        <w:spacing w:after="120" w:line="240" w:lineRule="auto"/>
        <w:rPr>
          <w:rFonts w:cs="Arial"/>
          <w:b/>
          <w:sz w:val="24"/>
          <w:szCs w:val="24"/>
        </w:rPr>
      </w:pPr>
    </w:p>
    <w:p w14:paraId="090EC4E8" w14:textId="77777777" w:rsidR="00A13BDA" w:rsidRDefault="00A13BDA" w:rsidP="00B205BA">
      <w:pPr>
        <w:spacing w:after="120" w:line="240" w:lineRule="auto"/>
        <w:rPr>
          <w:rFonts w:cs="Arial"/>
          <w:b/>
          <w:sz w:val="24"/>
          <w:szCs w:val="24"/>
        </w:rPr>
      </w:pPr>
    </w:p>
    <w:p w14:paraId="2293E718" w14:textId="77777777" w:rsidR="00013F4A" w:rsidRDefault="00013F4A" w:rsidP="00B205BA">
      <w:pPr>
        <w:spacing w:after="120" w:line="240" w:lineRule="auto"/>
        <w:rPr>
          <w:rFonts w:cs="Arial"/>
          <w:b/>
          <w:sz w:val="24"/>
          <w:szCs w:val="24"/>
        </w:rPr>
      </w:pPr>
    </w:p>
    <w:p w14:paraId="0F79E23B" w14:textId="0195B7EC" w:rsidR="00013F4A" w:rsidRDefault="00013F4A" w:rsidP="00B205BA">
      <w:pPr>
        <w:spacing w:after="120" w:line="240" w:lineRule="auto"/>
        <w:rPr>
          <w:rFonts w:cs="Arial"/>
          <w:b/>
          <w:sz w:val="24"/>
          <w:szCs w:val="24"/>
        </w:rPr>
      </w:pPr>
    </w:p>
    <w:p w14:paraId="67BD91C1" w14:textId="6E8D7BB8" w:rsidR="007503ED" w:rsidRDefault="007503ED" w:rsidP="00B205BA">
      <w:pPr>
        <w:spacing w:after="120" w:line="240" w:lineRule="auto"/>
        <w:rPr>
          <w:rFonts w:cs="Arial"/>
          <w:b/>
          <w:sz w:val="24"/>
          <w:szCs w:val="24"/>
        </w:rPr>
      </w:pPr>
    </w:p>
    <w:p w14:paraId="554F52E7" w14:textId="77777777" w:rsidR="00A13BDA" w:rsidRDefault="00A13BDA" w:rsidP="00B205BA">
      <w:pPr>
        <w:spacing w:after="120" w:line="240" w:lineRule="auto"/>
        <w:rPr>
          <w:rFonts w:cs="Arial"/>
          <w:b/>
          <w:sz w:val="24"/>
          <w:szCs w:val="24"/>
        </w:rPr>
      </w:pPr>
    </w:p>
    <w:p w14:paraId="56295944" w14:textId="77777777" w:rsidR="00013F4A" w:rsidRPr="00A13BDA" w:rsidRDefault="00013F4A" w:rsidP="00013F4A">
      <w:pPr>
        <w:spacing w:after="120" w:line="240" w:lineRule="auto"/>
        <w:rPr>
          <w:rFonts w:cs="Arial"/>
          <w:b/>
          <w:bCs/>
          <w:sz w:val="28"/>
          <w:szCs w:val="28"/>
        </w:rPr>
      </w:pPr>
      <w:r w:rsidRPr="00A13BDA">
        <w:rPr>
          <w:rFonts w:cs="Arial"/>
          <w:b/>
          <w:bCs/>
          <w:sz w:val="28"/>
          <w:szCs w:val="28"/>
        </w:rPr>
        <w:lastRenderedPageBreak/>
        <w:t>RETOS, ESTRATEGIAS Y LINEAS DE ACCIÓN</w:t>
      </w:r>
    </w:p>
    <w:p w14:paraId="1B48AA42"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Reto 2.1. Contar con los instrumentos de planeación y los modelos de gestión que permitan ordenar el territorio del municipio, estableciendo las políticas, lineamientos, estrategias y programas que impulsen el desarrollo urbano sostenible con visión de largo plazo y participación ciudadana, para regular los asentamientos humanos y potenciar su habitabilidad, competitividad y sustentabilidad.</w:t>
      </w:r>
    </w:p>
    <w:p w14:paraId="4DB85A47"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 xml:space="preserve">Estrategia 2.1.1. Elaborar, mantener actualizados y dar seguimiento a los documentos de planeación, guías y proyectos para el ordenamiento territorial y la resiliencia urbana, conforme a los lineamientos técnicos y normativos de la ley aplicables, utilizando herramientas, criterios y principios de vanguardia que permitan mejorar las condiciones de habitabilidad y seguridad en los asentamientos humanos; así como promover la ocupación ordenada y segura de sus áreas de expansión. </w:t>
      </w:r>
    </w:p>
    <w:p w14:paraId="346C2764"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342FF9C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2.1.1.1. Elaborar Programas de Desarrollo Urbano en sus diferentes modalidades: Municipales, de Centro de Población, Parciales o Específicos, de acuerdo con las necesidades del municipio.</w:t>
      </w:r>
    </w:p>
    <w:p w14:paraId="2F8D0D1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2.1.1.2. Elaborar planes estratégicos, planes maestros y estudios, que requiera el municipio que se deriven de los Programas de Desarrollo Urbano.</w:t>
      </w:r>
    </w:p>
    <w:p w14:paraId="513C4376"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2.1.1.3. Elaborar o actualizar programas de manejo integral de aguas pluviales para los centros de población o sus sectores.</w:t>
      </w:r>
    </w:p>
    <w:p w14:paraId="0FF4D55F"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2.1.1.4. Formular guías de resiliencias para centros de población o sus sectores.</w:t>
      </w:r>
    </w:p>
    <w:p w14:paraId="3EAA4646"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2.1.1.5. Elaborar proyectos ejecutivos de drenaje pluvial.</w:t>
      </w:r>
    </w:p>
    <w:p w14:paraId="2556BE14"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2.1.2. Dar seguimiento a los documentos de planeación urbana, normas y reglamentos mediante la elaboración de opiniones técnicas y asesorías a los particulares, dependencias y entidades de la administración pública sobre temas urbanos.</w:t>
      </w:r>
    </w:p>
    <w:p w14:paraId="0BC6C62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63ACAB8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2.1.2.1. Brindar asesorías en temas urbanos y de ordenamiento territorial a los ciudadanos, empresas, dependencias y entidades del Ayuntamiento que lo soliciten.</w:t>
      </w:r>
    </w:p>
    <w:p w14:paraId="723DEA7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2.1.2.2. Elaborar el reporte anual sobre el estado que guarda la planeación urbana en el municipio y sus centros de población.</w:t>
      </w:r>
    </w:p>
    <w:p w14:paraId="4C595B9B" w14:textId="77777777" w:rsidR="00AD36FE" w:rsidRPr="00A13CE0" w:rsidRDefault="00AD36FE" w:rsidP="00B205BA">
      <w:pPr>
        <w:spacing w:after="120" w:line="240" w:lineRule="auto"/>
        <w:rPr>
          <w:rFonts w:eastAsiaTheme="minorHAnsi" w:cs="Arial"/>
          <w:b/>
          <w:bCs/>
          <w:kern w:val="2"/>
          <w:lang w:val="es-MX" w:bidi="ar-SA"/>
          <w14:ligatures w14:val="standardContextual"/>
        </w:rPr>
      </w:pPr>
      <w:r w:rsidRPr="00A13CE0">
        <w:rPr>
          <w:rFonts w:eastAsiaTheme="minorHAnsi" w:cs="Arial"/>
          <w:b/>
          <w:bCs/>
          <w:kern w:val="2"/>
          <w:lang w:val="es-MX" w:bidi="ar-SA"/>
          <w14:ligatures w14:val="standardContextual"/>
        </w:rPr>
        <w:t xml:space="preserve">Reto 2.2. Mejorar la movilidad y seguridad vial, fortaleciendo los sistemas e infraestructura para la vialidad y el transporte, promoviendo un modelo sostenible, incluyente y accesible, basados en la pirámide de la movilidad, en donde tengan cabida todos los diferentes modos de desplazamiento y se consideren a todas las personas sin distinción de género, edad, condición física o económica.  </w:t>
      </w:r>
    </w:p>
    <w:p w14:paraId="1B1C2AF1"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2.2.1. Elaborar estudios, planes, programas y proyectos de movilidad y seguridad vial, infraestructura vial, peatonal y ciclista, de acuerdo con la jerarquía y la normatividad aplicable.</w:t>
      </w:r>
    </w:p>
    <w:p w14:paraId="22A82D0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Líneas de acción: </w:t>
      </w:r>
    </w:p>
    <w:p w14:paraId="28D4385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2.2.1.1. Elaborar documentos de estudios, planes y programas de movilidad y seguridad vial.</w:t>
      </w:r>
    </w:p>
    <w:p w14:paraId="7082306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lastRenderedPageBreak/>
        <w:t>2.2.1.2. Elaborar proyectos de vialidades con elementos de calle completa.</w:t>
      </w:r>
    </w:p>
    <w:p w14:paraId="4D88C91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2.2.1.3. Elaborar proyectos para mejorar la eficiencia y seguridad vial en cruceros identificados como riesgosos o que presenten alto incidencia de siniestros viales.</w:t>
      </w:r>
    </w:p>
    <w:p w14:paraId="1397958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2.2.1.4. Elaborar proyectos para la creación, ampliación o mejoramiento de la infraestructura ciclista y/o peatonal.</w:t>
      </w:r>
    </w:p>
    <w:p w14:paraId="395046E4"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2.2.2. Elaborar estudios, planes y programas de transporte urbano en sus diferentes modalidades e identificar y elaborar proyectos para el mejoramiento o ampliación de los sistemas de transporte y su infraestructura.</w:t>
      </w:r>
    </w:p>
    <w:p w14:paraId="57BC736A"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73A49A7F"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2.2.2.1. Elaborar propuestas para la creación, ampliación o mejoramiento de los sistemas de transporte.</w:t>
      </w:r>
    </w:p>
    <w:p w14:paraId="0CC7F70C"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2.2.2.2. Elaborar proyectos para la creación, ampliación o mejoramiento de la infraestructura para el transporte público.</w:t>
      </w:r>
    </w:p>
    <w:p w14:paraId="6E5D330A"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2.2.3. Dar seguimiento a los documentos de planeación, las normas y reglamentos en materia de movilidad mediante la elaboración de opiniones técnicas y asesorías a los particulares, dependencias y entidades de la administración pública sobre temas de movilidad y seguridad vial.</w:t>
      </w:r>
    </w:p>
    <w:p w14:paraId="087C02D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1886B86C"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2.2.3.1. Emitir dictámenes de nomenclatura para desarrollo inmobiliario y solicitudes de los ciudadanos</w:t>
      </w:r>
    </w:p>
    <w:p w14:paraId="035DBC7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2.2.3.2. Brindar servicio de asesoría en temas movilidad y seguridad vial a quien lo solicite.</w:t>
      </w:r>
    </w:p>
    <w:p w14:paraId="3E12C6D1"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2.2.3.3. Crear el Sistema Municipal de Movilidad y Seguridad Vial.</w:t>
      </w:r>
    </w:p>
    <w:p w14:paraId="71620741"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2.2.3.4. Recopilar e integrar información para la generación de base de datos de movilidad y seguridad vial para su incorporación al Sistema Municipal de Movilidad y Seguridad Vial.</w:t>
      </w:r>
    </w:p>
    <w:p w14:paraId="58BD45D1"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Reto 2.3. Mejorar los espacios públicos promoviendo su protección y progresividad, con diseños de calidad que incluyan la infraestructura verde/azul, forestación, mobiliario urbano y la accesibilidad, priorizando los usuarios más vulnerables, con visión de género y atendiendo las necesidades de las infancias, procurando conformar un sistema o red de espacios públicos verdes que ubiquen en los diferentes sectores y localidades del municipio.</w:t>
      </w:r>
    </w:p>
    <w:p w14:paraId="702C50D8"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2.3.1. Identificar, planear y proyectar espacios públicos para el beneficio de la población, buscando la mitigación y la adaptación al cambio climático, promoviendo la captura de carbono, la infiltración de agua y el incremento la resiliencia.</w:t>
      </w:r>
    </w:p>
    <w:p w14:paraId="6F265A3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2D5FD19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2.3.1.1. Elaborar un plan de acción para el mejoramiento, conservación y progresividad de espacios públicos.</w:t>
      </w:r>
    </w:p>
    <w:p w14:paraId="4FF94196"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2.3.1.2. Elaborar proyectos para la creación o mejoramiento de parques, plazas y otros espacios públicos.</w:t>
      </w:r>
    </w:p>
    <w:p w14:paraId="2855F142"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2.3.1.3. Elaborar proyectos de mejora de imagen urbana en espacios públicos.</w:t>
      </w:r>
    </w:p>
    <w:p w14:paraId="04153BAF"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lastRenderedPageBreak/>
        <w:t xml:space="preserve">Estrategia 2.3.2. Elaborar propuestas para la implementación de infraestructura verde y azul en espacios y edificios públicos, promoviendo la captura e infiltración de agua e incrementando la resiliencia hídrica. </w:t>
      </w:r>
    </w:p>
    <w:p w14:paraId="3D9F5FB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26280A0F"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2.3.2.1. Fomentar la aplicación de la Norma Técnica de Infraestructura Verde.</w:t>
      </w:r>
    </w:p>
    <w:p w14:paraId="6916B0B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2.3.2.2. Elaborar el Plan Estratégico de Infraestructura Verde de espacios públicos verdes.</w:t>
      </w:r>
    </w:p>
    <w:p w14:paraId="268689C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2.3.2.3. Colaborar en jornadas de forestación en espacios públicos. </w:t>
      </w:r>
    </w:p>
    <w:p w14:paraId="1260E965"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Reto 2.4. Identificar, planear y elaborar proyectos urbanos estratégicos que requiere el municipio para promover la competitividad, el desarrollo sostenible y la capacidad de gestión de recursos del municipio.</w:t>
      </w:r>
    </w:p>
    <w:p w14:paraId="2AE68775"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2.4.1. Elaborar, coordinar o supervisar la elaboración de proyectos ejecutivos estratégicos del municipio.</w:t>
      </w:r>
    </w:p>
    <w:p w14:paraId="68E75D15"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0EEAD6B5"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2.4.1.1. Elaborar proyecto de intervención en crucero de Solidaridad y Colosio.</w:t>
      </w:r>
    </w:p>
    <w:p w14:paraId="623B9CB1"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2.4.1.2. Elaborar proyecto de Parque de la Vida.</w:t>
      </w:r>
    </w:p>
    <w:p w14:paraId="23F72252"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2.4.1.3. Elaborar proyecto de Clínica Municipal de Salud Animal.</w:t>
      </w:r>
    </w:p>
    <w:p w14:paraId="5AEC6C7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2.4.1.4. Elaborar Proyecto rehabilitación Parque el Mundito.</w:t>
      </w:r>
    </w:p>
    <w:p w14:paraId="3B0A18C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2.4.1.5. Elaborar otros proyectos estratégicos que requiera el Municipio.</w:t>
      </w:r>
    </w:p>
    <w:p w14:paraId="0D655453"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Reto 2.5. Promover la participación ciudadana, la colaboración interinstitucional y la cooperación con organismos internacionales en los procesos de investigación, análisis, planeación y diseño urbano, mediante ejercicios de codiseño, consultas públicas, asesorías, participación en retos y reconocimientos, organización y participación en campañas y eventos para la difusión de la cultura urbana, mejores prácticas e intercambio de experiencias y conocimientos.</w:t>
      </w:r>
    </w:p>
    <w:p w14:paraId="0360B951"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 xml:space="preserve">Estrategia 2.5.1. Realizar acuerdos de coordinación o colaboración para la vinculación con dependencias o entidades gubernamentales, organizaciones de la sociedad civil, educativas u organismos internacionales. </w:t>
      </w:r>
    </w:p>
    <w:p w14:paraId="30B1FEA4"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3782A57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2.5.1.1. Brindar asesoría a los comités CRECES y Organismos de la Sociedad Civil en la planeación y diseño de proyectos para la creación y mejoramientos de espacios públicos.</w:t>
      </w:r>
    </w:p>
    <w:p w14:paraId="2A13399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2.5.1.2. Establecer acuerdos de coordinación o colaboración parar realizar estudios, programas, proyectos, campañas o eventos.</w:t>
      </w:r>
    </w:p>
    <w:p w14:paraId="3E957B3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2.5.1.3. Participar en concursos, retos, reconocimientos y certificaciones promovidas por organismos nacionales o internacionales, en temas urbanos, de movilidad y sostenibilidad. </w:t>
      </w:r>
    </w:p>
    <w:p w14:paraId="07A50EFB"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2.5.2. Organizar o participar en campañas, cursos y presentaciones sobre temas de desarrollo urbano sostenible, ordenamiento territorial, movilidad y espacios públicos.</w:t>
      </w:r>
    </w:p>
    <w:p w14:paraId="623C5B6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Líneas de acción: </w:t>
      </w:r>
    </w:p>
    <w:p w14:paraId="408C067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2.5.2.1. Realizar reuniones de participación ciudadana y socialización de proyectos.</w:t>
      </w:r>
    </w:p>
    <w:p w14:paraId="56E0E0F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lastRenderedPageBreak/>
        <w:t>2.5.2.2. Realizar actividades de difusión sobre temas urbanos, movilidad, espacios públicos e infraestructura verde.</w:t>
      </w:r>
    </w:p>
    <w:p w14:paraId="0C23467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2.5.2.3. Impartir cursos y presentaciones sobre temas urbanos, de movilidad y de espacios públicos.</w:t>
      </w:r>
    </w:p>
    <w:p w14:paraId="4053EC52"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 xml:space="preserve">Reto 2.6. Mejorar la movilidad, los servicios básicos y los espacios públicos mediante obras de infraestructura y la formación de una red vial que promueva un desarrollo urbano sostenible. </w:t>
      </w:r>
    </w:p>
    <w:p w14:paraId="6E9DE77E"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2.6.1. Contribuir con obras de infraestructura vial en el municipio para la disminución del rezago en la movilidad de los ciudadanos</w:t>
      </w:r>
    </w:p>
    <w:p w14:paraId="3AC6C795"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76E36DE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2.6.1.1. Mejorar la red de pavimento con calidad y durabilidad mediante la ejecución de obras de pavimentación de vialidades de concreto asfaltico e hidráulico y obras de rehabilitación de vialidades a base de recarpeteo.</w:t>
      </w:r>
    </w:p>
    <w:p w14:paraId="0DFB26E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2.6.1.2. Construir y rehabilitar puentes y pasos a desnivel.</w:t>
      </w:r>
    </w:p>
    <w:p w14:paraId="771067EC"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2.6.1.3. Construir y rehabilitar edificios públicos.</w:t>
      </w:r>
    </w:p>
    <w:p w14:paraId="4B6FBA2D"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2.6.2. Fortalecer la infraestructura de la ciudad a través del mantenimiento y conservación de vialidades urbanas y rurales, así como canales pluviales y arroyos.</w:t>
      </w:r>
    </w:p>
    <w:p w14:paraId="18462A7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56D8C49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2.6.2.1. Rehabilitar las vialidades urbanas de terracería y caminos rurales del municipio de Hermosillo.</w:t>
      </w:r>
    </w:p>
    <w:p w14:paraId="54FAC41F"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2.6.2.2. Rehabilitar los arroyos y canales pluviales de tierra detectados y programados para su ejecución.</w:t>
      </w:r>
    </w:p>
    <w:p w14:paraId="3342CF5A"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2.6.2.3. Desarrollar un programa permanente de bacheo en las colonias.</w:t>
      </w:r>
    </w:p>
    <w:p w14:paraId="25196D5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2.6.2.4. Desarrollar un programa de calafateo en vialidades principales del municipio de Hermosillo.</w:t>
      </w:r>
    </w:p>
    <w:p w14:paraId="5B854F11"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2.6.3. Reducir el rezago en servicios básicos y condiciones de vivienda a través de la construcción de infraestructura esencial y el mejoramiento de espacios públicos, asegurando una adecuada ejecución de las obras mediante estudios y proyectos relacionados.</w:t>
      </w:r>
    </w:p>
    <w:p w14:paraId="2437278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72F5270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2.6.3.1. Construir y rehabilitar unidades deportivas y áreas recreativas en colonias y comunidades que sean de alta prioridad.</w:t>
      </w:r>
    </w:p>
    <w:p w14:paraId="41E763C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2.6.3.2. Construir y rehabilitar la infraestructura hidrosanitaria del municipio de Hermosillo.</w:t>
      </w:r>
    </w:p>
    <w:p w14:paraId="64ECA01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2.6.3.3. Construir cuartos dormitorio en viviendas para el abatimiento del hacinamiento de la población vulnerable que carece de espacios dignos.</w:t>
      </w:r>
    </w:p>
    <w:p w14:paraId="64C66C6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2.6.3.4. Elaborar estudios y proyectos ejecutivos de vialidades, equipamiento urbano e infraestructura.</w:t>
      </w:r>
    </w:p>
    <w:p w14:paraId="2B3A2B73"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2.6.3.5. Dar seguimiento a los servicios relacionados a la obra pública ejecutadas por el Ayuntamiento. </w:t>
      </w:r>
    </w:p>
    <w:p w14:paraId="71A1A7C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lastRenderedPageBreak/>
        <w:t>2.6.3.6. Implementar acciones de aprovechamiento y equipamiento de los bienes de dominio público, que favorezcan la imagen urbana y permitan la integración, sustentabilidad, desarrollo humano y la cohesión social.</w:t>
      </w:r>
    </w:p>
    <w:p w14:paraId="61AF592F"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2.6.4. Mantener las vialidades principales de la ciudad con la señalización horizontal y un sistema de semaforización sincronizado y en buen estado, contribuyendo a una movilidad segura, ágil y ordenada.</w:t>
      </w:r>
    </w:p>
    <w:p w14:paraId="1EFD47B4"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75B47FE1"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2.6.4.1. Instalar y rehabilitar las señalizaciones verticales de tránsito.</w:t>
      </w:r>
    </w:p>
    <w:p w14:paraId="289AE37C"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2.6.4.2. Aplicar el mantenimiento necesario en pintura de tráfico en vialidades, líneas separadoras de carril, delimitadoras de calzada, dobles, ciclo vías, centrales, entre otras.</w:t>
      </w:r>
    </w:p>
    <w:p w14:paraId="5915D28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2.6.4.3. Dar el mantenimiento preventivo y correctivo a los semáforos de la ciudad para un buen funcionamiento.</w:t>
      </w:r>
    </w:p>
    <w:p w14:paraId="353B6881"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Reto 2.7. Fomentar la participación de la ciudadanía en la ejecución de proyectos de infraestructura que contribuyan al desarrollo social y económico del municipio mediante mesas de concertación de obra pública.</w:t>
      </w:r>
    </w:p>
    <w:p w14:paraId="4324EB50"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2.7.1. Sistematizar el seguimiento de las demandas ciudadanas de obras públicas para su concertación y en su caso inversión directa para ejecución bajo los principios de corresponsabilidad, solidaridad, rendición de cuentas y transparencia.</w:t>
      </w:r>
    </w:p>
    <w:p w14:paraId="7A643CB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727A44D2"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2.7.1.1. Atender y dar seguimiento a las solicitudes de obra pública de la ciudadanía derivados de programas sociales de este H. Ayuntamiento y/o mediante aportaciones de los sectores sociales o privados.</w:t>
      </w:r>
    </w:p>
    <w:p w14:paraId="57AF0E5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2.7.1.2. Dar seguimiento a las solicitudes a través del convenio de concertación para facilitar el inicio de los compromisos de aportaciones económicas necesarios para llevar a cabo la obra.</w:t>
      </w:r>
    </w:p>
    <w:p w14:paraId="71C72382"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2.7.1.3. Priorizar los proyectos de obra derivado de las solicitudes realizadas a esta Entidad que cubriendo las necesidades de la ciudadanía.</w:t>
      </w:r>
    </w:p>
    <w:p w14:paraId="7FAA19A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2.7.1.4. Ejecutar la obra pública aprobada a través del contrato correspondiente mediante las actividades necesarias para asegurar su correcta ejecución, garantizando su desarrollo y supervisión basado en los principios de corresponsabilidad, solidaridad, rendición de cuentas y transparencia.</w:t>
      </w:r>
    </w:p>
    <w:p w14:paraId="3BA60271"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2.7.1.5. Vigilar la correcta ejecución de los proyectos aprobados, para asegurar el cumplimiento de la normatividad técnica y legal pertinente.</w:t>
      </w:r>
    </w:p>
    <w:p w14:paraId="6AB87181"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 xml:space="preserve">Reto 2.8. Garantizar un manejo adecuado del recurso hídrico bajo los parámetros establecidos, optimizando su uso a través del mejoramiento de la eficiencia física e infraestructura de distribución, desalojo seguro de aguas residuales, promoción del reuso de agua tratada y prospección de fuentes de abastecimiento, para disminuir la sobreexplotación de los acuíferos y asegurar el suministro a largo plazo. </w:t>
      </w:r>
    </w:p>
    <w:p w14:paraId="40E75481"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2.8.1. Fortalecer el abasto de agua potable para satisfacer en calidad y cantidad a la población el mediano y largo plazo.</w:t>
      </w:r>
    </w:p>
    <w:p w14:paraId="05A1AF42"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26CD3B03" w14:textId="76AC731B"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2.8.1.1. Extra</w:t>
      </w:r>
      <w:r w:rsidR="00FF6A56">
        <w:rPr>
          <w:rFonts w:eastAsiaTheme="minorHAnsi" w:cs="Arial"/>
          <w:kern w:val="2"/>
          <w:lang w:val="es-MX" w:bidi="ar-SA"/>
          <w14:ligatures w14:val="standardContextual"/>
        </w:rPr>
        <w:t>er</w:t>
      </w:r>
      <w:r w:rsidRPr="00AD36FE">
        <w:rPr>
          <w:rFonts w:eastAsiaTheme="minorHAnsi" w:cs="Arial"/>
          <w:kern w:val="2"/>
          <w:lang w:val="es-MX" w:bidi="ar-SA"/>
          <w14:ligatures w14:val="standardContextual"/>
        </w:rPr>
        <w:t>, potabiliza</w:t>
      </w:r>
      <w:r w:rsidR="00FF6A56">
        <w:rPr>
          <w:rFonts w:eastAsiaTheme="minorHAnsi" w:cs="Arial"/>
          <w:kern w:val="2"/>
          <w:lang w:val="es-MX" w:bidi="ar-SA"/>
          <w14:ligatures w14:val="standardContextual"/>
        </w:rPr>
        <w:t>r</w:t>
      </w:r>
      <w:r w:rsidRPr="00AD36FE">
        <w:rPr>
          <w:rFonts w:eastAsiaTheme="minorHAnsi" w:cs="Arial"/>
          <w:kern w:val="2"/>
          <w:lang w:val="es-MX" w:bidi="ar-SA"/>
          <w14:ligatures w14:val="standardContextual"/>
        </w:rPr>
        <w:t>, conduc</w:t>
      </w:r>
      <w:r w:rsidR="00FF6A56">
        <w:rPr>
          <w:rFonts w:eastAsiaTheme="minorHAnsi" w:cs="Arial"/>
          <w:kern w:val="2"/>
          <w:lang w:val="es-MX" w:bidi="ar-SA"/>
          <w14:ligatures w14:val="standardContextual"/>
        </w:rPr>
        <w:t>ir</w:t>
      </w:r>
      <w:r w:rsidRPr="00AD36FE">
        <w:rPr>
          <w:rFonts w:eastAsiaTheme="minorHAnsi" w:cs="Arial"/>
          <w:kern w:val="2"/>
          <w:lang w:val="es-MX" w:bidi="ar-SA"/>
          <w14:ligatures w14:val="standardContextual"/>
        </w:rPr>
        <w:t xml:space="preserve"> y distribu</w:t>
      </w:r>
      <w:r w:rsidR="00FF6A56">
        <w:rPr>
          <w:rFonts w:eastAsiaTheme="minorHAnsi" w:cs="Arial"/>
          <w:kern w:val="2"/>
          <w:lang w:val="es-MX" w:bidi="ar-SA"/>
          <w14:ligatures w14:val="standardContextual"/>
        </w:rPr>
        <w:t>ir</w:t>
      </w:r>
      <w:r w:rsidRPr="00AD36FE">
        <w:rPr>
          <w:rFonts w:eastAsiaTheme="minorHAnsi" w:cs="Arial"/>
          <w:kern w:val="2"/>
          <w:lang w:val="es-MX" w:bidi="ar-SA"/>
          <w14:ligatures w14:val="standardContextual"/>
        </w:rPr>
        <w:t xml:space="preserve"> el volumen de agua que demanda la ciudad.</w:t>
      </w:r>
    </w:p>
    <w:p w14:paraId="2A5DB93C"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lastRenderedPageBreak/>
        <w:t>2.8.1.2. Dar seguimiento al cumplimiento de la normatividad a la calidad del agua, mediante muestras y análisis fisicoquímicos, bacteriológicos PH, temperatura, metales pesados, turbiedad y color en fuentes de abastecimiento, toma domiciliaria, cárcamos de rebombeo, tanques de almacenamiento y plantas potabilizadoras.</w:t>
      </w:r>
    </w:p>
    <w:p w14:paraId="6897EFC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2.8.1.3. Fortalecer el equipamiento, mantenimiento y rehabilitación de infraestructura hidráulica de producción, cloración, conducción, rebombeos, potabilización, almacenamiento y sectores hidrométricos.</w:t>
      </w:r>
    </w:p>
    <w:p w14:paraId="27D6ECA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2.8.1.4. Consolidar el equipamiento, rehabilitación, mantenimiento de redes de distribución para mejorar su eficiencia, así como la reposición de daños ocasionados en la carpeta asfáltica.</w:t>
      </w:r>
    </w:p>
    <w:p w14:paraId="7B428FF2"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2.8.1.5. Gestionar las obras de infraestructura y nuevas fuentes de abastecimiento en las localidades del municipio de Hermosillo.</w:t>
      </w:r>
    </w:p>
    <w:p w14:paraId="439934B8"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2.8.2. Mantener en operación la red e infraestructura de drenaje y alcantarillado sanitario municipal para el desalojo en forma segura de las aguas residuales generadas para su posterior tratamiento.</w:t>
      </w:r>
    </w:p>
    <w:p w14:paraId="67884FC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73699CCC"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2.8.2.1. Rehabilitar la red de drenaje conforme a las prioridades detectadas.</w:t>
      </w:r>
    </w:p>
    <w:p w14:paraId="35B1229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2.8.2.2. Implementar un programa intensivo de limpieza de drenajes.</w:t>
      </w:r>
    </w:p>
    <w:p w14:paraId="6788C4A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2.8.2.3. Efectuar monitoreos aleatorios de las aguas residuales descargadas por usuarios no domésticos para verificar el cumplimiento de las disposiciones normativas aplicables.</w:t>
      </w:r>
    </w:p>
    <w:p w14:paraId="04ED5E04"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2.8.2.4. Medir las aguas residuales generadas en el municipio de Hermosillo e implementar acciones continuas de vigilancia para cumplir con las disposiciones normativas aplicable.</w:t>
      </w:r>
    </w:p>
    <w:p w14:paraId="213C7208"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2.8.3. Sanear, reusar y disponer de los volúmenes de aguas residuales generadas y optimizar los costos de operación de las plantas de tratamiento, viabilidad y/o construcción de las líneas moradas, así como promover el uso de aguas tratadas.</w:t>
      </w:r>
    </w:p>
    <w:p w14:paraId="26EF67B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4969890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2.8.3.1. Tratamiento de las aguas residuales generadas.</w:t>
      </w:r>
    </w:p>
    <w:p w14:paraId="70BBA7D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2.8.3.2. Comprobar la correcta operación de las PTAR'S propiedad de agua de Hermosillo y otras operadas por externos, así como verificar el cumplimiento de las condiciones particulares de descarga de las PTAR´s operadas por el organismo.</w:t>
      </w:r>
    </w:p>
    <w:p w14:paraId="6A21CC93"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2.8.3.3. Promover el uso de aguas tratadas, aguas no tratadas y aprovechamiento de subproductos, mediante su comercialización en la industria, infiltración para recarga del acuífero, riego en camellones, parques y todas las áreas verdes con cobertura de línea morada.</w:t>
      </w:r>
    </w:p>
    <w:p w14:paraId="2DB2008A"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 xml:space="preserve">Reto 2.9. Promover una recaudación eficaz y eficiente con planeación de largo plazo, y fortalecer al Organismo Operador Municipal Agua de Hermosillo para alcanzar su autonomía financiera y la defensa de su patrimonio. </w:t>
      </w:r>
    </w:p>
    <w:p w14:paraId="20CB7F82"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 xml:space="preserve">Estrategia 2.9.1. Brindar a los usuarios los servicios con calidad y sentido social, promoviendo una recaudación eficaz y eficiente. </w:t>
      </w:r>
    </w:p>
    <w:p w14:paraId="39E75BB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7BB766B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2.9.1.1. Incrementar el porcentaje de eficiencia comercial.</w:t>
      </w:r>
    </w:p>
    <w:p w14:paraId="45ED048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lastRenderedPageBreak/>
        <w:t>2.9.1.2. Reducir el agua no contabilizada (Incrementar el porcentaje de eficiencia física).</w:t>
      </w:r>
    </w:p>
    <w:p w14:paraId="30D46F5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2.9.1.3. Mantener un padrón de usuarios actualizado y confiable.</w:t>
      </w:r>
    </w:p>
    <w:p w14:paraId="60C109F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2.9.1.4. Atender la demanda de instalaciones de medidores en tiempo y forma.</w:t>
      </w:r>
    </w:p>
    <w:p w14:paraId="68A837FF"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2.9.1.5. Actualizar el padrón de beneficiarios de la tarifa social e incrementar el número de usuarios con el beneficio, conforme a las disposiciones normativas aplicables.</w:t>
      </w:r>
    </w:p>
    <w:p w14:paraId="187927BA"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2.9.1.6. Impulsar una cultura del cuidado del agua, mediante campañas o acciones para la promoción y difusión.</w:t>
      </w:r>
    </w:p>
    <w:p w14:paraId="7AF5C83C"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2.9.1.7. Mejorar la satisfacción del usuario por la atención brindada en módulos.</w:t>
      </w:r>
    </w:p>
    <w:p w14:paraId="420F9271"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2.9.2. Implementar mecanismos de control, sistemas de información para la evaluación del desempeño, transparencia, mejorar la percepción e imagen institucional, así como la defensa legal del patrimonio del Organismo Operador Municipal Agua de Hermosillo.</w:t>
      </w:r>
    </w:p>
    <w:p w14:paraId="6A71E193"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2DE7AD2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2.9.2.1. Atender los asuntos jurídicos del Organismo Operador Municipal Agua de Hermosillo en tiempo y forma, conforme al marco normativo para la protección del patrimonio municipal.</w:t>
      </w:r>
    </w:p>
    <w:p w14:paraId="2BEA8876"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2.9.2.2. Evaluar y dar seguimiento a la planeación estratégica institucional del Organismo Operador Municipal Agua de Hermosillo.</w:t>
      </w:r>
    </w:p>
    <w:p w14:paraId="5F81E1C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2.9.2.3. Desarrollar estudios y proyectos de infraestructura, supervisar las obras de ampliación o construcción de infraestructura hidro-sanitaria, así como el crecimiento inmobiliario de los nuevos desarrollos y/o fraccionamientos, plazas comerciales y parques industriales.</w:t>
      </w:r>
    </w:p>
    <w:p w14:paraId="14C01B2A"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2.9.2.4. Administrar los recursos financieros con racionalidad y disciplina presupuestal.</w:t>
      </w:r>
    </w:p>
    <w:p w14:paraId="28DEDBBF"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2.9.2.5. Garantizar la efectividad operativa de los sistemas, redes, medios de comunicación, software y hardware de cada una de las unidades administrativas.</w:t>
      </w:r>
    </w:p>
    <w:p w14:paraId="08A0FECA"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2.9.2.6. Fortalecer el capital humano del organismo para la mejora de los servicios otorgados, mediante una estructura organizacional adecuada, desarrollo del personal, actualización de manuales e implementación de procesos certificados de gestión de calidad.</w:t>
      </w:r>
    </w:p>
    <w:p w14:paraId="235B3B0A"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2.9.2.7. Supervisar el cumplimiento de las disposiciones legales y normativas que regulan las operaciones técnicas, administrativas, financieras, y de obras, mediante la implementación de auditorías y revisiones periódicas, así como la investigación y denuncia de posibles casos de incumplimiento.</w:t>
      </w:r>
    </w:p>
    <w:p w14:paraId="7DF4B63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2.9.2.8. Promover el cuidado del agua en la sociedad hermosillense, a través de mecanismos de difusión y comunicación.</w:t>
      </w:r>
    </w:p>
    <w:p w14:paraId="2FFE3B30"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Reto 2.10. Impulsar una cultura cívica de limpieza y orden a través de un sistema de manejo y disposición de residuos.</w:t>
      </w:r>
    </w:p>
    <w:p w14:paraId="47315BB5"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2.10.1. Implementar un programa de manejo, tratamiento y disposición de residuos en el municipio de Hermosillo.</w:t>
      </w:r>
    </w:p>
    <w:p w14:paraId="4B97FC3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20B4363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lastRenderedPageBreak/>
        <w:t>2.10.1.1. Recolectar, trasladar y disponer los residuos sólidos urbanos generados en los domicilios del municipio de Hermosillo.</w:t>
      </w:r>
    </w:p>
    <w:p w14:paraId="3C914442"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2.10.1.2. Realizar acciones de saneamiento en el Municipio de Hermosillo, reduciendo riesgos sanitarios y beneficiando a su buena imagen.</w:t>
      </w:r>
    </w:p>
    <w:p w14:paraId="2BF4751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2.10.1.3. Realizar actividades de mantenimiento y limpieza de plazas, parques y camellones en bulevares. </w:t>
      </w:r>
    </w:p>
    <w:p w14:paraId="5C3DAAE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2.10.1.4. Realizar programas de forestación y reforestación para el abatimiento del rezago de áreas verdes en el centro de población de Hermosillo, fomentando la participación ciudadana a través del programa de donación de árboles. </w:t>
      </w:r>
    </w:p>
    <w:p w14:paraId="44D26A2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2.10.1.5. Realizar campañas de difusión para dar a conocer los diferentes programas de la Dirección General de Servicios Públicos Municipales.</w:t>
      </w:r>
    </w:p>
    <w:p w14:paraId="573F859A"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2.10.2. Realizar un plan de mejoramiento y mantenimiento de los panteones municipales para hacerlos más seguros y funcionales.</w:t>
      </w:r>
    </w:p>
    <w:p w14:paraId="3AF5559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Líneas de acción: </w:t>
      </w:r>
    </w:p>
    <w:p w14:paraId="70E04F6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2.10.2.1. Brindar de manera oportuna, digna y eficiente los servicios funerarios otorgados a través del Ayuntamiento a la población que así lo requiera.</w:t>
      </w:r>
    </w:p>
    <w:p w14:paraId="6851FC73"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2.10.2.2. Desarrollar programas de limpieza y mantenimiento permanente y reforzar la seguridad en los panteones municipales.</w:t>
      </w:r>
    </w:p>
    <w:p w14:paraId="2C4EBB3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2.10.2.3. Crear un pulmón verde que contribuya al bienestar ambiental y social de la comunidad.</w:t>
      </w:r>
    </w:p>
    <w:p w14:paraId="63720FD7"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2.10.3. Reforzar el compromiso con la sostenibilidad y la gestión responsable de residuos, incentivando la participación ciudadana en la recolección y separación de materiales reciclables.</w:t>
      </w:r>
    </w:p>
    <w:p w14:paraId="29D68E8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2726F90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2.10.3.1. Implementar un programa para la recepción de tiliches, cacharros y separación de basura a través de puntos de acopio.</w:t>
      </w:r>
    </w:p>
    <w:p w14:paraId="1D2C8AE4"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2.10.3.2. Incentivar a los comercios que contraten el servicio de recolección de servicios públicos, promoviendo prácticas de reciclaje y reconocer su compromiso con la ciudad.</w:t>
      </w:r>
    </w:p>
    <w:p w14:paraId="50D8FE4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2.10.3.3. Llevar a cabo eventos para concientizar a la sociedad sobre la importancia de tratar los desechos de manera adecuada.</w:t>
      </w:r>
    </w:p>
    <w:p w14:paraId="2F9FE58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2.10.3.4. Realizar el programa de concientización para el manejo, separación y disposición de residuos con enfoque ecológico para la protección y rescate del medio ambiente en instituciones escolares de la ciudad.</w:t>
      </w:r>
    </w:p>
    <w:p w14:paraId="24343512"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Reto 2.11. Impulsar acciones de inclusión, prevención y promoción de la salud a la población del municipio, con el fin de brindarle opciones que ayuden a cuidar la salud y la integración social.</w:t>
      </w:r>
    </w:p>
    <w:p w14:paraId="01E4B7A7"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2.11.1. Impulsar el bienestar y protección animal en nuestra ciudad.</w:t>
      </w:r>
    </w:p>
    <w:p w14:paraId="3E66396A"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Líneas de acción: </w:t>
      </w:r>
    </w:p>
    <w:p w14:paraId="72B576B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2.11.1.1. Otorgar servicio de atención en prevención de enfermedades a la población canina y felina del municipio.</w:t>
      </w:r>
    </w:p>
    <w:p w14:paraId="369942B2"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lastRenderedPageBreak/>
        <w:t>2.11.1.2. Realizar actividades donde se incumpla el reglamento de IMPBA, así como la recolección de cadáveres (animales).</w:t>
      </w:r>
    </w:p>
    <w:p w14:paraId="30A08141"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2.11.1.3. Llevar a cabo campañas de esterilización en colonias de la ciudad de Hermosillo a través del Camión Quirófano del IMPBA.</w:t>
      </w:r>
    </w:p>
    <w:p w14:paraId="188B653F"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2.11.1.4. Realizar campañas en redes sociales para dar a conocer los servicios otorgados por el Instituto de Protección y Bienestar Animal.</w:t>
      </w:r>
    </w:p>
    <w:p w14:paraId="36B7D211"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2.11.1.5. Realizar talleres y campañas de difusión en instituciones educativas y colonia a través de los comités CRECES sobre la adopción, cuidado y responsabilidades que se adquieren al ser dueño de un animal de compañía.</w:t>
      </w:r>
    </w:p>
    <w:p w14:paraId="4502A826"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Reto 2.12. Ofrecer a la ciudadanía hermosillense una ciudad iluminada con tecnología de vanguardia y sostenible que permita optimizar los recursos disponibles, fomentar la convivencia social, atraer inversiones al municipio y disminuir la probabilidad de la incidencia delictiva.</w:t>
      </w:r>
    </w:p>
    <w:p w14:paraId="11F988B5"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2.12.1. Mantener la cobertura de alumbrado público con un servicio de calidad, eficiente y sostenible.</w:t>
      </w:r>
    </w:p>
    <w:p w14:paraId="2CFE457F"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31BCE664"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2.12.1.1. Diseñar un programa de mantenimiento de la cobertura del alumbrado público estableciendo prioridades por zonas habitacionales y de mayor afluencia.</w:t>
      </w:r>
    </w:p>
    <w:p w14:paraId="36DF483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2.12.1.2. Atender los reportes de la ciudadanía a través de un sistema de seguimiento.</w:t>
      </w:r>
    </w:p>
    <w:p w14:paraId="2EE2678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2.12.1.3. Realizar y ejecutar un programa de mantenimiento preventivo a los bulevares principales.</w:t>
      </w:r>
    </w:p>
    <w:p w14:paraId="3EAAA86B"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2.12.1.4. Ejecutar un programa de iluminación navideña en la ciudad de Hermosillo.</w:t>
      </w:r>
    </w:p>
    <w:p w14:paraId="340BECCF"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2.12.1.5. Realizar mantenimiento preventivo a subestaciones propias de la Agencia Municipal de Energía y Cambio Climático de Hermosillo.</w:t>
      </w:r>
    </w:p>
    <w:p w14:paraId="4888962B"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2.12.2. Ampliar el sistema de alumbrado público en conformidad con las prioridades y normas aplicables.</w:t>
      </w:r>
    </w:p>
    <w:p w14:paraId="3AF5C8B6"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0221C6D6"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2.12.2.1. Diseñar un programa de ampliación de cobertura de alumbrado público, identificando las zonas que no cuentan con el servicio y las de mayor afluencia para determinar prioridades y optimizar el recurso disponible.</w:t>
      </w:r>
    </w:p>
    <w:p w14:paraId="64D5B59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2.12.2.2. Llevar a cabo las obras públicas necesarias para ampliar o rehabilitar el sistema de alumbrado público en colonias regularizadas.</w:t>
      </w:r>
    </w:p>
    <w:p w14:paraId="75A538E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2.12.2.3. Implementar la instalación de nueva iluminación en espacios públicos deportivos del área rural y urbana, de alta concurrencia, considerando las necesidades especiales de personas con discapacidad y de grupos vulnerables.</w:t>
      </w:r>
    </w:p>
    <w:p w14:paraId="5E83EF5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2.12.2.4. Realizar la instalación de iluminación en nuevos trayectos con mayor incidencia delictiva por razón de género.</w:t>
      </w:r>
    </w:p>
    <w:p w14:paraId="0681FA7C"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2.12.2.5. Electrificar los nuevos puntos wifi a instalar en el municipio de Hermosillo.</w:t>
      </w:r>
    </w:p>
    <w:p w14:paraId="43730FA8"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2.12.2.6. Revisar y aprobar los proyectos ejecutivos de los circuitos de alumbrado público de los fraccionadores que cumplan con las normas aplicables.</w:t>
      </w:r>
    </w:p>
    <w:p w14:paraId="302C8B1B"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lastRenderedPageBreak/>
        <w:t>Reto</w:t>
      </w:r>
      <w:r w:rsidRPr="00AD36FE">
        <w:rPr>
          <w:rFonts w:eastAsiaTheme="minorHAnsi" w:cs="Arial"/>
          <w:b/>
          <w:bCs/>
          <w:kern w:val="2"/>
          <w:lang w:val="es-MX" w:bidi="ar-SA"/>
          <w14:ligatures w14:val="standardContextual"/>
        </w:rPr>
        <w:tab/>
        <w:t>2.13.</w:t>
      </w:r>
      <w:r w:rsidRPr="00AD36FE">
        <w:rPr>
          <w:rFonts w:eastAsiaTheme="minorHAnsi" w:cs="Arial"/>
          <w:b/>
          <w:bCs/>
          <w:kern w:val="2"/>
          <w:lang w:val="es-MX" w:bidi="ar-SA"/>
          <w14:ligatures w14:val="standardContextual"/>
        </w:rPr>
        <w:tab/>
        <w:t>Fomentar en la ciudadanía hermosillense, la importancia en el ámbito social, económico y ambiental; del cambio climático, de la eficiencia energética y la generación de energía eléctrica a través de fuentes renovables para su propio beneficio.</w:t>
      </w:r>
    </w:p>
    <w:p w14:paraId="37E153F0"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2.13.1. Implementar el uso de energías limpias en el entorno con medidas de eficiencia energética y mitigación del cambio climático.</w:t>
      </w:r>
    </w:p>
    <w:p w14:paraId="5A5E02D1"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639EE39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2.13.1.1. Brindar programas que promuevan la generación de energías renovables y/o eficiencia energética en viviendas.</w:t>
      </w:r>
    </w:p>
    <w:p w14:paraId="618E05A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2.13.1.2. Desarrollar programas que promuevan la generación de energías renovables y/o eficiencia energética en MiPymes.</w:t>
      </w:r>
    </w:p>
    <w:p w14:paraId="207AA8F0"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2.13.1.3. Ofrecer a la ciudadanía hermosillense, diagnósticos, recomendaciones y/o implementación de eficiencia energética y/o mejoras en hogares.</w:t>
      </w:r>
    </w:p>
    <w:p w14:paraId="1CAFC28D"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2.13.2. Concientizar a la población en materia de eficiencia energética, generación de energía limpia, electromovilidad, tecnología y medidas de mitigación del cambio climático.</w:t>
      </w:r>
    </w:p>
    <w:p w14:paraId="1DC75A04"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r w:rsidRPr="00AD36FE">
        <w:rPr>
          <w:rFonts w:eastAsiaTheme="minorHAnsi" w:cs="Arial"/>
          <w:kern w:val="2"/>
          <w:lang w:val="es-MX" w:bidi="ar-SA"/>
          <w14:ligatures w14:val="standardContextual"/>
        </w:rPr>
        <w:tab/>
      </w:r>
    </w:p>
    <w:p w14:paraId="03D5072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2.13.2.1. Realizar eventos para la sensibilización y concientización sobre energía y cambio climático.</w:t>
      </w:r>
    </w:p>
    <w:p w14:paraId="1E80F3E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2.13.2.2. Llevar a cabo actividades de difusión sobre energía y cambio climático.</w:t>
      </w:r>
    </w:p>
    <w:p w14:paraId="5419EBB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2.13.2.3. Difundir a través de medios digitales, las actividades y acciones de la Agencia Municipal de Energía y Cambio Climático a la ciudadanía hermosillense.</w:t>
      </w:r>
    </w:p>
    <w:p w14:paraId="01749C8F"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2.13.3. Operar el sistema municipal de información ambiental.</w:t>
      </w:r>
    </w:p>
    <w:p w14:paraId="71A6BB97"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24777F0D"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2.13.3.1. Integrar una base de datos con información ambiental con el fin de apoyar a la toma de decisiones en materia de preservación, conservación y equilibrio ecológico y la protección al ambiente. </w:t>
      </w:r>
    </w:p>
    <w:p w14:paraId="1751EA05"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2.13.3.2. Ejecutar un programa de monitoreo a la calidad del aire en puntos estratégicos de la ciudad de Hermosillo.</w:t>
      </w:r>
    </w:p>
    <w:p w14:paraId="3C8B828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 xml:space="preserve">2.13.3.3. Elaborar un informe anual de actividades realizadas en el municipio en materia de equilibrio ecológico y protección al ambiente. </w:t>
      </w:r>
    </w:p>
    <w:p w14:paraId="4F1C5907"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Reto 2.14. Promover en el municipio de Hermosillo la transición energética a través de la implementación de fuentes renovables para la generación de energía y electromovilidad.</w:t>
      </w:r>
    </w:p>
    <w:p w14:paraId="0D903A69" w14:textId="77777777" w:rsidR="00AD36FE" w:rsidRPr="00AD36FE" w:rsidRDefault="00AD36FE" w:rsidP="00B205BA">
      <w:pPr>
        <w:spacing w:after="120" w:line="240" w:lineRule="auto"/>
        <w:rPr>
          <w:rFonts w:eastAsiaTheme="minorHAnsi" w:cs="Arial"/>
          <w:b/>
          <w:bCs/>
          <w:kern w:val="2"/>
          <w:lang w:val="es-MX" w:bidi="ar-SA"/>
          <w14:ligatures w14:val="standardContextual"/>
        </w:rPr>
      </w:pPr>
      <w:r w:rsidRPr="00AD36FE">
        <w:rPr>
          <w:rFonts w:eastAsiaTheme="minorHAnsi" w:cs="Arial"/>
          <w:b/>
          <w:bCs/>
          <w:kern w:val="2"/>
          <w:lang w:val="es-MX" w:bidi="ar-SA"/>
          <w14:ligatures w14:val="standardContextual"/>
        </w:rPr>
        <w:t>Estrategia 2.14.1. Desarrollar acciones para el uso eficiente de los recursos energéticos y colaborar con otros organismos públicos y/o privados, para la generación de información.</w:t>
      </w:r>
    </w:p>
    <w:p w14:paraId="711D91F4"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Líneas de acción:</w:t>
      </w:r>
    </w:p>
    <w:p w14:paraId="1675263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2.14.1.1. Fomentar el uso de fuentes renovables en la generación y consumo de energía en vinculación con el sector productivo, académico y social.</w:t>
      </w:r>
    </w:p>
    <w:p w14:paraId="2748E1E1"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lastRenderedPageBreak/>
        <w:t>2.14.1.2. Implementar proyectos de seguimiento a diagnósticos de eficiencia energética y/o generación de energía eléctrica, a través de fuentes renovables para la administración pública municipal, sector productivo, académico y/o sociedad civil.</w:t>
      </w:r>
    </w:p>
    <w:p w14:paraId="320E47E9"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2.14.1.3. Promover el uso de unidades eléctricas en la prestación de servicios públicos de la administración pública municipal de Hermosillo.</w:t>
      </w:r>
    </w:p>
    <w:p w14:paraId="68E980F2"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2.14.1.4. Gestionar y coordinar la construcción y/o rehabilitación de infraestructura de electromovilidad en el municipio de Hermosillo.</w:t>
      </w:r>
    </w:p>
    <w:p w14:paraId="6104B2CE" w14:textId="77777777" w:rsidR="00AD36FE" w:rsidRPr="00AD36FE" w:rsidRDefault="00AD36FE" w:rsidP="00B205BA">
      <w:pPr>
        <w:spacing w:after="120" w:line="240" w:lineRule="auto"/>
        <w:rPr>
          <w:rFonts w:eastAsiaTheme="minorHAnsi" w:cs="Arial"/>
          <w:kern w:val="2"/>
          <w:lang w:val="es-MX" w:bidi="ar-SA"/>
          <w14:ligatures w14:val="standardContextual"/>
        </w:rPr>
      </w:pPr>
      <w:r w:rsidRPr="00AD36FE">
        <w:rPr>
          <w:rFonts w:eastAsiaTheme="minorHAnsi" w:cs="Arial"/>
          <w:kern w:val="2"/>
          <w:lang w:val="es-MX" w:bidi="ar-SA"/>
          <w14:ligatures w14:val="standardContextual"/>
        </w:rPr>
        <w:t>2.14.1.5. Brindar el mantenimiento a la infraestructura de electromovilidad en el municipio de Hermosillo.</w:t>
      </w:r>
    </w:p>
    <w:p w14:paraId="1EFCFF9B" w14:textId="77777777" w:rsidR="00A93423" w:rsidRPr="00AD36FE" w:rsidRDefault="00A93423" w:rsidP="00B205BA">
      <w:pPr>
        <w:spacing w:after="120" w:line="240" w:lineRule="auto"/>
        <w:rPr>
          <w:rFonts w:cs="Arial"/>
          <w:b/>
          <w:bCs/>
          <w:color w:val="A6A6A6" w:themeColor="background1" w:themeShade="A6"/>
          <w:sz w:val="24"/>
          <w:szCs w:val="24"/>
          <w:lang w:val="es-MX"/>
        </w:rPr>
      </w:pPr>
    </w:p>
    <w:p w14:paraId="2CC2C45F" w14:textId="77777777" w:rsidR="00A93423" w:rsidRDefault="00A93423" w:rsidP="00B205BA">
      <w:pPr>
        <w:spacing w:after="120" w:line="240" w:lineRule="auto"/>
        <w:rPr>
          <w:rFonts w:cs="Arial"/>
          <w:b/>
          <w:bCs/>
          <w:color w:val="A6A6A6" w:themeColor="background1" w:themeShade="A6"/>
          <w:sz w:val="24"/>
          <w:szCs w:val="24"/>
        </w:rPr>
      </w:pPr>
    </w:p>
    <w:p w14:paraId="6686BF3E" w14:textId="77777777" w:rsidR="00013F4A" w:rsidRDefault="00013F4A" w:rsidP="00B205BA">
      <w:pPr>
        <w:spacing w:after="120" w:line="240" w:lineRule="auto"/>
        <w:rPr>
          <w:rFonts w:cs="Arial"/>
          <w:b/>
          <w:bCs/>
          <w:color w:val="A6A6A6" w:themeColor="background1" w:themeShade="A6"/>
          <w:sz w:val="24"/>
          <w:szCs w:val="24"/>
        </w:rPr>
      </w:pPr>
    </w:p>
    <w:p w14:paraId="3BF2D6EB" w14:textId="77777777" w:rsidR="00013F4A" w:rsidRDefault="00013F4A" w:rsidP="00B205BA">
      <w:pPr>
        <w:spacing w:after="120" w:line="240" w:lineRule="auto"/>
        <w:rPr>
          <w:rFonts w:cs="Arial"/>
          <w:b/>
          <w:bCs/>
          <w:color w:val="A6A6A6" w:themeColor="background1" w:themeShade="A6"/>
          <w:sz w:val="24"/>
          <w:szCs w:val="24"/>
        </w:rPr>
      </w:pPr>
    </w:p>
    <w:p w14:paraId="1EF03C5D" w14:textId="77777777" w:rsidR="00013F4A" w:rsidRDefault="00013F4A" w:rsidP="00B205BA">
      <w:pPr>
        <w:spacing w:after="120" w:line="240" w:lineRule="auto"/>
        <w:rPr>
          <w:rFonts w:cs="Arial"/>
          <w:b/>
          <w:bCs/>
          <w:color w:val="A6A6A6" w:themeColor="background1" w:themeShade="A6"/>
          <w:sz w:val="24"/>
          <w:szCs w:val="24"/>
        </w:rPr>
      </w:pPr>
    </w:p>
    <w:p w14:paraId="5684851C" w14:textId="77777777" w:rsidR="00013F4A" w:rsidRDefault="00013F4A" w:rsidP="00B205BA">
      <w:pPr>
        <w:spacing w:after="120" w:line="240" w:lineRule="auto"/>
        <w:rPr>
          <w:rFonts w:cs="Arial"/>
          <w:b/>
          <w:bCs/>
          <w:color w:val="A6A6A6" w:themeColor="background1" w:themeShade="A6"/>
          <w:sz w:val="24"/>
          <w:szCs w:val="24"/>
        </w:rPr>
      </w:pPr>
    </w:p>
    <w:p w14:paraId="78524D11" w14:textId="77777777" w:rsidR="00013F4A" w:rsidRDefault="00013F4A" w:rsidP="00B205BA">
      <w:pPr>
        <w:spacing w:after="120" w:line="240" w:lineRule="auto"/>
        <w:rPr>
          <w:rFonts w:cs="Arial"/>
          <w:b/>
          <w:bCs/>
          <w:color w:val="A6A6A6" w:themeColor="background1" w:themeShade="A6"/>
          <w:sz w:val="24"/>
          <w:szCs w:val="24"/>
        </w:rPr>
      </w:pPr>
    </w:p>
    <w:p w14:paraId="6B2C20FD" w14:textId="77777777" w:rsidR="00013F4A" w:rsidRDefault="00013F4A" w:rsidP="00B205BA">
      <w:pPr>
        <w:spacing w:after="120" w:line="240" w:lineRule="auto"/>
        <w:rPr>
          <w:rFonts w:cs="Arial"/>
          <w:b/>
          <w:bCs/>
          <w:color w:val="A6A6A6" w:themeColor="background1" w:themeShade="A6"/>
          <w:sz w:val="24"/>
          <w:szCs w:val="24"/>
        </w:rPr>
      </w:pPr>
    </w:p>
    <w:p w14:paraId="21AE8D99" w14:textId="77777777" w:rsidR="00013F4A" w:rsidRDefault="00013F4A" w:rsidP="00B205BA">
      <w:pPr>
        <w:spacing w:after="120" w:line="240" w:lineRule="auto"/>
        <w:rPr>
          <w:rFonts w:cs="Arial"/>
          <w:b/>
          <w:bCs/>
          <w:color w:val="A6A6A6" w:themeColor="background1" w:themeShade="A6"/>
          <w:sz w:val="24"/>
          <w:szCs w:val="24"/>
        </w:rPr>
      </w:pPr>
    </w:p>
    <w:p w14:paraId="43CFE5D6" w14:textId="77777777" w:rsidR="00013F4A" w:rsidRDefault="00013F4A" w:rsidP="00B205BA">
      <w:pPr>
        <w:spacing w:after="120" w:line="240" w:lineRule="auto"/>
        <w:rPr>
          <w:rFonts w:cs="Arial"/>
          <w:b/>
          <w:bCs/>
          <w:color w:val="A6A6A6" w:themeColor="background1" w:themeShade="A6"/>
          <w:sz w:val="24"/>
          <w:szCs w:val="24"/>
        </w:rPr>
      </w:pPr>
    </w:p>
    <w:p w14:paraId="3C09A1A3" w14:textId="77777777" w:rsidR="00013F4A" w:rsidRDefault="00013F4A" w:rsidP="00B205BA">
      <w:pPr>
        <w:spacing w:after="120" w:line="240" w:lineRule="auto"/>
        <w:rPr>
          <w:rFonts w:cs="Arial"/>
          <w:b/>
          <w:bCs/>
          <w:color w:val="A6A6A6" w:themeColor="background1" w:themeShade="A6"/>
          <w:sz w:val="24"/>
          <w:szCs w:val="24"/>
        </w:rPr>
      </w:pPr>
    </w:p>
    <w:p w14:paraId="5C095BDB" w14:textId="77777777" w:rsidR="00013F4A" w:rsidRDefault="00013F4A" w:rsidP="00B205BA">
      <w:pPr>
        <w:spacing w:after="120" w:line="240" w:lineRule="auto"/>
        <w:rPr>
          <w:rFonts w:cs="Arial"/>
          <w:b/>
          <w:bCs/>
          <w:color w:val="A6A6A6" w:themeColor="background1" w:themeShade="A6"/>
          <w:sz w:val="24"/>
          <w:szCs w:val="24"/>
        </w:rPr>
      </w:pPr>
    </w:p>
    <w:p w14:paraId="53858240" w14:textId="77777777" w:rsidR="00013F4A" w:rsidRDefault="00013F4A" w:rsidP="00B205BA">
      <w:pPr>
        <w:spacing w:after="120" w:line="240" w:lineRule="auto"/>
        <w:rPr>
          <w:rFonts w:cs="Arial"/>
          <w:b/>
          <w:bCs/>
          <w:color w:val="A6A6A6" w:themeColor="background1" w:themeShade="A6"/>
          <w:sz w:val="24"/>
          <w:szCs w:val="24"/>
        </w:rPr>
      </w:pPr>
    </w:p>
    <w:p w14:paraId="6B73CFE2" w14:textId="77777777" w:rsidR="00013F4A" w:rsidRDefault="00013F4A" w:rsidP="00B205BA">
      <w:pPr>
        <w:spacing w:after="120" w:line="240" w:lineRule="auto"/>
        <w:rPr>
          <w:rFonts w:cs="Arial"/>
          <w:b/>
          <w:bCs/>
          <w:color w:val="A6A6A6" w:themeColor="background1" w:themeShade="A6"/>
          <w:sz w:val="24"/>
          <w:szCs w:val="24"/>
        </w:rPr>
      </w:pPr>
    </w:p>
    <w:p w14:paraId="3F57E922" w14:textId="77777777" w:rsidR="00013F4A" w:rsidRDefault="00013F4A" w:rsidP="00B205BA">
      <w:pPr>
        <w:spacing w:after="120" w:line="240" w:lineRule="auto"/>
        <w:rPr>
          <w:rFonts w:cs="Arial"/>
          <w:b/>
          <w:bCs/>
          <w:color w:val="A6A6A6" w:themeColor="background1" w:themeShade="A6"/>
          <w:sz w:val="24"/>
          <w:szCs w:val="24"/>
        </w:rPr>
      </w:pPr>
    </w:p>
    <w:p w14:paraId="15E05558" w14:textId="77777777" w:rsidR="00013F4A" w:rsidRDefault="00013F4A" w:rsidP="00B205BA">
      <w:pPr>
        <w:spacing w:after="120" w:line="240" w:lineRule="auto"/>
        <w:rPr>
          <w:rFonts w:cs="Arial"/>
          <w:b/>
          <w:bCs/>
          <w:color w:val="A6A6A6" w:themeColor="background1" w:themeShade="A6"/>
          <w:sz w:val="24"/>
          <w:szCs w:val="24"/>
        </w:rPr>
      </w:pPr>
    </w:p>
    <w:p w14:paraId="04851F49" w14:textId="77777777" w:rsidR="00013F4A" w:rsidRDefault="00013F4A" w:rsidP="00B205BA">
      <w:pPr>
        <w:spacing w:after="120" w:line="240" w:lineRule="auto"/>
        <w:rPr>
          <w:rFonts w:cs="Arial"/>
          <w:b/>
          <w:bCs/>
          <w:color w:val="A6A6A6" w:themeColor="background1" w:themeShade="A6"/>
          <w:sz w:val="24"/>
          <w:szCs w:val="24"/>
        </w:rPr>
      </w:pPr>
    </w:p>
    <w:p w14:paraId="69C57D6B" w14:textId="77777777" w:rsidR="00013F4A" w:rsidRDefault="00013F4A" w:rsidP="00B205BA">
      <w:pPr>
        <w:spacing w:after="120" w:line="240" w:lineRule="auto"/>
        <w:rPr>
          <w:rFonts w:cs="Arial"/>
          <w:b/>
          <w:bCs/>
          <w:color w:val="A6A6A6" w:themeColor="background1" w:themeShade="A6"/>
          <w:sz w:val="24"/>
          <w:szCs w:val="24"/>
        </w:rPr>
      </w:pPr>
    </w:p>
    <w:p w14:paraId="5FB1D26E" w14:textId="77777777" w:rsidR="00013F4A" w:rsidRDefault="00013F4A" w:rsidP="00B205BA">
      <w:pPr>
        <w:spacing w:after="120" w:line="240" w:lineRule="auto"/>
        <w:rPr>
          <w:rFonts w:cs="Arial"/>
          <w:b/>
          <w:bCs/>
          <w:color w:val="A6A6A6" w:themeColor="background1" w:themeShade="A6"/>
          <w:sz w:val="24"/>
          <w:szCs w:val="24"/>
        </w:rPr>
      </w:pPr>
    </w:p>
    <w:p w14:paraId="6AA8AFA8" w14:textId="77777777" w:rsidR="00013F4A" w:rsidRPr="00D503D0" w:rsidRDefault="00013F4A" w:rsidP="00B205BA">
      <w:pPr>
        <w:spacing w:after="120" w:line="240" w:lineRule="auto"/>
        <w:rPr>
          <w:rFonts w:cs="Arial"/>
          <w:b/>
          <w:bCs/>
          <w:color w:val="A6A6A6" w:themeColor="background1" w:themeShade="A6"/>
          <w:sz w:val="24"/>
          <w:szCs w:val="24"/>
        </w:rPr>
      </w:pPr>
    </w:p>
    <w:p w14:paraId="21C193CE" w14:textId="77777777" w:rsidR="00A93423" w:rsidRPr="00D503D0" w:rsidRDefault="00A93423" w:rsidP="00B205BA">
      <w:pPr>
        <w:spacing w:after="120" w:line="240" w:lineRule="auto"/>
        <w:rPr>
          <w:rFonts w:cs="Arial"/>
          <w:b/>
          <w:bCs/>
          <w:color w:val="A6A6A6" w:themeColor="background1" w:themeShade="A6"/>
          <w:sz w:val="24"/>
          <w:szCs w:val="24"/>
        </w:rPr>
      </w:pPr>
    </w:p>
    <w:p w14:paraId="0B8927CE" w14:textId="77777777" w:rsidR="00A93423" w:rsidRPr="00D503D0" w:rsidRDefault="00A93423" w:rsidP="00B205BA">
      <w:pPr>
        <w:spacing w:after="120" w:line="240" w:lineRule="auto"/>
        <w:rPr>
          <w:rFonts w:cs="Arial"/>
          <w:b/>
          <w:bCs/>
          <w:color w:val="A6A6A6" w:themeColor="background1" w:themeShade="A6"/>
          <w:sz w:val="24"/>
          <w:szCs w:val="24"/>
        </w:rPr>
      </w:pPr>
    </w:p>
    <w:p w14:paraId="59D745F5" w14:textId="77777777" w:rsidR="00A93423" w:rsidRPr="00D503D0" w:rsidRDefault="00A93423" w:rsidP="00B205BA">
      <w:pPr>
        <w:spacing w:after="120" w:line="240" w:lineRule="auto"/>
        <w:rPr>
          <w:rFonts w:cs="Arial"/>
          <w:b/>
          <w:bCs/>
          <w:color w:val="A6A6A6" w:themeColor="background1" w:themeShade="A6"/>
          <w:sz w:val="24"/>
          <w:szCs w:val="24"/>
        </w:rPr>
      </w:pPr>
    </w:p>
    <w:p w14:paraId="4F24F7DC" w14:textId="77777777" w:rsidR="00A93423" w:rsidRDefault="00A93423" w:rsidP="00B205BA">
      <w:pPr>
        <w:spacing w:after="120" w:line="240" w:lineRule="auto"/>
        <w:rPr>
          <w:rFonts w:cs="Arial"/>
          <w:b/>
          <w:bCs/>
          <w:color w:val="A6A6A6" w:themeColor="background1" w:themeShade="A6"/>
          <w:sz w:val="24"/>
          <w:szCs w:val="24"/>
        </w:rPr>
      </w:pPr>
    </w:p>
    <w:p w14:paraId="239704F3" w14:textId="77777777" w:rsidR="008D52BB" w:rsidRDefault="008D52BB" w:rsidP="00B205BA">
      <w:pPr>
        <w:spacing w:after="120" w:line="240" w:lineRule="auto"/>
        <w:rPr>
          <w:rFonts w:cs="Arial"/>
          <w:b/>
          <w:bCs/>
          <w:color w:val="A6A6A6" w:themeColor="background1" w:themeShade="A6"/>
          <w:sz w:val="24"/>
          <w:szCs w:val="24"/>
        </w:rPr>
      </w:pPr>
    </w:p>
    <w:p w14:paraId="3364F8CF" w14:textId="77777777" w:rsidR="008D52BB" w:rsidRDefault="008D52BB" w:rsidP="00B205BA">
      <w:pPr>
        <w:spacing w:after="120" w:line="240" w:lineRule="auto"/>
        <w:rPr>
          <w:rFonts w:cs="Arial"/>
          <w:b/>
          <w:bCs/>
          <w:color w:val="A6A6A6" w:themeColor="background1" w:themeShade="A6"/>
          <w:sz w:val="24"/>
          <w:szCs w:val="24"/>
        </w:rPr>
      </w:pPr>
    </w:p>
    <w:p w14:paraId="6ACD486C" w14:textId="77777777" w:rsidR="008D52BB" w:rsidRDefault="008D52BB" w:rsidP="00B205BA">
      <w:pPr>
        <w:spacing w:after="120" w:line="240" w:lineRule="auto"/>
        <w:rPr>
          <w:rFonts w:cs="Arial"/>
          <w:b/>
          <w:bCs/>
          <w:color w:val="A6A6A6" w:themeColor="background1" w:themeShade="A6"/>
          <w:sz w:val="24"/>
          <w:szCs w:val="24"/>
        </w:rPr>
      </w:pPr>
    </w:p>
    <w:p w14:paraId="69AE44F3" w14:textId="77777777" w:rsidR="008D52BB" w:rsidRDefault="008D52BB" w:rsidP="00B205BA">
      <w:pPr>
        <w:spacing w:after="120" w:line="240" w:lineRule="auto"/>
        <w:rPr>
          <w:rFonts w:cs="Arial"/>
          <w:b/>
          <w:bCs/>
          <w:color w:val="A6A6A6" w:themeColor="background1" w:themeShade="A6"/>
          <w:sz w:val="24"/>
          <w:szCs w:val="24"/>
        </w:rPr>
      </w:pPr>
    </w:p>
    <w:p w14:paraId="62D490F5" w14:textId="0FC9F41A" w:rsidR="00FF481B" w:rsidRDefault="00FF481B" w:rsidP="00B205BA">
      <w:pPr>
        <w:spacing w:after="120" w:line="240" w:lineRule="auto"/>
        <w:rPr>
          <w:rFonts w:cs="Arial"/>
          <w:b/>
          <w:bCs/>
          <w:color w:val="A6A6A6" w:themeColor="background1" w:themeShade="A6"/>
          <w:sz w:val="24"/>
          <w:szCs w:val="24"/>
        </w:rPr>
      </w:pPr>
    </w:p>
    <w:p w14:paraId="5EB367C3" w14:textId="77777777" w:rsidR="00A13BDA" w:rsidRDefault="00A13BDA" w:rsidP="00B205BA">
      <w:pPr>
        <w:spacing w:after="120" w:line="240" w:lineRule="auto"/>
        <w:rPr>
          <w:rFonts w:cs="Arial"/>
          <w:b/>
          <w:bCs/>
          <w:color w:val="A6A6A6" w:themeColor="background1" w:themeShade="A6"/>
          <w:sz w:val="24"/>
          <w:szCs w:val="24"/>
        </w:rPr>
      </w:pPr>
    </w:p>
    <w:p w14:paraId="1E6BE3EF" w14:textId="2C13FCF3" w:rsidR="00FF481B" w:rsidRDefault="00FF481B" w:rsidP="00B205BA">
      <w:pPr>
        <w:spacing w:after="120" w:line="240" w:lineRule="auto"/>
        <w:rPr>
          <w:rFonts w:cs="Arial"/>
          <w:b/>
          <w:bCs/>
          <w:color w:val="A6A6A6" w:themeColor="background1" w:themeShade="A6"/>
          <w:sz w:val="24"/>
          <w:szCs w:val="24"/>
        </w:rPr>
      </w:pPr>
    </w:p>
    <w:p w14:paraId="53EB3090" w14:textId="00B2F5AF" w:rsidR="00FF481B" w:rsidRDefault="00FF481B" w:rsidP="00B205BA">
      <w:pPr>
        <w:spacing w:after="120" w:line="240" w:lineRule="auto"/>
        <w:rPr>
          <w:rFonts w:cs="Arial"/>
          <w:b/>
          <w:bCs/>
          <w:color w:val="A6A6A6" w:themeColor="background1" w:themeShade="A6"/>
          <w:sz w:val="24"/>
          <w:szCs w:val="24"/>
        </w:rPr>
      </w:pPr>
    </w:p>
    <w:p w14:paraId="6C87E73B" w14:textId="34BEA62A" w:rsidR="00FF481B" w:rsidRDefault="00FF481B" w:rsidP="00B205BA">
      <w:pPr>
        <w:spacing w:after="120" w:line="240" w:lineRule="auto"/>
        <w:rPr>
          <w:rFonts w:cs="Arial"/>
          <w:b/>
          <w:bCs/>
          <w:color w:val="A6A6A6" w:themeColor="background1" w:themeShade="A6"/>
          <w:sz w:val="24"/>
          <w:szCs w:val="24"/>
        </w:rPr>
      </w:pPr>
    </w:p>
    <w:p w14:paraId="10F975A6" w14:textId="77777777" w:rsidR="00FF481B" w:rsidRPr="00D503D0" w:rsidRDefault="00FF481B" w:rsidP="00B205BA">
      <w:pPr>
        <w:spacing w:after="120" w:line="240" w:lineRule="auto"/>
        <w:rPr>
          <w:rFonts w:cs="Arial"/>
          <w:b/>
          <w:bCs/>
          <w:color w:val="A6A6A6" w:themeColor="background1" w:themeShade="A6"/>
          <w:sz w:val="24"/>
          <w:szCs w:val="24"/>
        </w:rPr>
      </w:pPr>
    </w:p>
    <w:p w14:paraId="280733EB" w14:textId="375F8B9F" w:rsidR="00DA27A7" w:rsidRPr="00FF481B" w:rsidRDefault="00DA27A7" w:rsidP="00B205BA">
      <w:pPr>
        <w:spacing w:after="120" w:line="240" w:lineRule="auto"/>
        <w:rPr>
          <w:rFonts w:cs="Arial"/>
          <w:b/>
          <w:bCs/>
          <w:color w:val="A6A6A6" w:themeColor="background1" w:themeShade="A6"/>
          <w:sz w:val="36"/>
          <w:szCs w:val="36"/>
        </w:rPr>
      </w:pPr>
    </w:p>
    <w:p w14:paraId="306B7D80" w14:textId="0C1F2ACA" w:rsidR="00DA27A7" w:rsidRPr="00FF481B" w:rsidRDefault="00FF481B" w:rsidP="00013F4A">
      <w:pPr>
        <w:pStyle w:val="Ttulo2"/>
      </w:pPr>
      <w:bookmarkStart w:id="13" w:name="_Toc187396121"/>
      <w:r w:rsidRPr="00FF481B">
        <w:t>Frente 3. Hermosillo Activo</w:t>
      </w:r>
      <w:r w:rsidR="006048AE">
        <w:t xml:space="preserve"> y Competitivo</w:t>
      </w:r>
      <w:bookmarkEnd w:id="13"/>
    </w:p>
    <w:p w14:paraId="7387E6EA" w14:textId="26AF7D6A" w:rsidR="00DA27A7" w:rsidRPr="006A6722" w:rsidRDefault="00DA27A7" w:rsidP="00013F4A">
      <w:pPr>
        <w:spacing w:after="120" w:line="240" w:lineRule="auto"/>
        <w:rPr>
          <w:rFonts w:cs="Arial"/>
          <w:b/>
          <w:bCs/>
          <w:kern w:val="24"/>
          <w:sz w:val="36"/>
          <w:szCs w:val="36"/>
        </w:rPr>
      </w:pPr>
      <w:r w:rsidRPr="006A6722">
        <w:rPr>
          <w:rFonts w:cs="Arial"/>
          <w:b/>
          <w:bCs/>
          <w:kern w:val="24"/>
          <w:sz w:val="36"/>
          <w:szCs w:val="36"/>
        </w:rPr>
        <w:t>“</w:t>
      </w:r>
      <w:r w:rsidR="006048AE">
        <w:rPr>
          <w:rFonts w:cs="Arial"/>
          <w:b/>
          <w:bCs/>
          <w:kern w:val="24"/>
          <w:sz w:val="36"/>
          <w:szCs w:val="36"/>
        </w:rPr>
        <w:t>Economía competitiva y dinámica, que impulsa el talento y la innovación con un desarrollo ordenado y a la vanguardia</w:t>
      </w:r>
      <w:r w:rsidRPr="006A6722">
        <w:rPr>
          <w:rFonts w:cs="Arial"/>
          <w:b/>
          <w:bCs/>
          <w:kern w:val="24"/>
          <w:sz w:val="36"/>
          <w:szCs w:val="36"/>
        </w:rPr>
        <w:t>”</w:t>
      </w:r>
    </w:p>
    <w:p w14:paraId="3FB2A235" w14:textId="77777777" w:rsidR="00DA27A7" w:rsidRPr="00D503D0" w:rsidRDefault="00DA27A7" w:rsidP="00B205BA">
      <w:pPr>
        <w:spacing w:after="120" w:line="240" w:lineRule="auto"/>
        <w:rPr>
          <w:rFonts w:cs="Arial"/>
          <w:b/>
          <w:bCs/>
          <w:color w:val="000000" w:themeColor="text1"/>
          <w:kern w:val="24"/>
          <w:sz w:val="24"/>
          <w:szCs w:val="24"/>
        </w:rPr>
      </w:pPr>
    </w:p>
    <w:p w14:paraId="4305A731" w14:textId="77777777" w:rsidR="00DA27A7" w:rsidRPr="00D503D0" w:rsidRDefault="00DA27A7" w:rsidP="00B205BA">
      <w:pPr>
        <w:spacing w:after="120" w:line="240" w:lineRule="auto"/>
        <w:rPr>
          <w:rFonts w:cs="Arial"/>
          <w:b/>
          <w:bCs/>
          <w:color w:val="000000" w:themeColor="text1"/>
          <w:kern w:val="24"/>
          <w:sz w:val="24"/>
          <w:szCs w:val="24"/>
        </w:rPr>
      </w:pPr>
    </w:p>
    <w:p w14:paraId="4AEBD7C5" w14:textId="77777777" w:rsidR="00DA27A7" w:rsidRPr="00D503D0" w:rsidRDefault="00DA27A7" w:rsidP="00B205BA">
      <w:pPr>
        <w:spacing w:after="120" w:line="240" w:lineRule="auto"/>
        <w:rPr>
          <w:rFonts w:cs="Arial"/>
          <w:b/>
          <w:bCs/>
          <w:color w:val="000000" w:themeColor="text1"/>
          <w:kern w:val="24"/>
          <w:sz w:val="24"/>
          <w:szCs w:val="24"/>
        </w:rPr>
      </w:pPr>
    </w:p>
    <w:p w14:paraId="54C179A8" w14:textId="77777777" w:rsidR="00DA27A7" w:rsidRPr="00D503D0" w:rsidRDefault="00DA27A7" w:rsidP="00B205BA">
      <w:pPr>
        <w:spacing w:after="120" w:line="240" w:lineRule="auto"/>
        <w:rPr>
          <w:rFonts w:cs="Arial"/>
          <w:b/>
          <w:bCs/>
          <w:color w:val="000000" w:themeColor="text1"/>
          <w:kern w:val="24"/>
          <w:sz w:val="24"/>
          <w:szCs w:val="24"/>
        </w:rPr>
      </w:pPr>
    </w:p>
    <w:p w14:paraId="1D64FAC0" w14:textId="77777777" w:rsidR="00DA27A7" w:rsidRPr="00D503D0" w:rsidRDefault="00DA27A7" w:rsidP="00B205BA">
      <w:pPr>
        <w:spacing w:after="120" w:line="240" w:lineRule="auto"/>
        <w:rPr>
          <w:rFonts w:cs="Arial"/>
          <w:b/>
          <w:bCs/>
          <w:color w:val="000000" w:themeColor="text1"/>
          <w:kern w:val="24"/>
          <w:sz w:val="24"/>
          <w:szCs w:val="24"/>
        </w:rPr>
      </w:pPr>
    </w:p>
    <w:p w14:paraId="45F44DA0" w14:textId="77777777" w:rsidR="00DA27A7" w:rsidRPr="00D503D0" w:rsidRDefault="00DA27A7" w:rsidP="00B205BA">
      <w:pPr>
        <w:spacing w:after="120" w:line="240" w:lineRule="auto"/>
        <w:rPr>
          <w:rFonts w:cs="Arial"/>
          <w:b/>
          <w:bCs/>
          <w:color w:val="000000" w:themeColor="text1"/>
          <w:kern w:val="24"/>
          <w:sz w:val="24"/>
          <w:szCs w:val="24"/>
        </w:rPr>
      </w:pPr>
    </w:p>
    <w:p w14:paraId="4852BD9B" w14:textId="77777777" w:rsidR="00DA27A7" w:rsidRPr="00D503D0" w:rsidRDefault="00DA27A7" w:rsidP="00B205BA">
      <w:pPr>
        <w:spacing w:after="120" w:line="240" w:lineRule="auto"/>
        <w:rPr>
          <w:rFonts w:cs="Arial"/>
          <w:b/>
          <w:bCs/>
          <w:color w:val="000000" w:themeColor="text1"/>
          <w:kern w:val="24"/>
          <w:sz w:val="24"/>
          <w:szCs w:val="24"/>
        </w:rPr>
      </w:pPr>
    </w:p>
    <w:p w14:paraId="2940ABEA" w14:textId="77777777" w:rsidR="00DA27A7" w:rsidRPr="00D503D0" w:rsidRDefault="00DA27A7" w:rsidP="00B205BA">
      <w:pPr>
        <w:spacing w:after="120" w:line="240" w:lineRule="auto"/>
        <w:rPr>
          <w:rFonts w:cs="Arial"/>
          <w:b/>
          <w:bCs/>
          <w:color w:val="000000" w:themeColor="text1"/>
          <w:kern w:val="24"/>
          <w:sz w:val="24"/>
          <w:szCs w:val="24"/>
        </w:rPr>
      </w:pPr>
    </w:p>
    <w:p w14:paraId="4326DCC7" w14:textId="4D23135B" w:rsidR="00DA27A7" w:rsidRDefault="00DA27A7" w:rsidP="00B205BA">
      <w:pPr>
        <w:spacing w:after="120" w:line="240" w:lineRule="auto"/>
        <w:rPr>
          <w:rFonts w:cs="Arial"/>
          <w:b/>
          <w:bCs/>
          <w:color w:val="000000" w:themeColor="text1"/>
          <w:kern w:val="24"/>
          <w:sz w:val="24"/>
          <w:szCs w:val="24"/>
        </w:rPr>
      </w:pPr>
    </w:p>
    <w:p w14:paraId="55AA70C9" w14:textId="06B5A9FC" w:rsidR="00FF481B" w:rsidRDefault="00FF481B" w:rsidP="00B205BA">
      <w:pPr>
        <w:spacing w:after="120" w:line="240" w:lineRule="auto"/>
        <w:rPr>
          <w:rFonts w:cs="Arial"/>
          <w:b/>
          <w:bCs/>
          <w:color w:val="000000" w:themeColor="text1"/>
          <w:kern w:val="24"/>
          <w:sz w:val="24"/>
          <w:szCs w:val="24"/>
        </w:rPr>
      </w:pPr>
    </w:p>
    <w:p w14:paraId="0246EFA8" w14:textId="7664C1F7" w:rsidR="00FF481B" w:rsidRDefault="00FF481B" w:rsidP="00B205BA">
      <w:pPr>
        <w:spacing w:after="120" w:line="240" w:lineRule="auto"/>
        <w:rPr>
          <w:rFonts w:cs="Arial"/>
          <w:b/>
          <w:bCs/>
          <w:color w:val="000000" w:themeColor="text1"/>
          <w:kern w:val="24"/>
          <w:sz w:val="24"/>
          <w:szCs w:val="24"/>
        </w:rPr>
      </w:pPr>
    </w:p>
    <w:p w14:paraId="12721AF2" w14:textId="3E8063D8" w:rsidR="00FF481B" w:rsidRDefault="00FF481B" w:rsidP="00B205BA">
      <w:pPr>
        <w:spacing w:after="120" w:line="240" w:lineRule="auto"/>
        <w:rPr>
          <w:rFonts w:cs="Arial"/>
          <w:b/>
          <w:bCs/>
          <w:color w:val="000000" w:themeColor="text1"/>
          <w:kern w:val="24"/>
          <w:sz w:val="24"/>
          <w:szCs w:val="24"/>
        </w:rPr>
      </w:pPr>
    </w:p>
    <w:p w14:paraId="5E833C92" w14:textId="6BB7847A" w:rsidR="00FF481B" w:rsidRDefault="00FF481B" w:rsidP="00B205BA">
      <w:pPr>
        <w:spacing w:after="120" w:line="240" w:lineRule="auto"/>
        <w:rPr>
          <w:rFonts w:cs="Arial"/>
          <w:b/>
          <w:bCs/>
          <w:color w:val="000000" w:themeColor="text1"/>
          <w:kern w:val="24"/>
          <w:sz w:val="24"/>
          <w:szCs w:val="24"/>
        </w:rPr>
      </w:pPr>
    </w:p>
    <w:p w14:paraId="7A623B8C" w14:textId="2593542F" w:rsidR="00FF481B" w:rsidRDefault="00FF481B" w:rsidP="00B205BA">
      <w:pPr>
        <w:spacing w:after="120" w:line="240" w:lineRule="auto"/>
        <w:rPr>
          <w:rFonts w:cs="Arial"/>
          <w:b/>
          <w:bCs/>
          <w:color w:val="000000" w:themeColor="text1"/>
          <w:kern w:val="24"/>
          <w:sz w:val="24"/>
          <w:szCs w:val="24"/>
        </w:rPr>
      </w:pPr>
    </w:p>
    <w:p w14:paraId="20115F53" w14:textId="5582BB3B" w:rsidR="00FF481B" w:rsidRDefault="00FF481B" w:rsidP="00B205BA">
      <w:pPr>
        <w:spacing w:after="120" w:line="240" w:lineRule="auto"/>
        <w:rPr>
          <w:rFonts w:cs="Arial"/>
          <w:b/>
          <w:bCs/>
          <w:color w:val="000000" w:themeColor="text1"/>
          <w:kern w:val="24"/>
          <w:sz w:val="24"/>
          <w:szCs w:val="24"/>
        </w:rPr>
      </w:pPr>
    </w:p>
    <w:p w14:paraId="1355BC99" w14:textId="5B30FE37" w:rsidR="00FF481B" w:rsidRDefault="00FF481B" w:rsidP="00B205BA">
      <w:pPr>
        <w:spacing w:after="120" w:line="240" w:lineRule="auto"/>
        <w:rPr>
          <w:rFonts w:cs="Arial"/>
          <w:b/>
          <w:bCs/>
          <w:color w:val="000000" w:themeColor="text1"/>
          <w:kern w:val="24"/>
          <w:sz w:val="24"/>
          <w:szCs w:val="24"/>
        </w:rPr>
      </w:pPr>
    </w:p>
    <w:p w14:paraId="44F09D4D" w14:textId="77777777" w:rsidR="00DA27A7" w:rsidRPr="00D503D0" w:rsidRDefault="00DA27A7" w:rsidP="00B205BA">
      <w:pPr>
        <w:spacing w:after="120" w:line="240" w:lineRule="auto"/>
        <w:rPr>
          <w:rFonts w:cs="Arial"/>
          <w:b/>
          <w:bCs/>
          <w:color w:val="000000" w:themeColor="text1"/>
          <w:kern w:val="24"/>
          <w:sz w:val="24"/>
          <w:szCs w:val="24"/>
        </w:rPr>
      </w:pPr>
    </w:p>
    <w:p w14:paraId="5DCF7919" w14:textId="4E7BEA22" w:rsidR="00DA27A7" w:rsidRPr="00A13BDA" w:rsidRDefault="00DA27A7" w:rsidP="00B205BA">
      <w:pPr>
        <w:spacing w:after="120" w:line="240" w:lineRule="auto"/>
        <w:rPr>
          <w:rFonts w:cs="Arial"/>
          <w:b/>
          <w:bCs/>
          <w:color w:val="000000" w:themeColor="text1"/>
          <w:kern w:val="24"/>
          <w:sz w:val="28"/>
          <w:szCs w:val="28"/>
        </w:rPr>
      </w:pPr>
      <w:r w:rsidRPr="00A13BDA">
        <w:rPr>
          <w:rFonts w:cs="Arial"/>
          <w:b/>
          <w:bCs/>
          <w:color w:val="000000" w:themeColor="text1"/>
          <w:kern w:val="24"/>
          <w:sz w:val="28"/>
          <w:szCs w:val="28"/>
        </w:rPr>
        <w:lastRenderedPageBreak/>
        <w:t>Análisis Situacional</w:t>
      </w:r>
      <w:r w:rsidR="00013F4A">
        <w:rPr>
          <w:rFonts w:cs="Arial"/>
          <w:b/>
          <w:bCs/>
          <w:color w:val="000000" w:themeColor="text1"/>
          <w:kern w:val="24"/>
          <w:sz w:val="28"/>
          <w:szCs w:val="28"/>
        </w:rPr>
        <w:t>.</w:t>
      </w:r>
    </w:p>
    <w:p w14:paraId="445123C3" w14:textId="77777777" w:rsidR="00DB1C66" w:rsidRDefault="00DB1C66" w:rsidP="00B205BA">
      <w:pPr>
        <w:spacing w:after="120" w:line="240" w:lineRule="auto"/>
        <w:rPr>
          <w:rFonts w:cs="Arial"/>
        </w:rPr>
      </w:pPr>
      <w:r>
        <w:rPr>
          <w:rFonts w:cs="Arial"/>
        </w:rPr>
        <w:t>En los últimos años, Hermosillo ha experimentado un notable crecimiento y dinamismo económico, reflejado en indicadores clave, tales como generación de empleo, incremento de personal ocupado y remuneraciones en los sectores manufacturero y maquilador de exportación. La producción de la industria automotriz local y los avances registrados en el Índice de Competitividad Urbana 2023 del IMCO</w:t>
      </w:r>
      <w:r>
        <w:rPr>
          <w:rStyle w:val="Refdenotaalpie"/>
          <w:rFonts w:cs="Arial"/>
        </w:rPr>
        <w:footnoteReference w:id="32"/>
      </w:r>
      <w:r>
        <w:rPr>
          <w:rFonts w:cs="Arial"/>
        </w:rPr>
        <w:t xml:space="preserve"> también muestran un desempeño favorable en el municipio.</w:t>
      </w:r>
    </w:p>
    <w:p w14:paraId="05CDFAE5" w14:textId="1AA19269" w:rsidR="00DB1C66" w:rsidRDefault="00DB1C66" w:rsidP="00B205BA">
      <w:pPr>
        <w:spacing w:after="120" w:line="240" w:lineRule="auto"/>
        <w:rPr>
          <w:rFonts w:cs="Arial"/>
        </w:rPr>
      </w:pPr>
      <w:r>
        <w:rPr>
          <w:rFonts w:cs="Arial"/>
        </w:rPr>
        <w:t xml:space="preserve">Este crecimiento está en gran medida impulsado por el fenómeno del </w:t>
      </w:r>
      <w:r>
        <w:rPr>
          <w:rFonts w:cs="Arial"/>
          <w:i/>
          <w:iCs/>
        </w:rPr>
        <w:t>nearshoring</w:t>
      </w:r>
      <w:r>
        <w:rPr>
          <w:rFonts w:cs="Arial"/>
        </w:rPr>
        <w:t>, una estrategia comercial en la que las empresas trasladan sus operaciones a países cercanos para aprovechar ventajas como la cercanía geográfica, el talento humano y los menores costos. En Hermosillo, esta estrategia ha fortalecido la economía local, permitiendo a las empresas optimizar sus operaciones con beneficios de proximidad y una zona horaria compartida.</w:t>
      </w:r>
    </w:p>
    <w:p w14:paraId="4A1EDEFC" w14:textId="02D1EA01" w:rsidR="00DB1C66" w:rsidRDefault="00DB1C66" w:rsidP="00B205BA">
      <w:pPr>
        <w:spacing w:after="120" w:line="240" w:lineRule="auto"/>
        <w:rPr>
          <w:rFonts w:cs="Arial"/>
          <w:b/>
          <w:bCs/>
        </w:rPr>
      </w:pPr>
      <w:r>
        <w:rPr>
          <w:rFonts w:cs="Arial"/>
          <w:b/>
          <w:bCs/>
        </w:rPr>
        <w:t>Ocupación y empleo</w:t>
      </w:r>
      <w:r w:rsidR="00013F4A">
        <w:rPr>
          <w:rFonts w:cs="Arial"/>
          <w:b/>
          <w:bCs/>
        </w:rPr>
        <w:t>.</w:t>
      </w:r>
    </w:p>
    <w:p w14:paraId="1D5D4171" w14:textId="77777777" w:rsidR="00DB1C66" w:rsidRDefault="00DB1C66" w:rsidP="00B205BA">
      <w:pPr>
        <w:spacing w:after="120" w:line="240" w:lineRule="auto"/>
        <w:rPr>
          <w:rFonts w:cs="Arial"/>
        </w:rPr>
      </w:pPr>
      <w:r>
        <w:rPr>
          <w:rFonts w:cs="Arial"/>
        </w:rPr>
        <w:t>De acuerdo con los resultados de la Encuesta Nacional de Ocupación y Empleo (ENOE)</w:t>
      </w:r>
      <w:r>
        <w:rPr>
          <w:rStyle w:val="Refdenotaalpie"/>
          <w:rFonts w:cs="Arial"/>
        </w:rPr>
        <w:footnoteReference w:id="33"/>
      </w:r>
      <w:r>
        <w:rPr>
          <w:rFonts w:cs="Arial"/>
        </w:rPr>
        <w:t xml:space="preserve"> del Instituto Nacional de Estadística y Geografía (INEGI) para el período de 2015 al segundo trimestre de 2024, la tasa de participación económica de la población mayor de 15 años en Hermosillo se mantuvo en un promedio de 65 % entre 2015 y 2019 (un rango de 63.2 a 66.6 %). Sin embargo, durante el período más crítico de la pandemia de COVID-19, esta tasa disminuyó a 57.9 % en el tercer trimestre de 2020. </w:t>
      </w:r>
    </w:p>
    <w:p w14:paraId="06A4F5B3" w14:textId="4A0ADF10" w:rsidR="00EC118C" w:rsidRPr="00013F4A" w:rsidRDefault="00DB1C66" w:rsidP="00B205BA">
      <w:pPr>
        <w:spacing w:after="120" w:line="240" w:lineRule="auto"/>
        <w:rPr>
          <w:rFonts w:cs="Arial"/>
        </w:rPr>
      </w:pPr>
      <w:r>
        <w:rPr>
          <w:rFonts w:cs="Arial"/>
        </w:rPr>
        <w:t>A cuatro años de la pandemia, al segundo trimestre de 2024 (última cifra publicada), la tasa de participación ha alcanzado un 62.8 %. Aunque se observa una tendencia de recuperación, el índice aún no alcanza los niveles previos a la pandemia, y continúa mostrando una tendencia a la baja en los últimos diez años de medición.</w:t>
      </w:r>
    </w:p>
    <w:p w14:paraId="3AE5C3FC" w14:textId="77777777" w:rsidR="00013F4A" w:rsidRDefault="00013F4A" w:rsidP="00B205BA">
      <w:pPr>
        <w:spacing w:after="120" w:line="240" w:lineRule="auto"/>
        <w:rPr>
          <w:rFonts w:cs="Arial"/>
          <w:b/>
          <w:bCs/>
          <w:sz w:val="20"/>
          <w:szCs w:val="20"/>
        </w:rPr>
      </w:pPr>
    </w:p>
    <w:p w14:paraId="5B7A7386" w14:textId="77777777" w:rsidR="00013F4A" w:rsidRDefault="00013F4A" w:rsidP="00B205BA">
      <w:pPr>
        <w:spacing w:after="120" w:line="240" w:lineRule="auto"/>
        <w:rPr>
          <w:rFonts w:cs="Arial"/>
          <w:b/>
          <w:bCs/>
          <w:sz w:val="20"/>
          <w:szCs w:val="20"/>
        </w:rPr>
      </w:pPr>
    </w:p>
    <w:p w14:paraId="6392BD2A" w14:textId="77777777" w:rsidR="00013F4A" w:rsidRDefault="00013F4A" w:rsidP="00B205BA">
      <w:pPr>
        <w:spacing w:after="120" w:line="240" w:lineRule="auto"/>
        <w:rPr>
          <w:rFonts w:cs="Arial"/>
          <w:b/>
          <w:bCs/>
          <w:sz w:val="20"/>
          <w:szCs w:val="20"/>
        </w:rPr>
      </w:pPr>
    </w:p>
    <w:p w14:paraId="5098775D" w14:textId="77777777" w:rsidR="00013F4A" w:rsidRDefault="00013F4A" w:rsidP="00B205BA">
      <w:pPr>
        <w:spacing w:after="120" w:line="240" w:lineRule="auto"/>
        <w:rPr>
          <w:rFonts w:cs="Arial"/>
          <w:b/>
          <w:bCs/>
          <w:sz w:val="20"/>
          <w:szCs w:val="20"/>
        </w:rPr>
      </w:pPr>
    </w:p>
    <w:p w14:paraId="0F741239" w14:textId="77777777" w:rsidR="00013F4A" w:rsidRDefault="00013F4A" w:rsidP="00B205BA">
      <w:pPr>
        <w:spacing w:after="120" w:line="240" w:lineRule="auto"/>
        <w:rPr>
          <w:rFonts w:cs="Arial"/>
          <w:b/>
          <w:bCs/>
          <w:sz w:val="20"/>
          <w:szCs w:val="20"/>
        </w:rPr>
      </w:pPr>
    </w:p>
    <w:p w14:paraId="58BF3804" w14:textId="77777777" w:rsidR="00013F4A" w:rsidRDefault="00013F4A" w:rsidP="00B205BA">
      <w:pPr>
        <w:spacing w:after="120" w:line="240" w:lineRule="auto"/>
        <w:rPr>
          <w:rFonts w:cs="Arial"/>
          <w:b/>
          <w:bCs/>
          <w:sz w:val="20"/>
          <w:szCs w:val="20"/>
        </w:rPr>
      </w:pPr>
    </w:p>
    <w:p w14:paraId="10820E2E" w14:textId="77777777" w:rsidR="00013F4A" w:rsidRDefault="00013F4A" w:rsidP="00B205BA">
      <w:pPr>
        <w:spacing w:after="120" w:line="240" w:lineRule="auto"/>
        <w:rPr>
          <w:rFonts w:cs="Arial"/>
          <w:b/>
          <w:bCs/>
          <w:sz w:val="20"/>
          <w:szCs w:val="20"/>
        </w:rPr>
      </w:pPr>
    </w:p>
    <w:p w14:paraId="47602BA9" w14:textId="77777777" w:rsidR="00013F4A" w:rsidRDefault="00013F4A" w:rsidP="00B205BA">
      <w:pPr>
        <w:spacing w:after="120" w:line="240" w:lineRule="auto"/>
        <w:rPr>
          <w:rFonts w:cs="Arial"/>
          <w:b/>
          <w:bCs/>
          <w:sz w:val="20"/>
          <w:szCs w:val="20"/>
        </w:rPr>
      </w:pPr>
    </w:p>
    <w:p w14:paraId="40D4B7A0" w14:textId="77777777" w:rsidR="00013F4A" w:rsidRDefault="00013F4A" w:rsidP="00B205BA">
      <w:pPr>
        <w:spacing w:after="120" w:line="240" w:lineRule="auto"/>
        <w:rPr>
          <w:rFonts w:cs="Arial"/>
          <w:b/>
          <w:bCs/>
          <w:sz w:val="20"/>
          <w:szCs w:val="20"/>
        </w:rPr>
      </w:pPr>
    </w:p>
    <w:p w14:paraId="6A81A5B6" w14:textId="77777777" w:rsidR="00013F4A" w:rsidRDefault="00013F4A" w:rsidP="00B205BA">
      <w:pPr>
        <w:spacing w:after="120" w:line="240" w:lineRule="auto"/>
        <w:rPr>
          <w:rFonts w:cs="Arial"/>
          <w:b/>
          <w:bCs/>
          <w:sz w:val="20"/>
          <w:szCs w:val="20"/>
        </w:rPr>
      </w:pPr>
    </w:p>
    <w:p w14:paraId="607B8758" w14:textId="77777777" w:rsidR="00013F4A" w:rsidRDefault="00013F4A" w:rsidP="00B205BA">
      <w:pPr>
        <w:spacing w:after="120" w:line="240" w:lineRule="auto"/>
        <w:rPr>
          <w:rFonts w:cs="Arial"/>
          <w:b/>
          <w:bCs/>
          <w:sz w:val="20"/>
          <w:szCs w:val="20"/>
        </w:rPr>
      </w:pPr>
    </w:p>
    <w:p w14:paraId="0108F38F" w14:textId="77777777" w:rsidR="00013F4A" w:rsidRDefault="00013F4A" w:rsidP="00B205BA">
      <w:pPr>
        <w:spacing w:after="120" w:line="240" w:lineRule="auto"/>
        <w:rPr>
          <w:rFonts w:cs="Arial"/>
          <w:b/>
          <w:bCs/>
          <w:sz w:val="20"/>
          <w:szCs w:val="20"/>
        </w:rPr>
      </w:pPr>
    </w:p>
    <w:p w14:paraId="41C55907" w14:textId="77777777" w:rsidR="00013F4A" w:rsidRDefault="00013F4A" w:rsidP="00B205BA">
      <w:pPr>
        <w:spacing w:after="120" w:line="240" w:lineRule="auto"/>
        <w:rPr>
          <w:rFonts w:cs="Arial"/>
          <w:b/>
          <w:bCs/>
          <w:sz w:val="20"/>
          <w:szCs w:val="20"/>
        </w:rPr>
      </w:pPr>
    </w:p>
    <w:p w14:paraId="591F47ED" w14:textId="28706E7D" w:rsidR="00DB1C66" w:rsidRDefault="00BD09D3" w:rsidP="00B205BA">
      <w:pPr>
        <w:spacing w:after="120" w:line="240" w:lineRule="auto"/>
        <w:rPr>
          <w:rFonts w:cs="Arial"/>
          <w:b/>
          <w:bCs/>
          <w:sz w:val="20"/>
          <w:szCs w:val="20"/>
        </w:rPr>
      </w:pPr>
      <w:r>
        <w:rPr>
          <w:rFonts w:cs="Arial"/>
          <w:b/>
          <w:bCs/>
          <w:sz w:val="20"/>
          <w:szCs w:val="20"/>
        </w:rPr>
        <w:lastRenderedPageBreak/>
        <w:t>GRÁFICA 1. TASA PORCENTUAL DE PARTICIPACIÓN LABORAL EN HERMOSILLO DE 2015 AL SEGUNDO TRIMESTRE DE 2024.</w:t>
      </w:r>
    </w:p>
    <w:p w14:paraId="20174017" w14:textId="31A896A3" w:rsidR="00DB1C66" w:rsidRDefault="00DB1C66" w:rsidP="00B205BA">
      <w:pPr>
        <w:spacing w:after="120" w:line="240" w:lineRule="auto"/>
        <w:rPr>
          <w:rFonts w:cs="Arial"/>
        </w:rPr>
      </w:pPr>
      <w:r>
        <w:rPr>
          <w:noProof/>
          <w:sz w:val="20"/>
          <w:szCs w:val="20"/>
        </w:rPr>
        <w:drawing>
          <wp:inline distT="0" distB="0" distL="0" distR="0" wp14:anchorId="05B12675" wp14:editId="0231C32D">
            <wp:extent cx="5614670" cy="2615013"/>
            <wp:effectExtent l="0" t="0" r="0" b="0"/>
            <wp:docPr id="59" name="Gráfico 59">
              <a:extLst xmlns:a="http://schemas.openxmlformats.org/drawingml/2006/main">
                <a:ext uri="{FF2B5EF4-FFF2-40B4-BE49-F238E27FC236}">
                  <a16:creationId xmlns:a16="http://schemas.microsoft.com/office/drawing/2014/main" id="{AF35F55D-7B7E-A58F-50EA-E8FCA1C63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0288E6" w14:textId="77777777" w:rsidR="00DB1C66" w:rsidRDefault="00DB1C66" w:rsidP="00B205BA">
      <w:pPr>
        <w:spacing w:after="120" w:line="240" w:lineRule="auto"/>
        <w:rPr>
          <w:rFonts w:cs="Arial"/>
          <w:sz w:val="16"/>
          <w:szCs w:val="16"/>
        </w:rPr>
      </w:pPr>
      <w:r>
        <w:rPr>
          <w:rFonts w:cs="Arial"/>
          <w:sz w:val="16"/>
          <w:szCs w:val="16"/>
        </w:rPr>
        <w:t>Nota: PEA respecto a la población de 15 años y más.</w:t>
      </w:r>
    </w:p>
    <w:p w14:paraId="3AD93FBB" w14:textId="4692DDC2" w:rsidR="00DB1C66" w:rsidRDefault="00DB1C66" w:rsidP="00B205BA">
      <w:pPr>
        <w:spacing w:after="120" w:line="240" w:lineRule="auto"/>
        <w:rPr>
          <w:rFonts w:cs="Arial"/>
          <w:sz w:val="16"/>
          <w:szCs w:val="16"/>
        </w:rPr>
      </w:pPr>
      <w:r>
        <w:rPr>
          <w:rFonts w:cs="Arial"/>
          <w:sz w:val="16"/>
          <w:szCs w:val="16"/>
        </w:rPr>
        <w:t xml:space="preserve">Fuente: INEGI. </w:t>
      </w:r>
      <w:r>
        <w:rPr>
          <w:rFonts w:cs="Arial"/>
          <w:i/>
          <w:iCs/>
          <w:sz w:val="16"/>
          <w:szCs w:val="16"/>
        </w:rPr>
        <w:t>Encuesta Nacional de Ocupación y Empleo (ENOE)</w:t>
      </w:r>
      <w:r>
        <w:rPr>
          <w:rFonts w:cs="Arial"/>
          <w:sz w:val="16"/>
          <w:szCs w:val="16"/>
        </w:rPr>
        <w:t xml:space="preserve">, de 2015 al segundo trimestre de 2024. </w:t>
      </w:r>
    </w:p>
    <w:p w14:paraId="225B614E" w14:textId="6C66CF80" w:rsidR="00DB1C66" w:rsidRDefault="00DB1C66" w:rsidP="00B205BA">
      <w:pPr>
        <w:spacing w:after="120" w:line="240" w:lineRule="auto"/>
        <w:rPr>
          <w:rFonts w:cs="Arial"/>
        </w:rPr>
      </w:pPr>
      <w:r>
        <w:rPr>
          <w:rFonts w:cs="Arial"/>
        </w:rPr>
        <w:t xml:space="preserve">En el caso de la tasa de desocupación en la capital del estado, durante el período 2015 – 2019, esta ha mostrado una tendencia a la baja, con un promedio de 4.5 % y un pico de 5.3 % en el tercer trimestre de 2019. A partir de la pandemia, la tasa llegó a situarse de nuevo en 5.3 % en el tercer trimestre del 2020. Al segundo trimestre de 2024, se encuentra en 2.5 %, la cifra más baja desde 2015. </w:t>
      </w:r>
    </w:p>
    <w:p w14:paraId="26B0A289" w14:textId="745E7F24" w:rsidR="00DB1C66" w:rsidRDefault="00BD09D3" w:rsidP="00B205BA">
      <w:pPr>
        <w:spacing w:after="120" w:line="240" w:lineRule="auto"/>
        <w:rPr>
          <w:rFonts w:cs="Arial"/>
          <w:b/>
          <w:bCs/>
          <w:sz w:val="20"/>
          <w:szCs w:val="20"/>
        </w:rPr>
      </w:pPr>
      <w:r>
        <w:rPr>
          <w:rFonts w:cs="Arial"/>
          <w:b/>
          <w:bCs/>
          <w:sz w:val="20"/>
          <w:szCs w:val="20"/>
        </w:rPr>
        <w:t>GRÁFICA 2. TASA DE DESOCUPACIÓN LABORAL EN HERMOSILLO DE 2015 AL SEGUNDO TRIMESTRE DE 2024.</w:t>
      </w:r>
    </w:p>
    <w:p w14:paraId="61583A42" w14:textId="29234ED0" w:rsidR="00DB1C66" w:rsidRDefault="00DB1C66" w:rsidP="00B205BA">
      <w:pPr>
        <w:spacing w:after="120" w:line="240" w:lineRule="auto"/>
        <w:rPr>
          <w:rFonts w:cs="Arial"/>
        </w:rPr>
      </w:pPr>
      <w:r>
        <w:rPr>
          <w:noProof/>
        </w:rPr>
        <w:drawing>
          <wp:inline distT="0" distB="0" distL="0" distR="0" wp14:anchorId="781D1BF6" wp14:editId="2C96827A">
            <wp:extent cx="5614670" cy="2441276"/>
            <wp:effectExtent l="0" t="0" r="0" b="0"/>
            <wp:docPr id="58" name="Gráfico 58">
              <a:extLst xmlns:a="http://schemas.openxmlformats.org/drawingml/2006/main">
                <a:ext uri="{FF2B5EF4-FFF2-40B4-BE49-F238E27FC236}">
                  <a16:creationId xmlns:a16="http://schemas.microsoft.com/office/drawing/2014/main" id="{6DB86237-C6DA-86EF-9292-48006AA46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8E1454" w14:textId="2E3C0241" w:rsidR="00DB1C66" w:rsidRPr="00EC118C" w:rsidRDefault="00DB1C66" w:rsidP="00B205BA">
      <w:pPr>
        <w:spacing w:after="120" w:line="240" w:lineRule="auto"/>
        <w:rPr>
          <w:rFonts w:cs="Arial"/>
          <w:sz w:val="16"/>
          <w:szCs w:val="16"/>
        </w:rPr>
      </w:pPr>
      <w:r>
        <w:rPr>
          <w:rFonts w:cs="Arial"/>
          <w:sz w:val="16"/>
          <w:szCs w:val="16"/>
        </w:rPr>
        <w:t xml:space="preserve">Fuente: INEGI. </w:t>
      </w:r>
      <w:r>
        <w:rPr>
          <w:rFonts w:cs="Arial"/>
          <w:i/>
          <w:iCs/>
          <w:sz w:val="16"/>
          <w:szCs w:val="16"/>
        </w:rPr>
        <w:t>Encuesta Nacional de Ocupación y Empleo (ENOE)</w:t>
      </w:r>
      <w:r>
        <w:rPr>
          <w:rFonts w:cs="Arial"/>
          <w:sz w:val="16"/>
          <w:szCs w:val="16"/>
        </w:rPr>
        <w:t>, de 2015 al segundo trimestre de 2024.</w:t>
      </w:r>
    </w:p>
    <w:p w14:paraId="3BDD1CD2" w14:textId="77777777" w:rsidR="00013F4A" w:rsidRDefault="00013F4A" w:rsidP="00B205BA">
      <w:pPr>
        <w:spacing w:after="120" w:line="240" w:lineRule="auto"/>
        <w:rPr>
          <w:rFonts w:cs="Arial"/>
        </w:rPr>
      </w:pPr>
    </w:p>
    <w:p w14:paraId="61AEA1FF" w14:textId="4AF5341D" w:rsidR="00DB1C66" w:rsidRDefault="00DB1C66" w:rsidP="00B205BA">
      <w:pPr>
        <w:spacing w:after="120" w:line="240" w:lineRule="auto"/>
        <w:rPr>
          <w:rFonts w:cs="Arial"/>
        </w:rPr>
      </w:pPr>
      <w:r>
        <w:rPr>
          <w:rFonts w:cs="Arial"/>
        </w:rPr>
        <w:t xml:space="preserve">Para tener una mejor panorámica del comportamiento del mercado laboral hermosillense en los últimos años, es importante incorporar al análisis dos tasas complementarias que tuvieron un incremento sustancial durante la pandemia. Por una parte, está la </w:t>
      </w:r>
      <w:r>
        <w:rPr>
          <w:rFonts w:cs="Arial"/>
          <w:i/>
          <w:iCs/>
        </w:rPr>
        <w:t xml:space="preserve">tasa de </w:t>
      </w:r>
      <w:r>
        <w:rPr>
          <w:rFonts w:cs="Arial"/>
          <w:i/>
          <w:iCs/>
        </w:rPr>
        <w:lastRenderedPageBreak/>
        <w:t>condiciones críticas de ocupación</w:t>
      </w:r>
      <w:r>
        <w:rPr>
          <w:rFonts w:cs="Arial"/>
        </w:rPr>
        <w:t xml:space="preserve"> (TCCO), que comprende el porcentaje de población ocupada que se encuentra trabajando menos de 35 horas a la semana por razones de mercado; la que trabaja más de 35 horas semanales con ingresos mensuales inferiores al salario mínimo, y la que trabaja más de 48 horas semanales y percibe menos de dos salarios mínimos. La otra es la </w:t>
      </w:r>
      <w:r>
        <w:rPr>
          <w:rFonts w:cs="Arial"/>
          <w:i/>
          <w:iCs/>
        </w:rPr>
        <w:t>tasa de subocupación</w:t>
      </w:r>
      <w:r>
        <w:rPr>
          <w:rFonts w:cs="Arial"/>
        </w:rPr>
        <w:t>, que mide la proporción de personas ocupadas que tienen la necesidad y disponibilidad de trabajar durante más tiempo de lo que su ocupación actual les demanda.</w:t>
      </w:r>
    </w:p>
    <w:p w14:paraId="0389986B" w14:textId="77777777" w:rsidR="00DB1C66" w:rsidRDefault="00DB1C66" w:rsidP="00B205BA">
      <w:pPr>
        <w:spacing w:after="120" w:line="240" w:lineRule="auto"/>
        <w:rPr>
          <w:rFonts w:cs="Arial"/>
        </w:rPr>
      </w:pPr>
      <w:r>
        <w:rPr>
          <w:rFonts w:cs="Arial"/>
        </w:rPr>
        <w:t xml:space="preserve">De 2015 a 2019, la TCCO en Hermosillo tuvo un nivel promedio de 4.6 %. Después de la pandemia, en el primer trimestre de 2022, se disparó hasta 15.5 %, y al segundo trimestre de 2024 se encuentra en 15.9 %. Hay que destacar que, en 2019, había aumentado 2 % en promedio del comportamiento histórico que registraba, un año antes de la pandemia aumentó drásticamente, y desde 2020 mantiene una tendencia creciente.  </w:t>
      </w:r>
    </w:p>
    <w:p w14:paraId="7E7617B2" w14:textId="6849C75F" w:rsidR="00DB1C66" w:rsidRPr="006F191D" w:rsidRDefault="00DB1C66" w:rsidP="00B205BA">
      <w:pPr>
        <w:spacing w:after="120" w:line="240" w:lineRule="auto"/>
        <w:rPr>
          <w:rFonts w:cs="Arial"/>
        </w:rPr>
      </w:pPr>
      <w:r>
        <w:rPr>
          <w:rFonts w:cs="Arial"/>
        </w:rPr>
        <w:t xml:space="preserve">En el caso de la tasa de subocupación, entre 2015 y 2019, previo a la pandemia, esta mantuvo un nivel promedio de 6.6 %; sin embargo, para el cuarto trimestre de 2020 se elevó hasta 12.6 %, la cifra más alta de los últimos 10 años. A partir de este máximo, la tasa comenzó a descender hasta situarse en 4.3 % al segundo trimestre de 2024. </w:t>
      </w:r>
    </w:p>
    <w:p w14:paraId="13780C97" w14:textId="5BF5B100" w:rsidR="00DB1C66" w:rsidRDefault="00BD09D3" w:rsidP="00B205BA">
      <w:pPr>
        <w:spacing w:after="120" w:line="240" w:lineRule="auto"/>
        <w:rPr>
          <w:rFonts w:cs="Arial"/>
          <w:b/>
          <w:bCs/>
          <w:sz w:val="20"/>
          <w:szCs w:val="20"/>
        </w:rPr>
      </w:pPr>
      <w:r>
        <w:rPr>
          <w:rFonts w:cs="Arial"/>
          <w:b/>
          <w:bCs/>
          <w:sz w:val="20"/>
          <w:szCs w:val="20"/>
        </w:rPr>
        <w:t>GRÁFICA 3. TASA PORCENTUAL DE CONDICIONES CRÍTICAS DE OCUPACIÓN Y SUBOCUPACIÓN DE 2015 AL SEGUNDO TRIMESTRE DE 2024.</w:t>
      </w:r>
    </w:p>
    <w:p w14:paraId="7F87B952" w14:textId="48E64FC5" w:rsidR="00DB1C66" w:rsidRDefault="00DB1C66" w:rsidP="00B205BA">
      <w:pPr>
        <w:spacing w:after="120" w:line="240" w:lineRule="auto"/>
        <w:rPr>
          <w:rFonts w:cs="Arial"/>
        </w:rPr>
      </w:pPr>
      <w:r>
        <w:rPr>
          <w:rFonts w:asciiTheme="minorHAnsi" w:eastAsiaTheme="minorHAnsi" w:hAnsiTheme="minorHAnsi"/>
          <w:noProof/>
          <w:lang w:val="es-MX"/>
        </w:rPr>
        <w:drawing>
          <wp:inline distT="0" distB="0" distL="0" distR="0" wp14:anchorId="0FC694D2" wp14:editId="79EF3178">
            <wp:extent cx="5614670" cy="2897024"/>
            <wp:effectExtent l="0" t="0" r="0" b="0"/>
            <wp:docPr id="54" name="Gráfico 54">
              <a:extLst xmlns:a="http://schemas.openxmlformats.org/drawingml/2006/main">
                <a:ext uri="{FF2B5EF4-FFF2-40B4-BE49-F238E27FC236}">
                  <a16:creationId xmlns:a16="http://schemas.microsoft.com/office/drawing/2014/main" id="{4CC8CCEE-6534-37CF-4C90-D09A21B29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DD6F09" w14:textId="77777777" w:rsidR="00DB1C66" w:rsidRDefault="00DB1C66" w:rsidP="00B205BA">
      <w:pPr>
        <w:spacing w:after="120" w:line="240" w:lineRule="auto"/>
        <w:rPr>
          <w:rFonts w:cs="Arial"/>
          <w:sz w:val="16"/>
          <w:szCs w:val="16"/>
        </w:rPr>
      </w:pPr>
      <w:r>
        <w:rPr>
          <w:rFonts w:cs="Arial"/>
          <w:sz w:val="16"/>
          <w:szCs w:val="16"/>
        </w:rPr>
        <w:t xml:space="preserve">Fuente: </w:t>
      </w:r>
      <w:r>
        <w:rPr>
          <w:rFonts w:cs="Arial"/>
          <w:i/>
          <w:iCs/>
          <w:sz w:val="16"/>
          <w:szCs w:val="16"/>
        </w:rPr>
        <w:t>Encuesta Nacional de Ocupación y Empleo (ENOE)</w:t>
      </w:r>
      <w:r>
        <w:rPr>
          <w:rFonts w:cs="Arial"/>
          <w:sz w:val="16"/>
          <w:szCs w:val="16"/>
        </w:rPr>
        <w:t>, de 2015 al segundo trimestre de 2024.</w:t>
      </w:r>
    </w:p>
    <w:p w14:paraId="0DF963A5" w14:textId="77777777" w:rsidR="00DB1C66" w:rsidRDefault="00DB1C66" w:rsidP="00B205BA">
      <w:pPr>
        <w:spacing w:after="120" w:line="240" w:lineRule="auto"/>
        <w:rPr>
          <w:rFonts w:cs="Arial"/>
          <w:b/>
          <w:bCs/>
        </w:rPr>
      </w:pPr>
    </w:p>
    <w:p w14:paraId="33706D56" w14:textId="50D08C31" w:rsidR="00DB1C66" w:rsidRDefault="00DB1C66" w:rsidP="00B205BA">
      <w:pPr>
        <w:spacing w:after="120" w:line="240" w:lineRule="auto"/>
        <w:rPr>
          <w:rFonts w:cs="Arial"/>
          <w:b/>
          <w:bCs/>
        </w:rPr>
      </w:pPr>
      <w:r>
        <w:rPr>
          <w:rFonts w:cs="Arial"/>
          <w:b/>
          <w:bCs/>
        </w:rPr>
        <w:t>Pobreza laboral</w:t>
      </w:r>
      <w:r w:rsidR="00261A27">
        <w:rPr>
          <w:rFonts w:cs="Arial"/>
          <w:b/>
          <w:bCs/>
        </w:rPr>
        <w:t>.</w:t>
      </w:r>
    </w:p>
    <w:p w14:paraId="7B1F3F26" w14:textId="77777777" w:rsidR="00DB1C66" w:rsidRDefault="00DB1C66" w:rsidP="00B205BA">
      <w:pPr>
        <w:spacing w:after="120" w:line="240" w:lineRule="auto"/>
        <w:rPr>
          <w:rFonts w:cs="Arial"/>
        </w:rPr>
      </w:pPr>
      <w:r>
        <w:rPr>
          <w:rFonts w:cs="Arial"/>
        </w:rPr>
        <w:t xml:space="preserve">Este comportamiento de alza en los niveles de empleo y recuperación económica en la capital del estado también se ve reflejado en el </w:t>
      </w:r>
      <w:r>
        <w:rPr>
          <w:rFonts w:cs="Arial"/>
          <w:i/>
          <w:iCs/>
        </w:rPr>
        <w:t>índice de tendencia laboral</w:t>
      </w:r>
      <w:r>
        <w:rPr>
          <w:rFonts w:cs="Arial"/>
        </w:rPr>
        <w:t xml:space="preserve"> elaborado por el Consejo Nacional de Evaluación de la Política de Desarrollo Social (CONEVAL). En los datos históricos de este índice, se observa que la población que no puede acceder a la canasta alimentaria aumentó al tercer trimestre de 2020 hasta alcanzar un nivel de 33 %. Sin embargo, a partir de entonces ha sostenido una tendencia a la baja, hasta situarse en 27.5 % al segundo trimestre de 2024. Esta cifra se encuentra lejos del promedio registrado en los 5 años previos a la pandemia, que fue de 23 %. </w:t>
      </w:r>
    </w:p>
    <w:p w14:paraId="78C69CDF" w14:textId="77777777" w:rsidR="00DB1C66" w:rsidRDefault="00DB1C66" w:rsidP="00B205BA">
      <w:pPr>
        <w:spacing w:after="120" w:line="240" w:lineRule="auto"/>
        <w:jc w:val="center"/>
        <w:rPr>
          <w:rFonts w:cs="Arial"/>
          <w:b/>
          <w:bCs/>
        </w:rPr>
      </w:pPr>
    </w:p>
    <w:p w14:paraId="767D11D1" w14:textId="57FD05C4" w:rsidR="00DB1C66" w:rsidRDefault="00BD09D3" w:rsidP="00B205BA">
      <w:pPr>
        <w:spacing w:after="120" w:line="240" w:lineRule="auto"/>
        <w:jc w:val="center"/>
        <w:rPr>
          <w:rFonts w:cs="Arial"/>
          <w:b/>
          <w:bCs/>
          <w:sz w:val="20"/>
          <w:szCs w:val="20"/>
        </w:rPr>
      </w:pPr>
      <w:r>
        <w:rPr>
          <w:rFonts w:cs="Arial"/>
          <w:b/>
          <w:bCs/>
          <w:sz w:val="20"/>
          <w:szCs w:val="20"/>
        </w:rPr>
        <w:t>GRÁFICA 4. PORCENTAJE DE LA POBLACIÓN CON INGRESO LABORAL INFERIOR AL COSTO DE LA CANASTA ALIMENTARIA DE 2015 AL SEGUNDO TRIMESTRE DE 2024.</w:t>
      </w:r>
    </w:p>
    <w:p w14:paraId="3721740A" w14:textId="330318A3" w:rsidR="00DB1C66" w:rsidRDefault="00DB1C66" w:rsidP="00B205BA">
      <w:pPr>
        <w:spacing w:after="120" w:line="240" w:lineRule="auto"/>
        <w:jc w:val="center"/>
        <w:rPr>
          <w:rFonts w:cs="Arial"/>
        </w:rPr>
      </w:pPr>
      <w:r>
        <w:rPr>
          <w:noProof/>
        </w:rPr>
        <w:drawing>
          <wp:inline distT="0" distB="0" distL="0" distR="0" wp14:anchorId="5047F7DB" wp14:editId="66F0093C">
            <wp:extent cx="5622925" cy="2717562"/>
            <wp:effectExtent l="0" t="0" r="0" b="0"/>
            <wp:docPr id="52" name="Gráfico 52">
              <a:extLst xmlns:a="http://schemas.openxmlformats.org/drawingml/2006/main">
                <a:ext uri="{FF2B5EF4-FFF2-40B4-BE49-F238E27FC236}">
                  <a16:creationId xmlns:a16="http://schemas.microsoft.com/office/drawing/2014/main" id="{08FE1C01-6A9B-1222-387D-F582516AE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6D79E1" w14:textId="77777777" w:rsidR="00DB1C66" w:rsidRDefault="00DB1C66" w:rsidP="00B205BA">
      <w:pPr>
        <w:spacing w:after="120" w:line="240" w:lineRule="auto"/>
        <w:rPr>
          <w:rFonts w:cs="Arial"/>
          <w:sz w:val="16"/>
          <w:szCs w:val="16"/>
        </w:rPr>
      </w:pPr>
      <w:r>
        <w:rPr>
          <w:rFonts w:cs="Arial"/>
          <w:sz w:val="16"/>
          <w:szCs w:val="16"/>
        </w:rPr>
        <w:t>Fuente: Estimaciones del CONEVAL con base en la ENOE del primer trimestre de 2005 al primer trimestre de 2020 y la ENOE Nueva Edición (ENOEN) a partir del tercer trimestre de 2020 al segundo trimestre de 2024.</w:t>
      </w:r>
    </w:p>
    <w:p w14:paraId="17E962D7" w14:textId="77777777" w:rsidR="00DB1C66" w:rsidRDefault="00DB1C66" w:rsidP="00B205BA">
      <w:pPr>
        <w:spacing w:after="120" w:line="240" w:lineRule="auto"/>
        <w:rPr>
          <w:rFonts w:cs="Arial"/>
          <w:b/>
          <w:bCs/>
        </w:rPr>
      </w:pPr>
    </w:p>
    <w:p w14:paraId="6F818B20" w14:textId="1A51D7CD" w:rsidR="00DB1C66" w:rsidRDefault="00DB1C66" w:rsidP="00B205BA">
      <w:pPr>
        <w:spacing w:after="120" w:line="240" w:lineRule="auto"/>
        <w:rPr>
          <w:rFonts w:cs="Arial"/>
          <w:b/>
          <w:bCs/>
        </w:rPr>
      </w:pPr>
      <w:r>
        <w:rPr>
          <w:rFonts w:cs="Arial"/>
          <w:b/>
          <w:bCs/>
        </w:rPr>
        <w:t>Empleo formal</w:t>
      </w:r>
      <w:r w:rsidR="00261A27">
        <w:rPr>
          <w:rFonts w:cs="Arial"/>
          <w:b/>
          <w:bCs/>
        </w:rPr>
        <w:t>.</w:t>
      </w:r>
    </w:p>
    <w:p w14:paraId="57C32D3B" w14:textId="60A24C79" w:rsidR="00DB1C66" w:rsidRDefault="00DB1C66" w:rsidP="00B205BA">
      <w:pPr>
        <w:spacing w:after="120" w:line="240" w:lineRule="auto"/>
        <w:rPr>
          <w:rFonts w:cs="Arial"/>
        </w:rPr>
      </w:pPr>
      <w:r>
        <w:rPr>
          <w:rFonts w:cs="Arial"/>
        </w:rPr>
        <w:t xml:space="preserve">En los últimos ocho años, el número de trabajadores asegurados ante el Instituto Mexicano del Seguro Social (IMSS) ha ido en ascenso en la subdelegación Hermosillo, con excepción del período de pandemia. Al tercer trimestre de 2020, se observó una caída profunda en el nivel de empleo formal; este descendió hasta 234 007 puestos de trabajo formales registrados, cifra que, comparándola con la del mismo </w:t>
      </w:r>
      <w:r w:rsidR="00BD09D3">
        <w:rPr>
          <w:rFonts w:cs="Arial"/>
        </w:rPr>
        <w:t>trimestre,</w:t>
      </w:r>
      <w:r>
        <w:rPr>
          <w:rFonts w:cs="Arial"/>
        </w:rPr>
        <w:t xml:space="preserve"> pero de 2019 (241 306), significó una caída de 3 % y la pérdida de 7299 plazas laborales.</w:t>
      </w:r>
    </w:p>
    <w:p w14:paraId="256F91CD" w14:textId="219F3F68" w:rsidR="00DB1C66" w:rsidRPr="006F191D" w:rsidRDefault="00DB1C66" w:rsidP="00B205BA">
      <w:pPr>
        <w:spacing w:after="120" w:line="240" w:lineRule="auto"/>
        <w:rPr>
          <w:rFonts w:cs="Arial"/>
        </w:rPr>
      </w:pPr>
      <w:r>
        <w:rPr>
          <w:rFonts w:cs="Arial"/>
        </w:rPr>
        <w:t>Después de la etapa inicial de la emergencia sanitaria, el empleo en la capital estatal ha ido en ascenso nuevamente, hasta alcanzar al tercer trimestre del 2024 un total de 270 181 trabajadores asegurados, lo que representa un repunte de 15.5 % en el nivel de empleo formal (comparado con el tercer trimestre 2020) y la recuperación y generación de 36 174 nuevos puestos de trabajo en los últimos tres años.</w:t>
      </w:r>
    </w:p>
    <w:p w14:paraId="2D3790D9" w14:textId="77777777" w:rsidR="00013F4A" w:rsidRDefault="00013F4A" w:rsidP="00B205BA">
      <w:pPr>
        <w:spacing w:after="120" w:line="240" w:lineRule="auto"/>
        <w:rPr>
          <w:rFonts w:cs="Arial"/>
          <w:b/>
          <w:bCs/>
          <w:sz w:val="20"/>
          <w:szCs w:val="20"/>
        </w:rPr>
      </w:pPr>
    </w:p>
    <w:p w14:paraId="29DC8CCF" w14:textId="77777777" w:rsidR="00013F4A" w:rsidRDefault="00013F4A" w:rsidP="00B205BA">
      <w:pPr>
        <w:spacing w:after="120" w:line="240" w:lineRule="auto"/>
        <w:rPr>
          <w:rFonts w:cs="Arial"/>
          <w:b/>
          <w:bCs/>
          <w:sz w:val="20"/>
          <w:szCs w:val="20"/>
        </w:rPr>
      </w:pPr>
    </w:p>
    <w:p w14:paraId="1F70C4E8" w14:textId="77777777" w:rsidR="00013F4A" w:rsidRDefault="00013F4A" w:rsidP="00B205BA">
      <w:pPr>
        <w:spacing w:after="120" w:line="240" w:lineRule="auto"/>
        <w:rPr>
          <w:rFonts w:cs="Arial"/>
          <w:b/>
          <w:bCs/>
          <w:sz w:val="20"/>
          <w:szCs w:val="20"/>
        </w:rPr>
      </w:pPr>
    </w:p>
    <w:p w14:paraId="358C096A" w14:textId="77777777" w:rsidR="00013F4A" w:rsidRDefault="00013F4A" w:rsidP="00B205BA">
      <w:pPr>
        <w:spacing w:after="120" w:line="240" w:lineRule="auto"/>
        <w:rPr>
          <w:rFonts w:cs="Arial"/>
          <w:b/>
          <w:bCs/>
          <w:sz w:val="20"/>
          <w:szCs w:val="20"/>
        </w:rPr>
      </w:pPr>
    </w:p>
    <w:p w14:paraId="5ACE7EBD" w14:textId="77777777" w:rsidR="00013F4A" w:rsidRDefault="00013F4A" w:rsidP="00B205BA">
      <w:pPr>
        <w:spacing w:after="120" w:line="240" w:lineRule="auto"/>
        <w:rPr>
          <w:rFonts w:cs="Arial"/>
          <w:b/>
          <w:bCs/>
          <w:sz w:val="20"/>
          <w:szCs w:val="20"/>
        </w:rPr>
      </w:pPr>
    </w:p>
    <w:p w14:paraId="58DD71FD" w14:textId="77777777" w:rsidR="00013F4A" w:rsidRDefault="00013F4A" w:rsidP="00B205BA">
      <w:pPr>
        <w:spacing w:after="120" w:line="240" w:lineRule="auto"/>
        <w:rPr>
          <w:rFonts w:cs="Arial"/>
          <w:b/>
          <w:bCs/>
          <w:sz w:val="20"/>
          <w:szCs w:val="20"/>
        </w:rPr>
      </w:pPr>
    </w:p>
    <w:p w14:paraId="16448E05" w14:textId="77777777" w:rsidR="00013F4A" w:rsidRDefault="00013F4A" w:rsidP="00B205BA">
      <w:pPr>
        <w:spacing w:after="120" w:line="240" w:lineRule="auto"/>
        <w:rPr>
          <w:rFonts w:cs="Arial"/>
          <w:b/>
          <w:bCs/>
          <w:sz w:val="20"/>
          <w:szCs w:val="20"/>
        </w:rPr>
      </w:pPr>
    </w:p>
    <w:p w14:paraId="7B655501" w14:textId="77777777" w:rsidR="00013F4A" w:rsidRDefault="00013F4A" w:rsidP="00B205BA">
      <w:pPr>
        <w:spacing w:after="120" w:line="240" w:lineRule="auto"/>
        <w:rPr>
          <w:rFonts w:cs="Arial"/>
          <w:b/>
          <w:bCs/>
          <w:sz w:val="20"/>
          <w:szCs w:val="20"/>
        </w:rPr>
      </w:pPr>
    </w:p>
    <w:p w14:paraId="443922C4" w14:textId="7903BE8F" w:rsidR="00DB1C66" w:rsidRDefault="00BD09D3" w:rsidP="00B205BA">
      <w:pPr>
        <w:spacing w:after="120" w:line="240" w:lineRule="auto"/>
        <w:rPr>
          <w:rFonts w:cs="Arial"/>
          <w:b/>
          <w:bCs/>
          <w:sz w:val="20"/>
          <w:szCs w:val="20"/>
        </w:rPr>
      </w:pPr>
      <w:r>
        <w:rPr>
          <w:rFonts w:cs="Arial"/>
          <w:b/>
          <w:bCs/>
          <w:sz w:val="20"/>
          <w:szCs w:val="20"/>
        </w:rPr>
        <w:lastRenderedPageBreak/>
        <w:t>GRÁFICA 5. TRABAJADORES ASEGURADOS POR TRIMESTRE ANTE EL IMSS SUBDELEGACIÓN HERMOSILLO, DE 2015 AL TERCER TRIMESTRE DE 2024.</w:t>
      </w:r>
    </w:p>
    <w:p w14:paraId="5EF78302" w14:textId="566C0003" w:rsidR="00DB1C66" w:rsidRDefault="00DB1C66" w:rsidP="00B205BA">
      <w:pPr>
        <w:spacing w:after="120" w:line="240" w:lineRule="auto"/>
        <w:jc w:val="center"/>
        <w:rPr>
          <w:rFonts w:cs="Arial"/>
        </w:rPr>
      </w:pPr>
      <w:r>
        <w:rPr>
          <w:noProof/>
        </w:rPr>
        <w:drawing>
          <wp:inline distT="0" distB="0" distL="0" distR="0" wp14:anchorId="73FC75E8" wp14:editId="560D470F">
            <wp:extent cx="5597525" cy="2743200"/>
            <wp:effectExtent l="0" t="0" r="0" b="0"/>
            <wp:docPr id="51" name="Gráfico 51">
              <a:extLst xmlns:a="http://schemas.openxmlformats.org/drawingml/2006/main">
                <a:ext uri="{FF2B5EF4-FFF2-40B4-BE49-F238E27FC236}">
                  <a16:creationId xmlns:a16="http://schemas.microsoft.com/office/drawing/2014/main" id="{07374782-5176-D637-9A76-1C67BBD7E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29A76D" w14:textId="75502EE0" w:rsidR="00DB1C66" w:rsidRPr="006F191D" w:rsidRDefault="00DB1C66" w:rsidP="00B205BA">
      <w:pPr>
        <w:spacing w:after="120" w:line="240" w:lineRule="auto"/>
        <w:rPr>
          <w:rFonts w:cs="Arial"/>
          <w:sz w:val="16"/>
          <w:szCs w:val="16"/>
        </w:rPr>
      </w:pPr>
      <w:r>
        <w:rPr>
          <w:rFonts w:cs="Arial"/>
          <w:sz w:val="16"/>
          <w:szCs w:val="16"/>
        </w:rPr>
        <w:t xml:space="preserve">Fuente: </w:t>
      </w:r>
      <w:r w:rsidRPr="006F191D">
        <w:rPr>
          <w:rFonts w:cs="Arial"/>
          <w:sz w:val="16"/>
          <w:szCs w:val="16"/>
        </w:rPr>
        <w:t>Elaboración propia con cifras del IMSS, del</w:t>
      </w:r>
      <w:r>
        <w:rPr>
          <w:rFonts w:cs="Arial"/>
          <w:sz w:val="16"/>
          <w:szCs w:val="16"/>
        </w:rPr>
        <w:t xml:space="preserve"> 2015 al tercer trimestre de 2024. </w:t>
      </w:r>
    </w:p>
    <w:p w14:paraId="01ACE288" w14:textId="77777777" w:rsidR="00013F4A" w:rsidRDefault="00013F4A" w:rsidP="00B205BA">
      <w:pPr>
        <w:spacing w:after="120" w:line="240" w:lineRule="auto"/>
        <w:rPr>
          <w:rFonts w:cs="Arial"/>
          <w:b/>
          <w:bCs/>
        </w:rPr>
      </w:pPr>
    </w:p>
    <w:p w14:paraId="2908BEDD" w14:textId="797B13A0" w:rsidR="00DB1C66" w:rsidRDefault="00DB1C66" w:rsidP="00B205BA">
      <w:pPr>
        <w:spacing w:after="120" w:line="240" w:lineRule="auto"/>
        <w:rPr>
          <w:rFonts w:cs="Arial"/>
          <w:b/>
          <w:bCs/>
        </w:rPr>
      </w:pPr>
      <w:r>
        <w:rPr>
          <w:rFonts w:cs="Arial"/>
          <w:b/>
          <w:bCs/>
        </w:rPr>
        <w:t>Estructura económica</w:t>
      </w:r>
      <w:r w:rsidR="00261A27">
        <w:rPr>
          <w:rFonts w:cs="Arial"/>
          <w:b/>
          <w:bCs/>
        </w:rPr>
        <w:t>.</w:t>
      </w:r>
    </w:p>
    <w:p w14:paraId="4F8EFBF3" w14:textId="77777777" w:rsidR="00DB1C66" w:rsidRDefault="00DB1C66" w:rsidP="00B205BA">
      <w:pPr>
        <w:spacing w:after="120" w:line="240" w:lineRule="auto"/>
        <w:rPr>
          <w:rFonts w:cs="Arial"/>
        </w:rPr>
      </w:pPr>
      <w:r>
        <w:rPr>
          <w:rFonts w:cs="Arial"/>
        </w:rPr>
        <w:t xml:space="preserve">En octubre de 2024, los sectores que contratan al 66.7 % de los trabajadores asegurados en el IMSS son el comercio, con 24.4 %; los servicios para empresas, 21.2 %, y la manufactura, con 21.1 %. </w:t>
      </w:r>
    </w:p>
    <w:p w14:paraId="69375B53" w14:textId="605F4E18" w:rsidR="00EC118C" w:rsidRPr="0086730D" w:rsidRDefault="00DB1C66" w:rsidP="00B205BA">
      <w:pPr>
        <w:spacing w:after="120" w:line="240" w:lineRule="auto"/>
        <w:rPr>
          <w:rFonts w:cs="Arial"/>
        </w:rPr>
      </w:pPr>
      <w:r>
        <w:rPr>
          <w:rFonts w:cs="Arial"/>
        </w:rPr>
        <w:t xml:space="preserve">El sector agropecuario ha sido el que más puestos de trabajo ha creado de enero a octubre de 2024, con 5540 nuevos empleos creados, seguido por el sector servicios para empresas, con </w:t>
      </w:r>
      <w:r>
        <w:rPr>
          <w:rFonts w:cs="Arial"/>
          <w:color w:val="000000"/>
        </w:rPr>
        <w:t xml:space="preserve">1679 </w:t>
      </w:r>
      <w:r>
        <w:rPr>
          <w:rFonts w:cs="Arial"/>
        </w:rPr>
        <w:t xml:space="preserve">plazas, y el sector de la construcción, con </w:t>
      </w:r>
      <w:r>
        <w:rPr>
          <w:rFonts w:cs="Arial"/>
          <w:color w:val="000000"/>
        </w:rPr>
        <w:t xml:space="preserve">1423 </w:t>
      </w:r>
      <w:r>
        <w:rPr>
          <w:rFonts w:cs="Arial"/>
        </w:rPr>
        <w:t xml:space="preserve">nuevos puestos de trabajo. Estos tres sectores se consolidan en la estructura económica del municipio y aportan gran dinamismo a la economía local. </w:t>
      </w:r>
    </w:p>
    <w:p w14:paraId="2D872458" w14:textId="1B7255AD" w:rsidR="00DB1C66" w:rsidRDefault="00BD09D3" w:rsidP="00B205BA">
      <w:pPr>
        <w:spacing w:after="120" w:line="240" w:lineRule="auto"/>
        <w:jc w:val="center"/>
        <w:rPr>
          <w:rFonts w:cs="Arial"/>
          <w:b/>
          <w:bCs/>
          <w:sz w:val="20"/>
          <w:szCs w:val="20"/>
        </w:rPr>
      </w:pPr>
      <w:r>
        <w:rPr>
          <w:rFonts w:cs="Arial"/>
          <w:b/>
          <w:bCs/>
          <w:sz w:val="20"/>
          <w:szCs w:val="20"/>
        </w:rPr>
        <w:t>TABLA 1. DISTRIBUCIÓN PORCENTUAL DE LOS PUESTOS DE TRABAJO REPORTADOS ANTE EL IMSS EN HERMOSILLO, SEGÚN PERÍODO Y SECTOR.</w:t>
      </w:r>
    </w:p>
    <w:tbl>
      <w:tblPr>
        <w:tblStyle w:val="Tablaconcuadrculaclara"/>
        <w:tblW w:w="7933" w:type="dxa"/>
        <w:jc w:val="center"/>
        <w:tblLook w:val="04A0" w:firstRow="1" w:lastRow="0" w:firstColumn="1" w:lastColumn="0" w:noHBand="0" w:noVBand="1"/>
      </w:tblPr>
      <w:tblGrid>
        <w:gridCol w:w="2935"/>
        <w:gridCol w:w="1596"/>
        <w:gridCol w:w="795"/>
        <w:gridCol w:w="1757"/>
        <w:gridCol w:w="850"/>
      </w:tblGrid>
      <w:tr w:rsidR="00DB1C66" w14:paraId="194677C7" w14:textId="77777777" w:rsidTr="00DB1C66">
        <w:trPr>
          <w:trHeight w:val="415"/>
          <w:jc w:val="center"/>
        </w:trPr>
        <w:tc>
          <w:tcPr>
            <w:tcW w:w="29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vAlign w:val="center"/>
            <w:hideMark/>
          </w:tcPr>
          <w:p w14:paraId="348A14E4"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Sector</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vAlign w:val="center"/>
            <w:hideMark/>
          </w:tcPr>
          <w:p w14:paraId="30504F43"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color w:val="FFFFFF" w:themeColor="background1"/>
                <w:sz w:val="18"/>
                <w:szCs w:val="18"/>
                <w:lang w:eastAsia="es-MX"/>
              </w:rPr>
              <w:t>Trabajadores asegurados</w:t>
            </w:r>
          </w:p>
        </w:tc>
        <w:tc>
          <w:tcPr>
            <w:tcW w:w="79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noWrap/>
            <w:vAlign w:val="center"/>
            <w:hideMark/>
          </w:tcPr>
          <w:p w14:paraId="13FD8E6A"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vAlign w:val="center"/>
            <w:hideMark/>
          </w:tcPr>
          <w:p w14:paraId="014D4085"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color w:val="FFFFFF" w:themeColor="background1"/>
                <w:sz w:val="18"/>
                <w:szCs w:val="18"/>
                <w:lang w:eastAsia="es-MX"/>
              </w:rPr>
              <w:t>Nuevos empleos creados</w:t>
            </w:r>
          </w:p>
        </w:tc>
        <w:tc>
          <w:tcPr>
            <w:tcW w:w="85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noWrap/>
            <w:vAlign w:val="center"/>
            <w:hideMark/>
          </w:tcPr>
          <w:p w14:paraId="0BB0D0C9"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w:t>
            </w:r>
          </w:p>
        </w:tc>
      </w:tr>
      <w:tr w:rsidR="00DB1C66" w14:paraId="463E1C89" w14:textId="77777777" w:rsidTr="00DB1C66">
        <w:trPr>
          <w:trHeight w:val="300"/>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6DDA95" w14:textId="77777777" w:rsidR="00DB1C66" w:rsidRDefault="00DB1C66" w:rsidP="00B205BA">
            <w:pPr>
              <w:spacing w:after="120" w:line="240" w:lineRule="auto"/>
              <w:rPr>
                <w:rFonts w:eastAsia="Times New Roman" w:cs="Arial"/>
                <w:b/>
                <w:bCs/>
                <w:sz w:val="18"/>
                <w:szCs w:val="18"/>
                <w:lang w:eastAsia="es-MX"/>
              </w:rPr>
            </w:pP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4675AAF"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Octubre 2024</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0ED7EC" w14:textId="77777777" w:rsidR="00DB1C66" w:rsidRDefault="00DB1C66" w:rsidP="00B205BA">
            <w:pPr>
              <w:spacing w:after="120" w:line="240" w:lineRule="auto"/>
              <w:rPr>
                <w:rFonts w:eastAsia="Times New Roman" w:cs="Arial"/>
                <w:b/>
                <w:bCs/>
                <w:sz w:val="18"/>
                <w:szCs w:val="18"/>
                <w:lang w:eastAsia="es-MX"/>
              </w:rPr>
            </w:pP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07E4563"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Enero-octubre 2024</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38B9D6" w14:textId="77777777" w:rsidR="00DB1C66" w:rsidRDefault="00DB1C66" w:rsidP="00B205BA">
            <w:pPr>
              <w:spacing w:after="120" w:line="240" w:lineRule="auto"/>
              <w:rPr>
                <w:rFonts w:eastAsia="Times New Roman" w:cs="Arial"/>
                <w:b/>
                <w:bCs/>
                <w:sz w:val="18"/>
                <w:szCs w:val="18"/>
                <w:lang w:eastAsia="es-MX"/>
              </w:rPr>
            </w:pPr>
          </w:p>
        </w:tc>
      </w:tr>
      <w:tr w:rsidR="00DB1C66" w14:paraId="3565BE75"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7D98CC9"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color w:val="000000"/>
                <w:sz w:val="18"/>
                <w:szCs w:val="18"/>
                <w:lang w:eastAsia="es-MX"/>
              </w:rPr>
              <w:t>Agropecuario</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FFACCC4"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22 465</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38E5B8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8.3</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675B6D6A"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5540</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9816E00"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47.8</w:t>
            </w:r>
          </w:p>
        </w:tc>
      </w:tr>
      <w:tr w:rsidR="00DB1C66" w14:paraId="5F87E068"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B485AC9"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color w:val="000000"/>
                <w:sz w:val="18"/>
                <w:szCs w:val="18"/>
                <w:lang w:eastAsia="es-MX"/>
              </w:rPr>
              <w:t>Minería</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1CF810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3795</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09693C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1.4</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BAF509E"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448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FB4A0C1"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3.9</w:t>
            </w:r>
          </w:p>
        </w:tc>
      </w:tr>
      <w:tr w:rsidR="00DB1C66" w14:paraId="41FF81EC"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AB8DCE1" w14:textId="77777777" w:rsidR="00DB1C66" w:rsidRDefault="00DB1C66" w:rsidP="00B205BA">
            <w:pPr>
              <w:spacing w:after="120" w:line="240" w:lineRule="auto"/>
              <w:rPr>
                <w:rFonts w:eastAsia="Times New Roman" w:cs="Arial"/>
                <w:sz w:val="18"/>
                <w:szCs w:val="18"/>
                <w:lang w:eastAsia="es-MX"/>
              </w:rPr>
            </w:pPr>
            <w:r>
              <w:rPr>
                <w:rFonts w:eastAsia="Times New Roman" w:cs="Arial"/>
                <w:sz w:val="18"/>
                <w:szCs w:val="18"/>
                <w:lang w:eastAsia="es-MX"/>
              </w:rPr>
              <w:t>Manufactura</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0FEA18C"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57 337</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3882A6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21.1</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9D0D576"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825</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B9A1AB5"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7.1</w:t>
            </w:r>
          </w:p>
        </w:tc>
      </w:tr>
      <w:tr w:rsidR="00DB1C66" w14:paraId="2FC0B4A1"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228115B" w14:textId="77777777" w:rsidR="00DB1C66" w:rsidRDefault="00DB1C66" w:rsidP="00B205BA">
            <w:pPr>
              <w:spacing w:after="120" w:line="240" w:lineRule="auto"/>
              <w:rPr>
                <w:rFonts w:eastAsia="Times New Roman" w:cs="Arial"/>
                <w:sz w:val="18"/>
                <w:szCs w:val="18"/>
                <w:lang w:eastAsia="es-MX"/>
              </w:rPr>
            </w:pPr>
            <w:r>
              <w:rPr>
                <w:rFonts w:eastAsia="Times New Roman" w:cs="Arial"/>
                <w:sz w:val="18"/>
                <w:szCs w:val="18"/>
                <w:lang w:eastAsia="es-MX"/>
              </w:rPr>
              <w:t>Construcción</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62E82A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26 439</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15671F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9.7</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C6018C0"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1423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DA28B25"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12.3</w:t>
            </w:r>
          </w:p>
        </w:tc>
      </w:tr>
      <w:tr w:rsidR="00DB1C66" w14:paraId="40FE710B"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EDE4215"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color w:val="000000"/>
                <w:sz w:val="18"/>
                <w:szCs w:val="18"/>
                <w:lang w:eastAsia="es-MX"/>
              </w:rPr>
              <w:t>Electricidad, gas y agua</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7F99DEF1"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2287</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D0AB00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0.8</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E1096CD"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4</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D75F32A"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0.0</w:t>
            </w:r>
          </w:p>
        </w:tc>
      </w:tr>
      <w:tr w:rsidR="00DB1C66" w14:paraId="102880D4"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C438437"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color w:val="000000"/>
                <w:sz w:val="18"/>
                <w:szCs w:val="18"/>
                <w:lang w:eastAsia="es-MX"/>
              </w:rPr>
              <w:t>Comercio</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45342E49"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66 231</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DE08D8B"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24.4</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AA30456"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579</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AEA0E04"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5.0</w:t>
            </w:r>
          </w:p>
        </w:tc>
      </w:tr>
      <w:tr w:rsidR="00DB1C66" w14:paraId="73238F1D"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CE30287"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color w:val="000000"/>
                <w:sz w:val="18"/>
                <w:szCs w:val="18"/>
                <w:lang w:eastAsia="es-MX"/>
              </w:rPr>
              <w:t>Transportes y comunicaciones</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2BE4FA1E"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14 331</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A5C1B28"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5.3</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A8A813C"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color w:val="FF0000"/>
                <w:sz w:val="18"/>
                <w:szCs w:val="18"/>
                <w:lang w:eastAsia="es-MX"/>
              </w:rPr>
              <w:t>-283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E8C9B02"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color w:val="FF0000"/>
                <w:sz w:val="18"/>
                <w:szCs w:val="18"/>
                <w:lang w:eastAsia="es-MX"/>
              </w:rPr>
              <w:t>-2.4</w:t>
            </w:r>
          </w:p>
        </w:tc>
      </w:tr>
      <w:tr w:rsidR="00DB1C66" w14:paraId="53691F72"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6364140"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color w:val="000000"/>
                <w:sz w:val="18"/>
                <w:szCs w:val="18"/>
                <w:lang w:eastAsia="es-MX"/>
              </w:rPr>
              <w:t>Servicios para empresas</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A71F583"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57 577</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0E4847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21.2</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39B9EBCC"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1679</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C97B78B"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14.5</w:t>
            </w:r>
          </w:p>
        </w:tc>
      </w:tr>
      <w:tr w:rsidR="00DB1C66" w14:paraId="0C19D9B1"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2E82AFD"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color w:val="000000"/>
                <w:sz w:val="18"/>
                <w:szCs w:val="18"/>
                <w:lang w:eastAsia="es-MX"/>
              </w:rPr>
              <w:lastRenderedPageBreak/>
              <w:t>Servicios sociales</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FC5E5D5"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21 133</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60EDF85"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7.8</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03A1B235"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1375</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D3E5A44"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11.9</w:t>
            </w:r>
          </w:p>
        </w:tc>
      </w:tr>
      <w:tr w:rsidR="00DB1C66" w14:paraId="02465DE8" w14:textId="77777777" w:rsidTr="00DB1C66">
        <w:trPr>
          <w:trHeight w:val="300"/>
          <w:jc w:val="center"/>
        </w:trPr>
        <w:tc>
          <w:tcPr>
            <w:tcW w:w="2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6C11FDC" w14:textId="77777777" w:rsidR="00DB1C66" w:rsidRDefault="00DB1C66" w:rsidP="00B205BA">
            <w:pPr>
              <w:spacing w:after="120" w:line="240" w:lineRule="auto"/>
              <w:jc w:val="right"/>
              <w:rPr>
                <w:rFonts w:eastAsia="Times New Roman" w:cs="Arial"/>
                <w:b/>
                <w:bCs/>
                <w:color w:val="000000"/>
                <w:sz w:val="18"/>
                <w:szCs w:val="18"/>
                <w:lang w:eastAsia="es-MX"/>
              </w:rPr>
            </w:pPr>
            <w:r>
              <w:rPr>
                <w:rFonts w:eastAsia="Times New Roman" w:cs="Arial"/>
                <w:b/>
                <w:bCs/>
                <w:color w:val="000000"/>
                <w:sz w:val="18"/>
                <w:szCs w:val="18"/>
                <w:lang w:eastAsia="es-MX"/>
              </w:rPr>
              <w:t>Total</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noWrap/>
            <w:vAlign w:val="center"/>
            <w:hideMark/>
          </w:tcPr>
          <w:p w14:paraId="49F01C7A"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color w:val="FFFFFF" w:themeColor="background1"/>
                <w:sz w:val="18"/>
                <w:szCs w:val="18"/>
                <w:lang w:eastAsia="es-MX"/>
              </w:rPr>
              <w:t>271 595</w:t>
            </w:r>
          </w:p>
        </w:tc>
        <w:tc>
          <w:tcPr>
            <w:tcW w:w="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B816132" w14:textId="77777777" w:rsidR="00DB1C66" w:rsidRDefault="00DB1C66" w:rsidP="00B205BA">
            <w:pPr>
              <w:spacing w:after="120" w:line="240" w:lineRule="auto"/>
              <w:jc w:val="center"/>
              <w:rPr>
                <w:rFonts w:eastAsia="Times New Roman" w:cs="Arial"/>
                <w:b/>
                <w:bCs/>
                <w:color w:val="000000"/>
                <w:sz w:val="18"/>
                <w:szCs w:val="18"/>
                <w:lang w:eastAsia="es-MX"/>
              </w:rPr>
            </w:pPr>
            <w:r>
              <w:rPr>
                <w:rFonts w:eastAsia="Times New Roman" w:cs="Arial"/>
                <w:b/>
                <w:bCs/>
                <w:color w:val="000000"/>
                <w:sz w:val="18"/>
                <w:szCs w:val="18"/>
                <w:lang w:eastAsia="es-MX"/>
              </w:rPr>
              <w:t>100.0</w:t>
            </w:r>
          </w:p>
        </w:tc>
        <w:tc>
          <w:tcPr>
            <w:tcW w:w="17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noWrap/>
            <w:vAlign w:val="center"/>
            <w:hideMark/>
          </w:tcPr>
          <w:p w14:paraId="4D7A6BB8"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color w:val="FFFFFF" w:themeColor="background1"/>
                <w:sz w:val="18"/>
                <w:szCs w:val="18"/>
                <w:lang w:eastAsia="es-MX"/>
              </w:rPr>
              <w:t>11 590</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C83404B"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100</w:t>
            </w:r>
          </w:p>
        </w:tc>
      </w:tr>
    </w:tbl>
    <w:p w14:paraId="608D4D0B" w14:textId="77777777" w:rsidR="00DB1C66" w:rsidRDefault="00DB1C66" w:rsidP="00B205BA">
      <w:pPr>
        <w:spacing w:after="120" w:line="240" w:lineRule="auto"/>
        <w:rPr>
          <w:rFonts w:eastAsiaTheme="minorHAnsi" w:cs="Arial"/>
          <w:sz w:val="16"/>
          <w:szCs w:val="16"/>
        </w:rPr>
      </w:pPr>
      <w:r>
        <w:rPr>
          <w:rFonts w:cs="Arial"/>
          <w:sz w:val="16"/>
          <w:szCs w:val="16"/>
        </w:rPr>
        <w:t xml:space="preserve">         Fuente</w:t>
      </w:r>
      <w:r w:rsidRPr="006F191D">
        <w:rPr>
          <w:rFonts w:cs="Arial"/>
          <w:sz w:val="16"/>
          <w:szCs w:val="16"/>
        </w:rPr>
        <w:t>: Elaboración propia con cifras del IMSS.</w:t>
      </w:r>
    </w:p>
    <w:p w14:paraId="2D658C44" w14:textId="77777777" w:rsidR="00DB1C66" w:rsidRDefault="00DB1C66" w:rsidP="00B205BA">
      <w:pPr>
        <w:spacing w:after="120" w:line="240" w:lineRule="auto"/>
        <w:rPr>
          <w:rFonts w:cs="Arial"/>
          <w:b/>
          <w:bCs/>
        </w:rPr>
      </w:pPr>
    </w:p>
    <w:p w14:paraId="2BC2E8F1" w14:textId="6B9F20E5" w:rsidR="00DB1C66" w:rsidRPr="00013F4A" w:rsidRDefault="00DB1C66" w:rsidP="00B205BA">
      <w:pPr>
        <w:spacing w:after="120" w:line="240" w:lineRule="auto"/>
        <w:rPr>
          <w:rFonts w:cs="Arial"/>
          <w:b/>
          <w:bCs/>
        </w:rPr>
      </w:pPr>
      <w:r w:rsidRPr="00013F4A">
        <w:rPr>
          <w:rFonts w:cs="Arial"/>
          <w:b/>
          <w:bCs/>
        </w:rPr>
        <w:t>Unidades económicas</w:t>
      </w:r>
      <w:r w:rsidR="00261A27" w:rsidRPr="00013F4A">
        <w:rPr>
          <w:rFonts w:cs="Arial"/>
          <w:b/>
          <w:bCs/>
        </w:rPr>
        <w:t>.</w:t>
      </w:r>
    </w:p>
    <w:p w14:paraId="6F6F3007" w14:textId="77777777" w:rsidR="00DB1C66" w:rsidRDefault="00DB1C66" w:rsidP="00B205BA">
      <w:pPr>
        <w:spacing w:after="120" w:line="240" w:lineRule="auto"/>
        <w:rPr>
          <w:rFonts w:cs="Arial"/>
        </w:rPr>
      </w:pPr>
      <w:r>
        <w:rPr>
          <w:rFonts w:cs="Arial"/>
        </w:rPr>
        <w:t xml:space="preserve">Respecto al número total de unidades económicas (empresas) contabilizadas en el municipio, de acuerdo con el Directorio Estadístico Nacional de Unidades Económicas (DENUE) de INEGI, a mayo de 2024, en Hermosillo hay 38 058 unidades, de las cuales, 87.3 % son microempresas que tienen entre 1 y 10 empleados. </w:t>
      </w:r>
    </w:p>
    <w:p w14:paraId="17926B84" w14:textId="77777777" w:rsidR="00DB1C66" w:rsidRDefault="00DB1C66" w:rsidP="00B205BA">
      <w:pPr>
        <w:spacing w:after="120" w:line="240" w:lineRule="auto"/>
        <w:jc w:val="center"/>
        <w:rPr>
          <w:rFonts w:cs="Arial"/>
        </w:rPr>
      </w:pPr>
    </w:p>
    <w:p w14:paraId="67335AE0" w14:textId="17F09617" w:rsidR="00DB1C66" w:rsidRDefault="00BD09D3" w:rsidP="00B205BA">
      <w:pPr>
        <w:spacing w:after="120" w:line="240" w:lineRule="auto"/>
        <w:jc w:val="center"/>
        <w:rPr>
          <w:rFonts w:cs="Arial"/>
          <w:b/>
          <w:bCs/>
          <w:sz w:val="20"/>
          <w:szCs w:val="20"/>
        </w:rPr>
      </w:pPr>
      <w:r>
        <w:rPr>
          <w:rFonts w:cs="Arial"/>
          <w:b/>
          <w:bCs/>
          <w:sz w:val="20"/>
          <w:szCs w:val="20"/>
        </w:rPr>
        <w:t>GRÁFICA 6. EVOLUCIÓN DEL TOTAL DE UNIDADES ECONÓMICAS CONTABILIZADAS EN HERMOSILLO (2003-MAYO 2024).</w:t>
      </w:r>
    </w:p>
    <w:p w14:paraId="38323EDC" w14:textId="4EA9BE1E" w:rsidR="00DB1C66" w:rsidRDefault="00DB1C66" w:rsidP="00B205BA">
      <w:pPr>
        <w:spacing w:after="120" w:line="240" w:lineRule="auto"/>
        <w:jc w:val="center"/>
        <w:rPr>
          <w:rFonts w:cs="Arial"/>
        </w:rPr>
      </w:pPr>
      <w:r>
        <w:rPr>
          <w:noProof/>
        </w:rPr>
        <w:drawing>
          <wp:inline distT="0" distB="0" distL="0" distR="0" wp14:anchorId="37442DF5" wp14:editId="17772F64">
            <wp:extent cx="4890770" cy="2527540"/>
            <wp:effectExtent l="0" t="0" r="0" b="0"/>
            <wp:docPr id="50" name="Gráfico 50">
              <a:extLst xmlns:a="http://schemas.openxmlformats.org/drawingml/2006/main">
                <a:ext uri="{FF2B5EF4-FFF2-40B4-BE49-F238E27FC236}">
                  <a16:creationId xmlns:a16="http://schemas.microsoft.com/office/drawing/2014/main" id="{D8B4B563-9B56-BA6C-2BC8-D8B1FFCF4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A23E95" w14:textId="77777777" w:rsidR="00DB1C66" w:rsidRPr="006F191D" w:rsidRDefault="00DB1C66" w:rsidP="0086730D">
      <w:pPr>
        <w:spacing w:after="120" w:line="240" w:lineRule="auto"/>
        <w:rPr>
          <w:rFonts w:cs="Arial"/>
          <w:sz w:val="16"/>
          <w:szCs w:val="16"/>
        </w:rPr>
      </w:pPr>
      <w:r w:rsidRPr="006F191D">
        <w:rPr>
          <w:rFonts w:cs="Arial"/>
          <w:sz w:val="16"/>
          <w:szCs w:val="16"/>
        </w:rPr>
        <w:t>Nota: Cifras a mayo del 2024</w:t>
      </w:r>
    </w:p>
    <w:p w14:paraId="326D4EAE" w14:textId="1ACB0F14" w:rsidR="00013F4A" w:rsidRPr="0086730D" w:rsidRDefault="00DB1C66" w:rsidP="0086730D">
      <w:pPr>
        <w:spacing w:after="120" w:line="240" w:lineRule="auto"/>
        <w:rPr>
          <w:rFonts w:cs="Arial"/>
          <w:sz w:val="16"/>
          <w:szCs w:val="16"/>
        </w:rPr>
      </w:pPr>
      <w:r w:rsidRPr="006F191D">
        <w:rPr>
          <w:rFonts w:cs="Arial"/>
          <w:sz w:val="16"/>
          <w:szCs w:val="16"/>
        </w:rPr>
        <w:t>Fuente: Censos Económicos y DENUE de INEGI.</w:t>
      </w:r>
    </w:p>
    <w:p w14:paraId="6F01F9F3" w14:textId="4343CAE2" w:rsidR="00013F4A" w:rsidRDefault="00DB1C66" w:rsidP="00B205BA">
      <w:pPr>
        <w:spacing w:after="120" w:line="240" w:lineRule="auto"/>
        <w:rPr>
          <w:rFonts w:cs="Arial"/>
        </w:rPr>
      </w:pPr>
      <w:r>
        <w:rPr>
          <w:rFonts w:cs="Arial"/>
        </w:rPr>
        <w:t xml:space="preserve">El sector con mayor número de unidades económicas es el comercio al por menor, el cual alberga a 29 % del total. </w:t>
      </w:r>
    </w:p>
    <w:p w14:paraId="48053860" w14:textId="2B094A18" w:rsidR="00DB1C66" w:rsidRDefault="00BD09D3" w:rsidP="00B205BA">
      <w:pPr>
        <w:spacing w:after="120" w:line="240" w:lineRule="auto"/>
        <w:jc w:val="center"/>
        <w:rPr>
          <w:rFonts w:cs="Arial"/>
          <w:b/>
          <w:bCs/>
          <w:sz w:val="20"/>
          <w:szCs w:val="20"/>
        </w:rPr>
      </w:pPr>
      <w:r>
        <w:rPr>
          <w:rFonts w:cs="Arial"/>
          <w:b/>
          <w:bCs/>
          <w:sz w:val="20"/>
          <w:szCs w:val="20"/>
        </w:rPr>
        <w:t>TABLA 2. NÚMERO DE UNIDADES ECONÓMICAS SEGÚN SECTOR Y TAMAÑO DE LA EMPRESA.</w:t>
      </w:r>
    </w:p>
    <w:tbl>
      <w:tblPr>
        <w:tblStyle w:val="Tablaconcuadrculaclara"/>
        <w:tblW w:w="0" w:type="auto"/>
        <w:jc w:val="center"/>
        <w:tblLook w:val="04A0" w:firstRow="1" w:lastRow="0" w:firstColumn="1" w:lastColumn="0" w:noHBand="0" w:noVBand="1"/>
      </w:tblPr>
      <w:tblGrid>
        <w:gridCol w:w="687"/>
        <w:gridCol w:w="3419"/>
        <w:gridCol w:w="935"/>
        <w:gridCol w:w="967"/>
        <w:gridCol w:w="998"/>
        <w:gridCol w:w="979"/>
        <w:gridCol w:w="843"/>
      </w:tblGrid>
      <w:tr w:rsidR="00DB1C66" w14:paraId="02CBDF8D" w14:textId="77777777" w:rsidTr="00DB1C66">
        <w:trPr>
          <w:trHeight w:val="350"/>
          <w:jc w:val="center"/>
        </w:trPr>
        <w:tc>
          <w:tcPr>
            <w:tcW w:w="410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vAlign w:val="center"/>
            <w:hideMark/>
          </w:tcPr>
          <w:p w14:paraId="0B508522"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Sector</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vAlign w:val="center"/>
            <w:hideMark/>
          </w:tcPr>
          <w:p w14:paraId="2B101D0E"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Micro</w:t>
            </w:r>
          </w:p>
          <w:p w14:paraId="2437624D"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(1 - 10)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vAlign w:val="center"/>
            <w:hideMark/>
          </w:tcPr>
          <w:p w14:paraId="7BC2F0FF"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Pequeña</w:t>
            </w:r>
          </w:p>
          <w:p w14:paraId="00A45C5A"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(11 - 50)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vAlign w:val="center"/>
            <w:hideMark/>
          </w:tcPr>
          <w:p w14:paraId="3C77A9F5"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 xml:space="preserve">Mediana </w:t>
            </w:r>
          </w:p>
          <w:p w14:paraId="55BFFDDC"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(51 - 250)</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vAlign w:val="center"/>
            <w:hideMark/>
          </w:tcPr>
          <w:p w14:paraId="417ACEC4"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Grande</w:t>
            </w:r>
          </w:p>
          <w:p w14:paraId="1F5B19FC" w14:textId="77777777" w:rsidR="00DB1C66" w:rsidRDefault="00DB1C66" w:rsidP="00B205BA">
            <w:pPr>
              <w:spacing w:after="120" w:line="240" w:lineRule="auto"/>
              <w:jc w:val="center"/>
              <w:rPr>
                <w:rFonts w:eastAsia="Times New Roman" w:cs="Arial"/>
                <w:b/>
                <w:bCs/>
                <w:color w:val="000000"/>
                <w:sz w:val="18"/>
                <w:szCs w:val="18"/>
                <w:lang w:eastAsia="es-MX"/>
              </w:rPr>
            </w:pPr>
            <w:r>
              <w:rPr>
                <w:rFonts w:eastAsia="Times New Roman" w:cs="Arial"/>
                <w:b/>
                <w:bCs/>
                <w:sz w:val="18"/>
                <w:szCs w:val="18"/>
                <w:lang w:eastAsia="es-MX"/>
              </w:rPr>
              <w:t xml:space="preserve">(251 </w:t>
            </w:r>
            <w:r>
              <w:rPr>
                <w:rFonts w:cs="Arial"/>
              </w:rPr>
              <w:t>+)</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vAlign w:val="center"/>
            <w:hideMark/>
          </w:tcPr>
          <w:p w14:paraId="050097CA" w14:textId="77777777" w:rsidR="00DB1C66" w:rsidRDefault="00DB1C66" w:rsidP="00B205BA">
            <w:pPr>
              <w:spacing w:after="120" w:line="240" w:lineRule="auto"/>
              <w:jc w:val="center"/>
              <w:rPr>
                <w:rFonts w:eastAsia="Times New Roman" w:cs="Arial"/>
                <w:b/>
                <w:bCs/>
                <w:sz w:val="18"/>
                <w:szCs w:val="18"/>
                <w:lang w:eastAsia="es-MX"/>
              </w:rPr>
            </w:pPr>
            <w:r>
              <w:rPr>
                <w:rFonts w:eastAsia="Times New Roman" w:cs="Arial"/>
                <w:b/>
                <w:bCs/>
                <w:sz w:val="18"/>
                <w:szCs w:val="18"/>
                <w:lang w:eastAsia="es-MX"/>
              </w:rPr>
              <w:t>Total</w:t>
            </w:r>
          </w:p>
        </w:tc>
      </w:tr>
      <w:tr w:rsidR="00DB1C66" w14:paraId="25295ED2" w14:textId="77777777" w:rsidTr="00DB1C66">
        <w:trPr>
          <w:trHeight w:val="585"/>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4BDC6B"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11</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353D78F"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Agricultura, cría y explotación de animales, aprovechamiento forestal, pesca y caza.</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2813589"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74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EF7F2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47</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BEE6983"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29</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52BF13"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8</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5792FBE"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158</w:t>
            </w:r>
          </w:p>
        </w:tc>
      </w:tr>
      <w:tr w:rsidR="00DB1C66" w14:paraId="3435A798" w14:textId="77777777" w:rsidTr="00DB1C66">
        <w:trPr>
          <w:trHeight w:val="152"/>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276D1D"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21</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91CEAB" w14:textId="77777777" w:rsidR="00DB1C66" w:rsidRDefault="00DB1C66" w:rsidP="00B205BA">
            <w:pPr>
              <w:spacing w:after="120" w:line="240" w:lineRule="auto"/>
              <w:rPr>
                <w:rFonts w:eastAsia="Times New Roman" w:cs="Arial"/>
                <w:sz w:val="18"/>
                <w:szCs w:val="18"/>
                <w:lang w:eastAsia="es-MX"/>
              </w:rPr>
            </w:pPr>
            <w:r>
              <w:rPr>
                <w:rFonts w:eastAsia="Times New Roman" w:cs="Arial"/>
                <w:sz w:val="18"/>
                <w:szCs w:val="18"/>
                <w:lang w:eastAsia="es-MX"/>
              </w:rPr>
              <w:t>Minería</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2B26DD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22D4E71"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31</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F26FD66"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14</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5D41350"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7</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3F5B535"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85</w:t>
            </w:r>
          </w:p>
        </w:tc>
      </w:tr>
      <w:tr w:rsidR="00DB1C66" w14:paraId="1831C08A" w14:textId="77777777" w:rsidTr="00DB1C66">
        <w:trPr>
          <w:trHeight w:val="870"/>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6B3715"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22</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12CD154"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Generación, transmisión, distribución y comercialización de energía eléctrica, suministro de agua y de gas natural por ductos al consumidor final.</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678644"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96B73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12</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FEC07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4</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2B9EFB"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7ECAAB"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42</w:t>
            </w:r>
          </w:p>
        </w:tc>
      </w:tr>
      <w:tr w:rsidR="00DB1C66" w14:paraId="26DB074D" w14:textId="77777777" w:rsidTr="00DB1C66">
        <w:trPr>
          <w:trHeight w:val="196"/>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B42D5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23</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3D7B0A" w14:textId="77777777" w:rsidR="00DB1C66" w:rsidRDefault="00DB1C66" w:rsidP="00B205BA">
            <w:pPr>
              <w:spacing w:after="120" w:line="240" w:lineRule="auto"/>
              <w:rPr>
                <w:rFonts w:eastAsia="Times New Roman" w:cs="Arial"/>
                <w:sz w:val="18"/>
                <w:szCs w:val="18"/>
                <w:lang w:eastAsia="es-MX"/>
              </w:rPr>
            </w:pPr>
            <w:r>
              <w:rPr>
                <w:rFonts w:eastAsia="Times New Roman" w:cs="Arial"/>
                <w:sz w:val="18"/>
                <w:szCs w:val="18"/>
                <w:lang w:eastAsia="es-MX"/>
              </w:rPr>
              <w:t>Construcción</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FA60D31"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054F37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240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60D97FD"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70</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28CAABD"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11</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97EF71E"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642</w:t>
            </w:r>
          </w:p>
        </w:tc>
      </w:tr>
      <w:tr w:rsidR="00DB1C66" w14:paraId="37335296" w14:textId="77777777" w:rsidTr="00DB1C66">
        <w:trPr>
          <w:trHeight w:val="256"/>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B3E0CD"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lastRenderedPageBreak/>
              <w:t>31-33</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C3EB6A"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Industrias manufactureras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2B44A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4134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F4CFE5"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276</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D86440"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67</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8ABFD8"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31</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EE9E15"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4508</w:t>
            </w:r>
          </w:p>
        </w:tc>
      </w:tr>
      <w:tr w:rsidR="00DB1C66" w14:paraId="56409FD7" w14:textId="77777777" w:rsidTr="00DB1C66">
        <w:trPr>
          <w:trHeight w:val="274"/>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F41EDB"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43-49</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E5093A6" w14:textId="77777777" w:rsidR="00DB1C66" w:rsidRDefault="00DB1C66" w:rsidP="00B205BA">
            <w:pPr>
              <w:spacing w:after="120" w:line="240" w:lineRule="auto"/>
              <w:rPr>
                <w:rFonts w:eastAsia="Times New Roman" w:cs="Arial"/>
                <w:sz w:val="18"/>
                <w:szCs w:val="18"/>
                <w:lang w:eastAsia="es-MX"/>
              </w:rPr>
            </w:pPr>
            <w:r>
              <w:rPr>
                <w:rFonts w:eastAsia="Times New Roman" w:cs="Arial"/>
                <w:sz w:val="18"/>
                <w:szCs w:val="18"/>
                <w:lang w:eastAsia="es-MX"/>
              </w:rPr>
              <w:t>Comercio al por mayor</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43D03DA"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1470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3C96CA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374</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15B28A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64</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1344A0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11</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E094FA1"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1919</w:t>
            </w:r>
          </w:p>
        </w:tc>
      </w:tr>
      <w:tr w:rsidR="00DB1C66" w14:paraId="68376BE0" w14:textId="77777777" w:rsidTr="00DB1C66">
        <w:trPr>
          <w:trHeight w:val="136"/>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40E3E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46</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74FFB9"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Comercio al por menor</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832303"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10 242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E31CE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697</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7D7C811"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106</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231655"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6</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1C92C5"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11 051</w:t>
            </w:r>
          </w:p>
        </w:tc>
      </w:tr>
      <w:tr w:rsidR="00DB1C66" w14:paraId="21992567" w14:textId="77777777" w:rsidTr="00DB1C66">
        <w:trPr>
          <w:trHeight w:val="315"/>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1326830"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48</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5D3BDEB" w14:textId="77777777" w:rsidR="00DB1C66" w:rsidRDefault="00DB1C66" w:rsidP="00B205BA">
            <w:pPr>
              <w:spacing w:after="120" w:line="240" w:lineRule="auto"/>
              <w:rPr>
                <w:rFonts w:eastAsia="Times New Roman" w:cs="Arial"/>
                <w:sz w:val="18"/>
                <w:szCs w:val="18"/>
                <w:lang w:eastAsia="es-MX"/>
              </w:rPr>
            </w:pPr>
            <w:r>
              <w:rPr>
                <w:rFonts w:eastAsia="Times New Roman" w:cs="Arial"/>
                <w:sz w:val="18"/>
                <w:szCs w:val="18"/>
                <w:lang w:eastAsia="es-MX"/>
              </w:rPr>
              <w:t>Transportes, correos y almacenamiento</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729E15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CB5F7DA"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115</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BF26A11"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20</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DDC0264"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C5485AE"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337</w:t>
            </w:r>
          </w:p>
        </w:tc>
      </w:tr>
      <w:tr w:rsidR="00DB1C66" w14:paraId="31E76F1E" w14:textId="77777777" w:rsidTr="00DB1C66">
        <w:trPr>
          <w:trHeight w:val="202"/>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B3C94F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51</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E2AC80E"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Información en medios masivos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498725"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119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1D269EA"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76</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35F6D1"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11</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4AB4B2" w14:textId="77777777" w:rsidR="00DB1C66" w:rsidRDefault="00DB1C66" w:rsidP="00B205BA">
            <w:pPr>
              <w:spacing w:after="120" w:line="240" w:lineRule="auto"/>
              <w:rPr>
                <w:rFonts w:eastAsia="Times New Roman" w:cs="Arial"/>
                <w:color w:val="000000"/>
                <w:sz w:val="18"/>
                <w:szCs w:val="18"/>
                <w:lang w:eastAsia="es-MX"/>
              </w:rPr>
            </w:pP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030BC6"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206</w:t>
            </w:r>
          </w:p>
        </w:tc>
      </w:tr>
      <w:tr w:rsidR="00DB1C66" w14:paraId="198F7AA4" w14:textId="77777777" w:rsidTr="00DB1C66">
        <w:trPr>
          <w:trHeight w:val="120"/>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9E909E"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52</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C1EB226"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Servicios financieros y de seguros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0A530DA"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1093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C4FD4E3"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102</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DA7036D"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9</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B3B22E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6B785AA"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1206</w:t>
            </w:r>
          </w:p>
        </w:tc>
      </w:tr>
      <w:tr w:rsidR="00DB1C66" w14:paraId="2AF47E14" w14:textId="77777777" w:rsidTr="00DB1C66">
        <w:trPr>
          <w:trHeight w:val="411"/>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609BAD"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53</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411B3C"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Servicios inmobiliarios y de alquiler de bienes muebles e intangibles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BE890A"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739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C1FF9"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82</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83570A"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10</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2AF14B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B9AB7B"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832</w:t>
            </w:r>
          </w:p>
        </w:tc>
      </w:tr>
      <w:tr w:rsidR="00DB1C66" w14:paraId="3725B381" w14:textId="77777777" w:rsidTr="00DB1C66">
        <w:trPr>
          <w:trHeight w:val="315"/>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958A6E"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54</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3EC442E"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Servicios profesionales, científicos y técnicos.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A003E41"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1165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66102AA"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204</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2AFED10"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17</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226386A"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F4F1001"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1389</w:t>
            </w:r>
          </w:p>
        </w:tc>
      </w:tr>
      <w:tr w:rsidR="00DB1C66" w14:paraId="46379FEE" w14:textId="77777777" w:rsidTr="00DB1C66">
        <w:trPr>
          <w:trHeight w:val="133"/>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643E18"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55</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AEFD93"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Corporativos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42EEF6"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2D5FEE6"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A0ABDA"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ED8C0F" w14:textId="77777777" w:rsidR="00DB1C66" w:rsidRDefault="00DB1C66" w:rsidP="00B205BA">
            <w:pPr>
              <w:spacing w:after="120" w:line="240" w:lineRule="auto"/>
              <w:rPr>
                <w:rFonts w:eastAsia="Times New Roman" w:cs="Arial"/>
                <w:color w:val="000000"/>
                <w:sz w:val="18"/>
                <w:szCs w:val="18"/>
                <w:lang w:eastAsia="es-MX"/>
              </w:rPr>
            </w:pP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22E854"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12</w:t>
            </w:r>
          </w:p>
        </w:tc>
      </w:tr>
      <w:tr w:rsidR="00DB1C66" w14:paraId="3E3A95C4" w14:textId="77777777" w:rsidTr="00DB1C66">
        <w:trPr>
          <w:trHeight w:val="585"/>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FF36E4"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56</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FE9A2F7"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Servicios de apoyo a negocios y manejo de residuos, y servicios de remediación</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11DCB47"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320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F0C2BD9"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89</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0FB017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45</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8751A90"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20</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F88CD58"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474</w:t>
            </w:r>
          </w:p>
        </w:tc>
      </w:tr>
      <w:tr w:rsidR="00DB1C66" w14:paraId="0E018B34" w14:textId="77777777" w:rsidTr="00DB1C66">
        <w:trPr>
          <w:trHeight w:val="131"/>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905026"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61</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35FBABE"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Servicios educativos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8BC4F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641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0F3B0D"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450</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65931F8"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92</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DEE589"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7</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18AF15"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1190</w:t>
            </w:r>
          </w:p>
        </w:tc>
      </w:tr>
      <w:tr w:rsidR="00DB1C66" w14:paraId="3E0119CD" w14:textId="77777777" w:rsidTr="00DB1C66">
        <w:trPr>
          <w:trHeight w:val="204"/>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4603C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62</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50D05B3"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Servicios de salud y de asistencia social</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FA07446"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1945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9998FD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157</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3315454"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35</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7CC6C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14</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BE3675C"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2151</w:t>
            </w:r>
          </w:p>
        </w:tc>
      </w:tr>
      <w:tr w:rsidR="00DB1C66" w14:paraId="0AEA8194" w14:textId="77777777" w:rsidTr="00DB1C66">
        <w:trPr>
          <w:trHeight w:val="406"/>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479E18"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71</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588E9A5"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Servicios de esparcimiento, culturales y deportivos y otros servicios recreativos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781A23"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A8F7739"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52</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CDD9CA0"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14</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CE7493"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5B0C0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384</w:t>
            </w:r>
          </w:p>
        </w:tc>
      </w:tr>
      <w:tr w:rsidR="00DB1C66" w14:paraId="79FE7F15" w14:textId="77777777" w:rsidTr="00DB1C66">
        <w:trPr>
          <w:trHeight w:val="412"/>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79D458"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72</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9D41C0C"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Servicios de alojamiento temporal y de preparación de alimentos y bebidas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944B74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3615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C38CEA0"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334</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A5BBF3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37</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CC495AC"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CAED3C2"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3987</w:t>
            </w:r>
          </w:p>
        </w:tc>
      </w:tr>
      <w:tr w:rsidR="00DB1C66" w14:paraId="47A064F4" w14:textId="77777777" w:rsidTr="00DB1C66">
        <w:trPr>
          <w:trHeight w:val="315"/>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35E3F04"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81</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A455FE" w14:textId="77777777" w:rsidR="00DB1C66" w:rsidRDefault="00DB1C66" w:rsidP="00B205BA">
            <w:pPr>
              <w:spacing w:after="120" w:line="240" w:lineRule="auto"/>
              <w:rPr>
                <w:rFonts w:eastAsia="Times New Roman" w:cs="Arial"/>
                <w:color w:val="000000"/>
                <w:sz w:val="18"/>
                <w:szCs w:val="18"/>
                <w:lang w:eastAsia="es-MX"/>
              </w:rPr>
            </w:pPr>
            <w:r>
              <w:rPr>
                <w:rFonts w:eastAsia="Times New Roman" w:cs="Arial"/>
                <w:sz w:val="18"/>
                <w:szCs w:val="18"/>
                <w:lang w:eastAsia="es-MX"/>
              </w:rPr>
              <w:t>Otros servicios, excepto actividades gubernamentales</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83CD6F"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6445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6D053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389</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6D4242"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16</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939174"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1</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3FE0D0"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6851</w:t>
            </w:r>
          </w:p>
        </w:tc>
      </w:tr>
      <w:tr w:rsidR="00DB1C66" w14:paraId="3F815252" w14:textId="77777777" w:rsidTr="00DB1C66">
        <w:trPr>
          <w:trHeight w:val="126"/>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4DB2DD"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sz w:val="18"/>
                <w:szCs w:val="18"/>
                <w:lang w:eastAsia="es-MX"/>
              </w:rPr>
              <w:t>93</w:t>
            </w: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2D3BA67" w14:textId="77777777" w:rsidR="00DB1C66" w:rsidRDefault="00DB1C66" w:rsidP="00B205BA">
            <w:pPr>
              <w:spacing w:after="120" w:line="240" w:lineRule="auto"/>
              <w:rPr>
                <w:rFonts w:eastAsia="Times New Roman" w:cs="Arial"/>
                <w:sz w:val="18"/>
                <w:szCs w:val="18"/>
                <w:lang w:eastAsia="es-MX"/>
              </w:rPr>
            </w:pPr>
            <w:r>
              <w:rPr>
                <w:rFonts w:eastAsia="Times New Roman" w:cs="Arial"/>
                <w:sz w:val="18"/>
                <w:szCs w:val="18"/>
                <w:lang w:eastAsia="es-MX"/>
              </w:rPr>
              <w:t>Gobierno</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FA2CD78"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302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3B15C73"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216</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63451D0"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93</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0336E94" w14:textId="77777777" w:rsidR="00DB1C66" w:rsidRDefault="00DB1C66" w:rsidP="00B205BA">
            <w:pPr>
              <w:spacing w:after="120" w:line="240" w:lineRule="auto"/>
              <w:jc w:val="center"/>
              <w:rPr>
                <w:rFonts w:eastAsia="Times New Roman" w:cs="Arial"/>
                <w:color w:val="000000"/>
                <w:sz w:val="18"/>
                <w:szCs w:val="18"/>
                <w:lang w:eastAsia="es-MX"/>
              </w:rPr>
            </w:pPr>
            <w:r>
              <w:rPr>
                <w:rFonts w:eastAsia="Times New Roman" w:cs="Arial"/>
                <w:color w:val="000000"/>
                <w:sz w:val="18"/>
                <w:szCs w:val="18"/>
                <w:lang w:eastAsia="es-MX"/>
              </w:rPr>
              <w:t>23</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02611B0" w14:textId="77777777" w:rsidR="00DB1C66" w:rsidRDefault="00DB1C66" w:rsidP="00B205BA">
            <w:pPr>
              <w:spacing w:after="120" w:line="240" w:lineRule="auto"/>
              <w:jc w:val="center"/>
              <w:rPr>
                <w:rFonts w:eastAsia="Times New Roman" w:cs="Arial"/>
                <w:sz w:val="18"/>
                <w:szCs w:val="18"/>
                <w:lang w:eastAsia="es-MX"/>
              </w:rPr>
            </w:pPr>
            <w:r>
              <w:rPr>
                <w:rFonts w:eastAsia="Times New Roman" w:cs="Arial"/>
                <w:sz w:val="18"/>
                <w:szCs w:val="18"/>
                <w:lang w:eastAsia="es-MX"/>
              </w:rPr>
              <w:t>634</w:t>
            </w:r>
          </w:p>
        </w:tc>
      </w:tr>
      <w:tr w:rsidR="00DB1C66" w14:paraId="664240C4" w14:textId="77777777" w:rsidTr="00DB1C66">
        <w:trPr>
          <w:trHeight w:val="130"/>
          <w:jc w:val="center"/>
        </w:trPr>
        <w:tc>
          <w:tcPr>
            <w:tcW w:w="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3FF545" w14:textId="77777777" w:rsidR="00DB1C66" w:rsidRDefault="00DB1C66" w:rsidP="00B205BA">
            <w:pPr>
              <w:spacing w:after="120" w:line="240" w:lineRule="auto"/>
              <w:rPr>
                <w:rFonts w:eastAsia="Times New Roman" w:cs="Arial"/>
                <w:sz w:val="18"/>
                <w:szCs w:val="18"/>
                <w:lang w:eastAsia="es-MX"/>
              </w:rPr>
            </w:pPr>
          </w:p>
        </w:tc>
        <w:tc>
          <w:tcPr>
            <w:tcW w:w="34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3B13DF8" w14:textId="77777777" w:rsidR="00DB1C66" w:rsidRDefault="00DB1C66" w:rsidP="00B205BA">
            <w:pPr>
              <w:spacing w:after="120" w:line="240" w:lineRule="auto"/>
              <w:rPr>
                <w:rFonts w:eastAsia="Times New Roman" w:cs="Arial"/>
                <w:b/>
                <w:bCs/>
                <w:color w:val="000000"/>
                <w:sz w:val="18"/>
                <w:szCs w:val="18"/>
                <w:lang w:eastAsia="es-MX"/>
              </w:rPr>
            </w:pPr>
            <w:r>
              <w:rPr>
                <w:rFonts w:eastAsia="Times New Roman" w:cs="Arial"/>
                <w:b/>
                <w:bCs/>
                <w:sz w:val="18"/>
                <w:szCs w:val="18"/>
                <w:lang w:eastAsia="es-MX"/>
              </w:rPr>
              <w:t>Total</w:t>
            </w:r>
          </w:p>
        </w:tc>
        <w:tc>
          <w:tcPr>
            <w:tcW w:w="9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vAlign w:val="center"/>
            <w:hideMark/>
          </w:tcPr>
          <w:p w14:paraId="31A32E22" w14:textId="77777777" w:rsidR="00DB1C66" w:rsidRDefault="00DB1C66" w:rsidP="00B205BA">
            <w:pPr>
              <w:spacing w:after="120" w:line="240" w:lineRule="auto"/>
              <w:jc w:val="center"/>
              <w:rPr>
                <w:rFonts w:eastAsia="Times New Roman" w:cs="Arial"/>
                <w:b/>
                <w:bCs/>
                <w:color w:val="FFFFFF" w:themeColor="background1"/>
                <w:sz w:val="18"/>
                <w:szCs w:val="18"/>
                <w:lang w:eastAsia="es-MX"/>
              </w:rPr>
            </w:pPr>
            <w:r>
              <w:rPr>
                <w:rFonts w:eastAsia="Times New Roman" w:cs="Arial"/>
                <w:b/>
                <w:bCs/>
                <w:color w:val="FFFFFF" w:themeColor="background1"/>
                <w:sz w:val="18"/>
                <w:szCs w:val="18"/>
                <w:lang w:eastAsia="es-MX"/>
              </w:rPr>
              <w:t>33 206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vAlign w:val="center"/>
            <w:hideMark/>
          </w:tcPr>
          <w:p w14:paraId="5C2D9C6D" w14:textId="77777777" w:rsidR="00DB1C66" w:rsidRDefault="00DB1C66" w:rsidP="00B205BA">
            <w:pPr>
              <w:spacing w:after="120" w:line="240" w:lineRule="auto"/>
              <w:jc w:val="center"/>
              <w:rPr>
                <w:rFonts w:eastAsia="Times New Roman" w:cs="Arial"/>
                <w:b/>
                <w:bCs/>
                <w:color w:val="FFFFFF" w:themeColor="background1"/>
                <w:sz w:val="18"/>
                <w:szCs w:val="18"/>
                <w:lang w:eastAsia="es-MX"/>
              </w:rPr>
            </w:pPr>
            <w:r>
              <w:rPr>
                <w:rFonts w:eastAsia="Times New Roman" w:cs="Arial"/>
                <w:b/>
                <w:bCs/>
                <w:color w:val="FFFFFF" w:themeColor="background1"/>
                <w:sz w:val="18"/>
                <w:szCs w:val="18"/>
                <w:lang w:eastAsia="es-MX"/>
              </w:rPr>
              <w:t>3946</w:t>
            </w:r>
          </w:p>
        </w:tc>
        <w:tc>
          <w:tcPr>
            <w:tcW w:w="9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vAlign w:val="center"/>
            <w:hideMark/>
          </w:tcPr>
          <w:p w14:paraId="5CD6E5C6" w14:textId="77777777" w:rsidR="00DB1C66" w:rsidRDefault="00DB1C66" w:rsidP="00B205BA">
            <w:pPr>
              <w:spacing w:after="120" w:line="240" w:lineRule="auto"/>
              <w:jc w:val="center"/>
              <w:rPr>
                <w:rFonts w:eastAsia="Times New Roman" w:cs="Arial"/>
                <w:b/>
                <w:bCs/>
                <w:color w:val="FFFFFF" w:themeColor="background1"/>
                <w:sz w:val="18"/>
                <w:szCs w:val="18"/>
                <w:lang w:eastAsia="es-MX"/>
              </w:rPr>
            </w:pPr>
            <w:r>
              <w:rPr>
                <w:rFonts w:eastAsia="Times New Roman" w:cs="Arial"/>
                <w:b/>
                <w:bCs/>
                <w:color w:val="FFFFFF" w:themeColor="background1"/>
                <w:sz w:val="18"/>
                <w:szCs w:val="18"/>
                <w:lang w:eastAsia="es-MX"/>
              </w:rPr>
              <w:t>754</w:t>
            </w:r>
          </w:p>
        </w:tc>
        <w:tc>
          <w:tcPr>
            <w:tcW w:w="9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vAlign w:val="center"/>
            <w:hideMark/>
          </w:tcPr>
          <w:p w14:paraId="3B39D783" w14:textId="77777777" w:rsidR="00DB1C66" w:rsidRDefault="00DB1C66" w:rsidP="00B205BA">
            <w:pPr>
              <w:spacing w:after="120" w:line="240" w:lineRule="auto"/>
              <w:jc w:val="center"/>
              <w:rPr>
                <w:rFonts w:eastAsia="Times New Roman" w:cs="Arial"/>
                <w:b/>
                <w:bCs/>
                <w:color w:val="FFFFFF" w:themeColor="background1"/>
                <w:sz w:val="18"/>
                <w:szCs w:val="18"/>
                <w:lang w:eastAsia="es-MX"/>
              </w:rPr>
            </w:pPr>
            <w:r>
              <w:rPr>
                <w:rFonts w:eastAsia="Times New Roman" w:cs="Arial"/>
                <w:b/>
                <w:bCs/>
                <w:color w:val="FFFFFF" w:themeColor="background1"/>
                <w:sz w:val="18"/>
                <w:szCs w:val="18"/>
                <w:lang w:eastAsia="es-MX"/>
              </w:rPr>
              <w:t>152</w:t>
            </w:r>
          </w:p>
        </w:tc>
        <w:tc>
          <w:tcPr>
            <w:tcW w:w="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67171" w:themeFill="background2" w:themeFillShade="80"/>
            <w:vAlign w:val="center"/>
            <w:hideMark/>
          </w:tcPr>
          <w:p w14:paraId="350D9CB9" w14:textId="77777777" w:rsidR="00DB1C66" w:rsidRDefault="00DB1C66" w:rsidP="00B205BA">
            <w:pPr>
              <w:spacing w:after="120" w:line="240" w:lineRule="auto"/>
              <w:jc w:val="center"/>
              <w:rPr>
                <w:rFonts w:eastAsia="Times New Roman" w:cs="Arial"/>
                <w:b/>
                <w:bCs/>
                <w:color w:val="FFFFFF" w:themeColor="background1"/>
                <w:sz w:val="18"/>
                <w:szCs w:val="18"/>
                <w:lang w:eastAsia="es-MX"/>
              </w:rPr>
            </w:pPr>
            <w:r>
              <w:rPr>
                <w:rFonts w:eastAsia="Times New Roman" w:cs="Arial"/>
                <w:b/>
                <w:bCs/>
                <w:color w:val="FFFFFF" w:themeColor="background1"/>
                <w:sz w:val="18"/>
                <w:szCs w:val="18"/>
                <w:lang w:eastAsia="es-MX"/>
              </w:rPr>
              <w:t>38 058</w:t>
            </w:r>
          </w:p>
        </w:tc>
      </w:tr>
    </w:tbl>
    <w:p w14:paraId="16BB9E0F" w14:textId="77777777" w:rsidR="00DB1C66" w:rsidRDefault="00DB1C66" w:rsidP="00B205BA">
      <w:pPr>
        <w:spacing w:after="120" w:line="240" w:lineRule="auto"/>
        <w:rPr>
          <w:rFonts w:eastAsiaTheme="minorHAnsi" w:cs="Arial"/>
          <w:sz w:val="16"/>
          <w:szCs w:val="16"/>
        </w:rPr>
      </w:pPr>
      <w:r w:rsidRPr="006F191D">
        <w:rPr>
          <w:rFonts w:cs="Arial"/>
          <w:sz w:val="16"/>
          <w:szCs w:val="16"/>
        </w:rPr>
        <w:t>Fuente: Elaboración propia con datos del DENUE. INEGI.</w:t>
      </w:r>
      <w:r>
        <w:rPr>
          <w:rFonts w:cs="Arial"/>
          <w:sz w:val="16"/>
          <w:szCs w:val="16"/>
        </w:rPr>
        <w:t xml:space="preserve"> </w:t>
      </w:r>
    </w:p>
    <w:p w14:paraId="36AB6CC8" w14:textId="77777777" w:rsidR="00DB1C66" w:rsidRDefault="00DB1C66" w:rsidP="00B205BA">
      <w:pPr>
        <w:spacing w:after="120" w:line="240" w:lineRule="auto"/>
        <w:rPr>
          <w:rFonts w:cs="Arial"/>
          <w:b/>
          <w:bCs/>
        </w:rPr>
      </w:pPr>
    </w:p>
    <w:p w14:paraId="69790B7F" w14:textId="52BDDD03" w:rsidR="00DB1C66" w:rsidRPr="00013F4A" w:rsidRDefault="00DB1C66" w:rsidP="00B205BA">
      <w:pPr>
        <w:spacing w:after="120" w:line="240" w:lineRule="auto"/>
        <w:rPr>
          <w:rFonts w:cs="Arial"/>
          <w:b/>
          <w:bCs/>
        </w:rPr>
      </w:pPr>
      <w:r w:rsidRPr="00013F4A">
        <w:rPr>
          <w:rFonts w:cs="Arial"/>
          <w:b/>
          <w:bCs/>
        </w:rPr>
        <w:t>Industria manufacturera y maquiladora</w:t>
      </w:r>
      <w:r w:rsidR="00261A27" w:rsidRPr="00013F4A">
        <w:rPr>
          <w:rFonts w:cs="Arial"/>
          <w:b/>
          <w:bCs/>
        </w:rPr>
        <w:t>.</w:t>
      </w:r>
    </w:p>
    <w:p w14:paraId="165525F7" w14:textId="26704214" w:rsidR="00DB1C66" w:rsidRDefault="00DB1C66" w:rsidP="00B205BA">
      <w:pPr>
        <w:spacing w:after="120" w:line="240" w:lineRule="auto"/>
        <w:rPr>
          <w:rFonts w:cs="Arial"/>
        </w:rPr>
      </w:pPr>
      <w:r>
        <w:rPr>
          <w:rFonts w:cs="Arial"/>
        </w:rPr>
        <w:t xml:space="preserve">Según las cifras del Programa de la Industria Manufacturera, Maquiladora y de Servicios de Exportación (IMMEX), en los últimos ocho años, el sector manufacturero ha tenido un crecimiento constante, sobre todo en el último año. Las remuneraciones totales en esta industria han crecido de manera exponencial: en tres años se duplicó el monto, al pasar de un promedio trimestral de 530 millones de pesos al segundo trimestre de 2021, a un promedio de 1034 millones de pesos al tercer trimestre de 2024. Vale la pena resaltar que, en el comienzo de la pandemia de COVID-19, las remuneraciones mensuales promedio del sector rondaban los 438 millones de pesos. </w:t>
      </w:r>
    </w:p>
    <w:p w14:paraId="5B9E33F8" w14:textId="77777777" w:rsidR="00DB1C66" w:rsidRDefault="00DB1C66" w:rsidP="00B205BA">
      <w:pPr>
        <w:spacing w:after="120" w:line="240" w:lineRule="auto"/>
        <w:rPr>
          <w:rFonts w:cs="Arial"/>
        </w:rPr>
      </w:pPr>
      <w:r>
        <w:rPr>
          <w:rFonts w:cs="Arial"/>
        </w:rPr>
        <w:t>El caso del personal ocupado también ha ido en crecimiento, al pasar de 28 290 trabajadores al cuarto trimestre de 2019, a 36 183 al segundo trimestre de 2024.</w:t>
      </w:r>
    </w:p>
    <w:p w14:paraId="5F3C969F" w14:textId="77777777" w:rsidR="00DB1C66" w:rsidRDefault="00DB1C66" w:rsidP="00B205BA">
      <w:pPr>
        <w:spacing w:after="120" w:line="240" w:lineRule="auto"/>
        <w:rPr>
          <w:rFonts w:cs="Arial"/>
        </w:rPr>
      </w:pPr>
    </w:p>
    <w:p w14:paraId="6B5FDDF3" w14:textId="77777777" w:rsidR="0086730D" w:rsidRDefault="0086730D" w:rsidP="00B205BA">
      <w:pPr>
        <w:spacing w:after="120" w:line="240" w:lineRule="auto"/>
        <w:rPr>
          <w:rFonts w:cs="Arial"/>
        </w:rPr>
      </w:pPr>
    </w:p>
    <w:p w14:paraId="451A7706" w14:textId="77777777" w:rsidR="0086730D" w:rsidRDefault="0086730D" w:rsidP="00B205BA">
      <w:pPr>
        <w:spacing w:after="120" w:line="240" w:lineRule="auto"/>
        <w:rPr>
          <w:rFonts w:cs="Arial"/>
        </w:rPr>
      </w:pPr>
    </w:p>
    <w:p w14:paraId="0C76F447" w14:textId="77777777" w:rsidR="0086730D" w:rsidRDefault="0086730D" w:rsidP="00B205BA">
      <w:pPr>
        <w:spacing w:after="120" w:line="240" w:lineRule="auto"/>
        <w:rPr>
          <w:rFonts w:cs="Arial"/>
        </w:rPr>
      </w:pPr>
    </w:p>
    <w:p w14:paraId="326B3053" w14:textId="4A860B87" w:rsidR="00DB1C66" w:rsidRDefault="00BD09D3" w:rsidP="00B205BA">
      <w:pPr>
        <w:spacing w:after="120" w:line="240" w:lineRule="auto"/>
        <w:jc w:val="center"/>
        <w:rPr>
          <w:rFonts w:cs="Arial"/>
          <w:b/>
          <w:bCs/>
          <w:sz w:val="20"/>
          <w:szCs w:val="20"/>
        </w:rPr>
      </w:pPr>
      <w:r>
        <w:rPr>
          <w:rFonts w:cs="Arial"/>
          <w:b/>
          <w:bCs/>
          <w:sz w:val="20"/>
          <w:szCs w:val="20"/>
        </w:rPr>
        <w:lastRenderedPageBreak/>
        <w:t>GRÁFICA 7. EVOLUCIÓN DE LAS REMUNERACIONES TOTALES Y EL PERSONAL OCUPADO EN LA MANUFACTURA EN HERMOSILLO DE 2015 AL SEGUNDO TRIMESTRE DE 2024</w:t>
      </w:r>
      <w:r w:rsidR="0086730D">
        <w:rPr>
          <w:rFonts w:cs="Arial"/>
          <w:b/>
          <w:bCs/>
          <w:sz w:val="20"/>
          <w:szCs w:val="20"/>
        </w:rPr>
        <w:t>.</w:t>
      </w:r>
    </w:p>
    <w:p w14:paraId="55299C78" w14:textId="7E7E8E33" w:rsidR="00DB1C66" w:rsidRDefault="00DB1C66" w:rsidP="00B205BA">
      <w:pPr>
        <w:spacing w:after="120" w:line="240" w:lineRule="auto"/>
        <w:rPr>
          <w:rFonts w:cs="Arial"/>
          <w:b/>
          <w:bCs/>
        </w:rPr>
      </w:pPr>
      <w:r>
        <w:rPr>
          <w:noProof/>
        </w:rPr>
        <w:drawing>
          <wp:inline distT="0" distB="0" distL="0" distR="0" wp14:anchorId="4DA3E067" wp14:editId="616E477C">
            <wp:extent cx="6193766" cy="3890010"/>
            <wp:effectExtent l="0" t="0" r="0" b="0"/>
            <wp:docPr id="49" name="Gráfico 49">
              <a:extLst xmlns:a="http://schemas.openxmlformats.org/drawingml/2006/main">
                <a:ext uri="{FF2B5EF4-FFF2-40B4-BE49-F238E27FC236}">
                  <a16:creationId xmlns:a16="http://schemas.microsoft.com/office/drawing/2014/main" id="{045C3960-EFA3-D341-6109-DCA5C7C52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6489E7" w14:textId="77777777" w:rsidR="00DB1C66" w:rsidRDefault="00DB1C66" w:rsidP="00B205BA">
      <w:pPr>
        <w:spacing w:after="120" w:line="240" w:lineRule="auto"/>
        <w:rPr>
          <w:rFonts w:cs="Arial"/>
          <w:sz w:val="16"/>
          <w:szCs w:val="16"/>
        </w:rPr>
      </w:pPr>
      <w:r w:rsidRPr="006F191D">
        <w:rPr>
          <w:rFonts w:cs="Arial"/>
          <w:sz w:val="16"/>
          <w:szCs w:val="16"/>
        </w:rPr>
        <w:t>Fuente: Elaboración propia con datos de INEGI. Estadística del Programa de la Industria Manufacturera, Maquiladora y de Servicios de Exportación IMMEX.</w:t>
      </w:r>
    </w:p>
    <w:p w14:paraId="3A32DDAC" w14:textId="7F8A266B" w:rsidR="00DB1C66" w:rsidRDefault="00DB1C66" w:rsidP="00B205BA">
      <w:pPr>
        <w:spacing w:after="120" w:line="240" w:lineRule="auto"/>
        <w:rPr>
          <w:rFonts w:cs="Arial"/>
        </w:rPr>
      </w:pPr>
      <w:r>
        <w:rPr>
          <w:rFonts w:cs="Arial"/>
        </w:rPr>
        <w:t>Este comportamiento de marcado crecimiento en los últimos trimestres se puede observar en el aumento de las remuneraciones promedio del sector, las cuales, se encontraban en 15 796 pesos al mes por trabajador al segundo trimestre de 2021. Para el segundo trimestre de 2024, estas se sitúan en 28 577 pesos mensuales por trabajador; es decir, aumentó más de 80.9 %.</w:t>
      </w:r>
    </w:p>
    <w:p w14:paraId="4C6EE1AE" w14:textId="2D0B30C6" w:rsidR="00DB1C66" w:rsidRDefault="00DB1C66" w:rsidP="00B205BA">
      <w:pPr>
        <w:spacing w:after="120" w:line="240" w:lineRule="auto"/>
        <w:rPr>
          <w:rFonts w:cs="Arial"/>
        </w:rPr>
      </w:pPr>
    </w:p>
    <w:p w14:paraId="215AE24A" w14:textId="77777777" w:rsidR="006F191D" w:rsidRDefault="006F191D" w:rsidP="00B205BA">
      <w:pPr>
        <w:spacing w:after="120" w:line="240" w:lineRule="auto"/>
        <w:rPr>
          <w:rFonts w:cs="Arial"/>
        </w:rPr>
      </w:pPr>
    </w:p>
    <w:p w14:paraId="13996A81" w14:textId="77777777" w:rsidR="00013F4A" w:rsidRDefault="00013F4A" w:rsidP="00B205BA">
      <w:pPr>
        <w:spacing w:after="120" w:line="240" w:lineRule="auto"/>
        <w:rPr>
          <w:rFonts w:cs="Arial"/>
        </w:rPr>
      </w:pPr>
    </w:p>
    <w:p w14:paraId="76EA5783" w14:textId="77777777" w:rsidR="00013F4A" w:rsidRDefault="00013F4A" w:rsidP="00B205BA">
      <w:pPr>
        <w:spacing w:after="120" w:line="240" w:lineRule="auto"/>
        <w:rPr>
          <w:rFonts w:cs="Arial"/>
        </w:rPr>
      </w:pPr>
    </w:p>
    <w:p w14:paraId="14FD2254" w14:textId="77777777" w:rsidR="00013F4A" w:rsidRDefault="00013F4A" w:rsidP="00B205BA">
      <w:pPr>
        <w:spacing w:after="120" w:line="240" w:lineRule="auto"/>
        <w:rPr>
          <w:rFonts w:cs="Arial"/>
        </w:rPr>
      </w:pPr>
    </w:p>
    <w:p w14:paraId="6DE44686" w14:textId="77777777" w:rsidR="00013F4A" w:rsidRDefault="00013F4A" w:rsidP="00B205BA">
      <w:pPr>
        <w:spacing w:after="120" w:line="240" w:lineRule="auto"/>
        <w:rPr>
          <w:rFonts w:cs="Arial"/>
        </w:rPr>
      </w:pPr>
    </w:p>
    <w:p w14:paraId="64DDFA45" w14:textId="77777777" w:rsidR="00013F4A" w:rsidRDefault="00013F4A" w:rsidP="00B205BA">
      <w:pPr>
        <w:spacing w:after="120" w:line="240" w:lineRule="auto"/>
        <w:rPr>
          <w:rFonts w:cs="Arial"/>
        </w:rPr>
      </w:pPr>
    </w:p>
    <w:p w14:paraId="7F26DDF9" w14:textId="77777777" w:rsidR="00013F4A" w:rsidRDefault="00013F4A" w:rsidP="00B205BA">
      <w:pPr>
        <w:spacing w:after="120" w:line="240" w:lineRule="auto"/>
        <w:rPr>
          <w:rFonts w:cs="Arial"/>
        </w:rPr>
      </w:pPr>
    </w:p>
    <w:p w14:paraId="5E4D1650" w14:textId="77777777" w:rsidR="00013F4A" w:rsidRDefault="00013F4A" w:rsidP="00B205BA">
      <w:pPr>
        <w:spacing w:after="120" w:line="240" w:lineRule="auto"/>
        <w:rPr>
          <w:rFonts w:cs="Arial"/>
        </w:rPr>
      </w:pPr>
    </w:p>
    <w:p w14:paraId="05C259C9" w14:textId="77777777" w:rsidR="00013F4A" w:rsidRDefault="00013F4A" w:rsidP="00B205BA">
      <w:pPr>
        <w:spacing w:after="120" w:line="240" w:lineRule="auto"/>
        <w:rPr>
          <w:rFonts w:cs="Arial"/>
        </w:rPr>
      </w:pPr>
    </w:p>
    <w:p w14:paraId="54D4B404" w14:textId="5C055BF5" w:rsidR="00DB1C66" w:rsidRDefault="00BD09D3" w:rsidP="00B205BA">
      <w:pPr>
        <w:spacing w:after="120" w:line="240" w:lineRule="auto"/>
        <w:jc w:val="center"/>
        <w:rPr>
          <w:rFonts w:cs="Arial"/>
          <w:b/>
          <w:bCs/>
          <w:sz w:val="20"/>
          <w:szCs w:val="20"/>
        </w:rPr>
      </w:pPr>
      <w:r>
        <w:rPr>
          <w:rFonts w:cs="Arial"/>
          <w:b/>
          <w:bCs/>
          <w:sz w:val="20"/>
          <w:szCs w:val="20"/>
        </w:rPr>
        <w:lastRenderedPageBreak/>
        <w:t>GRÁFICA 8. REMUNERACIONES PROMEDIO EN LA INDUSTRIA MANUFACTURERA, MAQUILADORA Y DE SERVICIOS DE EXPORTACIÓN IMMEX DE 2015 AL SEGUNDO TRIMESTRE DE 2024.</w:t>
      </w:r>
    </w:p>
    <w:p w14:paraId="7F0AD531" w14:textId="77777777" w:rsidR="00DB1C66" w:rsidRDefault="00DB1C66" w:rsidP="00B205BA">
      <w:pPr>
        <w:spacing w:after="120" w:line="240" w:lineRule="auto"/>
        <w:rPr>
          <w:rFonts w:cs="Arial"/>
          <w:b/>
          <w:bCs/>
          <w:sz w:val="20"/>
          <w:szCs w:val="20"/>
        </w:rPr>
      </w:pPr>
    </w:p>
    <w:p w14:paraId="5DA1AD8A" w14:textId="302A225F" w:rsidR="00DB1C66" w:rsidRDefault="00DB1C66" w:rsidP="00B205BA">
      <w:pPr>
        <w:spacing w:after="120" w:line="240" w:lineRule="auto"/>
        <w:rPr>
          <w:rFonts w:cs="Arial"/>
        </w:rPr>
      </w:pPr>
      <w:r>
        <w:rPr>
          <w:noProof/>
        </w:rPr>
        <w:drawing>
          <wp:inline distT="0" distB="0" distL="0" distR="0" wp14:anchorId="22E4A570" wp14:editId="7FD181B3">
            <wp:extent cx="5614670" cy="3512322"/>
            <wp:effectExtent l="0" t="0" r="0" b="0"/>
            <wp:docPr id="47" name="Gráfico 47">
              <a:extLst xmlns:a="http://schemas.openxmlformats.org/drawingml/2006/main">
                <a:ext uri="{FF2B5EF4-FFF2-40B4-BE49-F238E27FC236}">
                  <a16:creationId xmlns:a16="http://schemas.microsoft.com/office/drawing/2014/main" id="{99650717-CA11-8F32-16F2-C6F1C05C8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140221" w14:textId="7557DC20" w:rsidR="00DB1C66" w:rsidRPr="00DB1C66" w:rsidRDefault="00DB1C66" w:rsidP="00B205BA">
      <w:pPr>
        <w:spacing w:after="120" w:line="240" w:lineRule="auto"/>
        <w:rPr>
          <w:rFonts w:cs="Arial"/>
          <w:sz w:val="16"/>
          <w:szCs w:val="16"/>
        </w:rPr>
      </w:pPr>
      <w:r>
        <w:rPr>
          <w:rFonts w:cs="Arial"/>
          <w:sz w:val="16"/>
          <w:szCs w:val="16"/>
        </w:rPr>
        <w:t xml:space="preserve">Fuente: </w:t>
      </w:r>
      <w:r w:rsidRPr="006F191D">
        <w:rPr>
          <w:rFonts w:cs="Arial"/>
          <w:sz w:val="16"/>
          <w:szCs w:val="16"/>
        </w:rPr>
        <w:t>Elaboración propia con datos del INEGI. Estadística del Programa de la Industria Manufacturera, Maquiladora y de Servicios de Exportación IMMEX.</w:t>
      </w:r>
    </w:p>
    <w:p w14:paraId="26D01E3B" w14:textId="77777777" w:rsidR="00013F4A" w:rsidRDefault="00013F4A" w:rsidP="00B205BA">
      <w:pPr>
        <w:spacing w:after="120" w:line="240" w:lineRule="auto"/>
        <w:rPr>
          <w:rFonts w:cs="Arial"/>
          <w:b/>
          <w:bCs/>
        </w:rPr>
      </w:pPr>
    </w:p>
    <w:p w14:paraId="6EA28560" w14:textId="3CFBE6C0" w:rsidR="00DB1C66" w:rsidRPr="00013F4A" w:rsidRDefault="00DB1C66" w:rsidP="00B205BA">
      <w:pPr>
        <w:spacing w:after="120" w:line="240" w:lineRule="auto"/>
        <w:rPr>
          <w:rFonts w:cs="Arial"/>
          <w:b/>
          <w:bCs/>
        </w:rPr>
      </w:pPr>
      <w:r w:rsidRPr="00013F4A">
        <w:rPr>
          <w:rFonts w:cs="Arial"/>
          <w:b/>
          <w:bCs/>
        </w:rPr>
        <w:t>Producción automotriz</w:t>
      </w:r>
      <w:r w:rsidR="00013F4A">
        <w:rPr>
          <w:rFonts w:cs="Arial"/>
          <w:b/>
          <w:bCs/>
        </w:rPr>
        <w:t>.</w:t>
      </w:r>
    </w:p>
    <w:p w14:paraId="6BE3A876" w14:textId="77777777" w:rsidR="00DB1C66" w:rsidRDefault="00DB1C66" w:rsidP="00B205BA">
      <w:pPr>
        <w:spacing w:after="120" w:line="240" w:lineRule="auto"/>
        <w:rPr>
          <w:rFonts w:cs="Arial"/>
        </w:rPr>
      </w:pPr>
      <w:r>
        <w:rPr>
          <w:rFonts w:cs="Arial"/>
        </w:rPr>
        <w:t xml:space="preserve">La industria automotriz, junto con la minería, representan las principales actividades económicas del estado de Sonora. La planta de estampado y ensamble de Ford Motor Company ubicada en Hermosillo, junto con gran parte de su proveeduría de primer y segundo nivel, impacta directamente en el desarrollo económico de este municipio. </w:t>
      </w:r>
    </w:p>
    <w:p w14:paraId="21D9979A" w14:textId="77777777" w:rsidR="00DB1C66" w:rsidRDefault="00DB1C66" w:rsidP="00B205BA">
      <w:pPr>
        <w:spacing w:after="120" w:line="240" w:lineRule="auto"/>
        <w:rPr>
          <w:rFonts w:cs="Arial"/>
        </w:rPr>
      </w:pPr>
      <w:r>
        <w:rPr>
          <w:rFonts w:cs="Arial"/>
        </w:rPr>
        <w:t>Desde 2020 arrancó la producción de la SUV Ford Bronco Sport en esta planta, lo que vino a reactivar al importante clúster manufacturero, después de que la pandemia y la decisión de la empresa de dejar de producir el modelo subcompacto Ford Fusion habían repercutido directamente en la producción de la planta y la economía local. Para 2021, se sumó a la producción de la fábrica la nueva camioneta (pick up) Ford Maverick.</w:t>
      </w:r>
    </w:p>
    <w:p w14:paraId="26080A8F" w14:textId="77777777" w:rsidR="00013F4A" w:rsidRDefault="00DB1C66" w:rsidP="00013F4A">
      <w:pPr>
        <w:spacing w:after="120" w:line="240" w:lineRule="auto"/>
        <w:rPr>
          <w:rFonts w:cs="Arial"/>
        </w:rPr>
      </w:pPr>
      <w:r>
        <w:rPr>
          <w:rFonts w:cs="Arial"/>
        </w:rPr>
        <w:t xml:space="preserve">A partir del lanzamiento de estos modelos que han sido premiados por su calidad y diseño, la producción se ha mantenido en ascenso, con más de 262 000 vehículos producidos entre enero y septiembre de 2024. Esta es la cifra más alta alcanzada desde 2014 para este mismo período, y representa un crecimiento de 27.2 % en este año con respecto a 2023. </w:t>
      </w:r>
    </w:p>
    <w:p w14:paraId="4B9081F2" w14:textId="77777777" w:rsidR="00013F4A" w:rsidRDefault="00013F4A" w:rsidP="00013F4A">
      <w:pPr>
        <w:spacing w:after="120" w:line="240" w:lineRule="auto"/>
        <w:rPr>
          <w:rFonts w:cs="Arial"/>
        </w:rPr>
      </w:pPr>
    </w:p>
    <w:p w14:paraId="0BAAD123" w14:textId="77777777" w:rsidR="00013F4A" w:rsidRDefault="00013F4A" w:rsidP="00013F4A">
      <w:pPr>
        <w:spacing w:after="120" w:line="240" w:lineRule="auto"/>
        <w:rPr>
          <w:rFonts w:cs="Arial"/>
        </w:rPr>
      </w:pPr>
    </w:p>
    <w:p w14:paraId="51FB406B" w14:textId="77777777" w:rsidR="00013F4A" w:rsidRDefault="00013F4A" w:rsidP="00013F4A">
      <w:pPr>
        <w:spacing w:after="120" w:line="240" w:lineRule="auto"/>
        <w:rPr>
          <w:rFonts w:cs="Arial"/>
        </w:rPr>
      </w:pPr>
    </w:p>
    <w:p w14:paraId="1E62293A" w14:textId="13751BAD" w:rsidR="00DB1C66" w:rsidRPr="00013F4A" w:rsidRDefault="00BD09D3" w:rsidP="00013F4A">
      <w:pPr>
        <w:spacing w:after="120" w:line="240" w:lineRule="auto"/>
        <w:rPr>
          <w:rFonts w:cs="Arial"/>
        </w:rPr>
      </w:pPr>
      <w:r>
        <w:rPr>
          <w:rFonts w:cs="Arial"/>
          <w:b/>
          <w:bCs/>
          <w:sz w:val="20"/>
          <w:szCs w:val="20"/>
        </w:rPr>
        <w:lastRenderedPageBreak/>
        <w:t>GRÁFICA 9. EVOLUCIÓN DE LA PRODUCCIÓN DE VEHÍCULOS DE LA PLANTA FORD DE ENERO A SEPTIEMBRE DE CADA AÑO (2005-2024)</w:t>
      </w:r>
      <w:r w:rsidR="0086730D">
        <w:rPr>
          <w:rFonts w:cs="Arial"/>
          <w:b/>
          <w:bCs/>
          <w:sz w:val="20"/>
          <w:szCs w:val="20"/>
        </w:rPr>
        <w:t>.</w:t>
      </w:r>
    </w:p>
    <w:p w14:paraId="36D45DA1" w14:textId="2851D736" w:rsidR="00DB1C66" w:rsidRDefault="00DB1C66" w:rsidP="00B205BA">
      <w:pPr>
        <w:spacing w:after="120" w:line="240" w:lineRule="auto"/>
        <w:jc w:val="center"/>
        <w:rPr>
          <w:rFonts w:cs="Arial"/>
          <w:b/>
          <w:bCs/>
          <w:color w:val="FFFFFF" w:themeColor="background1"/>
          <w14:textFill>
            <w14:noFill/>
          </w14:textFill>
        </w:rPr>
      </w:pPr>
      <w:r>
        <w:rPr>
          <w:rFonts w:cs="Arial"/>
          <w:b/>
          <w:noProof/>
        </w:rPr>
        <w:drawing>
          <wp:inline distT="0" distB="0" distL="0" distR="0" wp14:anchorId="38AB813F" wp14:editId="4E20F58C">
            <wp:extent cx="5571490" cy="3314700"/>
            <wp:effectExtent l="0" t="0" r="0" b="0"/>
            <wp:docPr id="20" name="Gráfico 2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18AEE0" w14:textId="77777777" w:rsidR="00DB1C66" w:rsidRDefault="00DB1C66" w:rsidP="00B205BA">
      <w:pPr>
        <w:spacing w:after="120" w:line="240" w:lineRule="auto"/>
        <w:rPr>
          <w:rFonts w:cs="Arial"/>
          <w:sz w:val="16"/>
          <w:szCs w:val="16"/>
        </w:rPr>
      </w:pPr>
      <w:r w:rsidRPr="006F191D">
        <w:rPr>
          <w:rFonts w:cs="Arial"/>
          <w:sz w:val="16"/>
          <w:szCs w:val="16"/>
        </w:rPr>
        <w:t>Fuente: Elaboración propia con datos del INEGI. Registro Administrativo de la Industria Automotriz de Vehículos Ligeros.</w:t>
      </w:r>
    </w:p>
    <w:p w14:paraId="551D24E2" w14:textId="690D8110" w:rsidR="00DB1C66" w:rsidRPr="00013F4A" w:rsidRDefault="00DB1C66" w:rsidP="00B205BA">
      <w:pPr>
        <w:spacing w:after="120" w:line="240" w:lineRule="auto"/>
        <w:rPr>
          <w:rFonts w:cs="Arial"/>
          <w:b/>
          <w:bCs/>
        </w:rPr>
      </w:pPr>
      <w:r w:rsidRPr="00013F4A">
        <w:rPr>
          <w:rFonts w:cs="Arial"/>
          <w:b/>
          <w:bCs/>
        </w:rPr>
        <w:t>La competitividad de Hermosillo en el escenario nacional</w:t>
      </w:r>
      <w:r w:rsidR="00261A27" w:rsidRPr="00013F4A">
        <w:rPr>
          <w:rFonts w:cs="Arial"/>
          <w:b/>
          <w:bCs/>
        </w:rPr>
        <w:t>.</w:t>
      </w:r>
    </w:p>
    <w:p w14:paraId="28477B7E" w14:textId="2EE32C0A" w:rsidR="006F191D" w:rsidRDefault="00DB1C66" w:rsidP="00B205BA">
      <w:pPr>
        <w:spacing w:after="120" w:line="240" w:lineRule="auto"/>
        <w:rPr>
          <w:rFonts w:cs="Arial"/>
        </w:rPr>
      </w:pPr>
      <w:r>
        <w:rPr>
          <w:rFonts w:cs="Arial"/>
        </w:rPr>
        <w:t>Según el ya mencionado Índice de Competitividad Urbana (ICU)</w:t>
      </w:r>
      <w:r>
        <w:rPr>
          <w:rStyle w:val="Refdenotaalpie"/>
          <w:rFonts w:cs="Arial"/>
        </w:rPr>
        <w:footnoteReference w:id="34"/>
      </w:r>
      <w:r>
        <w:rPr>
          <w:rFonts w:cs="Arial"/>
        </w:rPr>
        <w:t xml:space="preserve"> 2023, elaborado por el IMCO, Hermosillo se ubicó en el cuarto lugar entre las ciudades de 500 mil a un millón de habitantes, solo por debajo de Durango, Mazatlán y Culiacán. Descendió un lugar con respecto a la edición pasada, sin embargo, aumentó su competitividad a la categoría </w:t>
      </w:r>
      <w:r>
        <w:rPr>
          <w:rFonts w:cs="Arial"/>
          <w:i/>
          <w:iCs/>
        </w:rPr>
        <w:t>Alta</w:t>
      </w:r>
      <w:r>
        <w:rPr>
          <w:rFonts w:cs="Arial"/>
        </w:rPr>
        <w:t xml:space="preserve">. También destaca en los subíndices </w:t>
      </w:r>
      <w:r>
        <w:rPr>
          <w:rFonts w:cs="Arial"/>
          <w:i/>
          <w:iCs/>
        </w:rPr>
        <w:t>Sociedad incluyente, preparada y sana</w:t>
      </w:r>
      <w:r>
        <w:rPr>
          <w:rFonts w:cs="Arial"/>
        </w:rPr>
        <w:t xml:space="preserve">, </w:t>
      </w:r>
      <w:r>
        <w:rPr>
          <w:rFonts w:cs="Arial"/>
          <w:i/>
          <w:iCs/>
        </w:rPr>
        <w:t>Mercado de factores eficiente</w:t>
      </w:r>
      <w:r>
        <w:rPr>
          <w:rFonts w:cs="Arial"/>
        </w:rPr>
        <w:t xml:space="preserve"> y </w:t>
      </w:r>
      <w:r>
        <w:rPr>
          <w:rFonts w:cs="Arial"/>
          <w:i/>
          <w:iCs/>
        </w:rPr>
        <w:t>Economía estable</w:t>
      </w:r>
      <w:r>
        <w:rPr>
          <w:rFonts w:cs="Arial"/>
        </w:rPr>
        <w:t>.</w:t>
      </w:r>
    </w:p>
    <w:p w14:paraId="22757149" w14:textId="0EB38954" w:rsidR="00DB1C66" w:rsidRDefault="00BD09D3" w:rsidP="00B205BA">
      <w:pPr>
        <w:spacing w:after="120" w:line="240" w:lineRule="auto"/>
        <w:jc w:val="center"/>
        <w:rPr>
          <w:rFonts w:cs="Arial"/>
          <w:b/>
          <w:bCs/>
          <w:sz w:val="20"/>
          <w:szCs w:val="20"/>
        </w:rPr>
      </w:pPr>
      <w:r>
        <w:rPr>
          <w:rFonts w:cs="Arial"/>
          <w:b/>
          <w:bCs/>
          <w:sz w:val="20"/>
          <w:szCs w:val="20"/>
        </w:rPr>
        <w:t>TABLA 3. RANKING DE CIUDADES DE 500 MIL A 1 MILLÓN DE HABITANTES DEL ICU 2023</w:t>
      </w:r>
      <w:r w:rsidR="0086730D">
        <w:rPr>
          <w:rFonts w:cs="Arial"/>
          <w:b/>
          <w:bCs/>
          <w:sz w:val="20"/>
          <w:szCs w:val="20"/>
        </w:rPr>
        <w:t>.</w:t>
      </w:r>
    </w:p>
    <w:tbl>
      <w:tblPr>
        <w:tblW w:w="7503" w:type="dxa"/>
        <w:jc w:val="center"/>
        <w:tblCellMar>
          <w:left w:w="0" w:type="dxa"/>
          <w:right w:w="0" w:type="dxa"/>
        </w:tblCellMar>
        <w:tblLook w:val="0600" w:firstRow="0" w:lastRow="0" w:firstColumn="0" w:lastColumn="0" w:noHBand="1" w:noVBand="1"/>
      </w:tblPr>
      <w:tblGrid>
        <w:gridCol w:w="1000"/>
        <w:gridCol w:w="2693"/>
        <w:gridCol w:w="1556"/>
        <w:gridCol w:w="2254"/>
      </w:tblGrid>
      <w:tr w:rsidR="00DB1C66" w14:paraId="497912E0" w14:textId="77777777" w:rsidTr="00DB1C66">
        <w:trPr>
          <w:trHeight w:val="211"/>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center"/>
            <w:hideMark/>
          </w:tcPr>
          <w:p w14:paraId="0E87B74B" w14:textId="77777777" w:rsidR="00DB1C66" w:rsidRDefault="00DB1C66" w:rsidP="00B205BA">
            <w:pPr>
              <w:spacing w:after="120" w:line="240" w:lineRule="auto"/>
              <w:jc w:val="center"/>
              <w:rPr>
                <w:rFonts w:cs="Arial"/>
                <w:b/>
                <w:bCs/>
                <w:sz w:val="18"/>
                <w:szCs w:val="18"/>
              </w:rPr>
            </w:pPr>
            <w:r>
              <w:rPr>
                <w:rFonts w:cs="Arial"/>
                <w:b/>
                <w:bCs/>
                <w:sz w:val="18"/>
                <w:szCs w:val="18"/>
              </w:rPr>
              <w:t>Ranking</w:t>
            </w:r>
          </w:p>
        </w:tc>
        <w:tc>
          <w:tcPr>
            <w:tcW w:w="2693"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center"/>
            <w:hideMark/>
          </w:tcPr>
          <w:p w14:paraId="078F6D73" w14:textId="77777777" w:rsidR="00DB1C66" w:rsidRDefault="00DB1C66" w:rsidP="00B205BA">
            <w:pPr>
              <w:spacing w:after="120" w:line="240" w:lineRule="auto"/>
              <w:jc w:val="center"/>
              <w:rPr>
                <w:rFonts w:cs="Arial"/>
                <w:b/>
                <w:bCs/>
                <w:sz w:val="18"/>
                <w:szCs w:val="18"/>
              </w:rPr>
            </w:pPr>
            <w:r>
              <w:rPr>
                <w:rFonts w:cs="Arial"/>
                <w:b/>
                <w:bCs/>
                <w:sz w:val="18"/>
                <w:szCs w:val="18"/>
              </w:rPr>
              <w:t>Ciudad</w:t>
            </w:r>
          </w:p>
        </w:tc>
        <w:tc>
          <w:tcPr>
            <w:tcW w:w="1556"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center"/>
            <w:hideMark/>
          </w:tcPr>
          <w:p w14:paraId="246686E8" w14:textId="77777777" w:rsidR="00DB1C66" w:rsidRDefault="00DB1C66" w:rsidP="00B205BA">
            <w:pPr>
              <w:spacing w:after="120" w:line="240" w:lineRule="auto"/>
              <w:jc w:val="center"/>
              <w:rPr>
                <w:rFonts w:cs="Arial"/>
                <w:b/>
                <w:bCs/>
                <w:sz w:val="18"/>
                <w:szCs w:val="18"/>
              </w:rPr>
            </w:pPr>
            <w:r>
              <w:rPr>
                <w:rFonts w:cs="Arial"/>
                <w:b/>
                <w:bCs/>
                <w:sz w:val="18"/>
                <w:szCs w:val="18"/>
              </w:rPr>
              <w:t>Ranking</w:t>
            </w:r>
          </w:p>
        </w:tc>
        <w:tc>
          <w:tcPr>
            <w:tcW w:w="2254" w:type="dxa"/>
            <w:tcBorders>
              <w:top w:val="single" w:sz="8" w:space="0" w:color="FFFFFF"/>
              <w:left w:val="single" w:sz="8" w:space="0" w:color="FFFFFF"/>
              <w:bottom w:val="single" w:sz="8" w:space="0" w:color="FFFFFF"/>
              <w:right w:val="single" w:sz="8" w:space="0" w:color="FFFFFF"/>
            </w:tcBorders>
            <w:shd w:val="clear" w:color="auto" w:fill="A6A6A6"/>
            <w:tcMar>
              <w:top w:w="12" w:type="dxa"/>
              <w:left w:w="12" w:type="dxa"/>
              <w:bottom w:w="0" w:type="dxa"/>
              <w:right w:w="12" w:type="dxa"/>
            </w:tcMar>
            <w:vAlign w:val="center"/>
            <w:hideMark/>
          </w:tcPr>
          <w:p w14:paraId="0C52399E" w14:textId="77777777" w:rsidR="00DB1C66" w:rsidRDefault="00DB1C66" w:rsidP="00B205BA">
            <w:pPr>
              <w:spacing w:after="120" w:line="240" w:lineRule="auto"/>
              <w:jc w:val="center"/>
              <w:rPr>
                <w:rFonts w:cs="Arial"/>
                <w:b/>
                <w:bCs/>
                <w:sz w:val="18"/>
                <w:szCs w:val="18"/>
              </w:rPr>
            </w:pPr>
            <w:r>
              <w:rPr>
                <w:rFonts w:cs="Arial"/>
                <w:b/>
                <w:bCs/>
                <w:sz w:val="18"/>
                <w:szCs w:val="18"/>
              </w:rPr>
              <w:t>Ciudad</w:t>
            </w:r>
          </w:p>
        </w:tc>
      </w:tr>
      <w:tr w:rsidR="00DB1C66" w14:paraId="3CCB411F" w14:textId="77777777" w:rsidTr="00DB1C66">
        <w:trPr>
          <w:trHeight w:val="220"/>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44D60938" w14:textId="77777777" w:rsidR="00DB1C66" w:rsidRDefault="00DB1C66" w:rsidP="00B205BA">
            <w:pPr>
              <w:spacing w:after="120" w:line="240" w:lineRule="auto"/>
              <w:jc w:val="center"/>
              <w:rPr>
                <w:rFonts w:cs="Arial"/>
                <w:sz w:val="18"/>
                <w:szCs w:val="18"/>
              </w:rPr>
            </w:pPr>
            <w:r>
              <w:rPr>
                <w:rFonts w:cs="Arial"/>
                <w:sz w:val="18"/>
                <w:szCs w:val="18"/>
              </w:rPr>
              <w:t>1</w:t>
            </w:r>
          </w:p>
        </w:tc>
        <w:tc>
          <w:tcPr>
            <w:tcW w:w="2693" w:type="dxa"/>
            <w:tcBorders>
              <w:top w:val="single" w:sz="8" w:space="0" w:color="FFFFFF"/>
              <w:left w:val="single" w:sz="8" w:space="0" w:color="FFFFFF"/>
              <w:bottom w:val="single" w:sz="8" w:space="0" w:color="FFFFFF"/>
              <w:right w:val="single" w:sz="8" w:space="0" w:color="FFFFFF"/>
            </w:tcBorders>
            <w:shd w:val="clear" w:color="auto" w:fill="00B050"/>
            <w:tcMar>
              <w:top w:w="12" w:type="dxa"/>
              <w:left w:w="12" w:type="dxa"/>
              <w:bottom w:w="0" w:type="dxa"/>
              <w:right w:w="12" w:type="dxa"/>
            </w:tcMar>
            <w:vAlign w:val="center"/>
            <w:hideMark/>
          </w:tcPr>
          <w:p w14:paraId="622C8E1F" w14:textId="77777777" w:rsidR="00DB1C66" w:rsidRDefault="00DB1C66" w:rsidP="00B205BA">
            <w:pPr>
              <w:spacing w:after="120" w:line="240" w:lineRule="auto"/>
              <w:jc w:val="center"/>
              <w:rPr>
                <w:rFonts w:cs="Arial"/>
                <w:sz w:val="18"/>
                <w:szCs w:val="18"/>
              </w:rPr>
            </w:pPr>
            <w:r>
              <w:rPr>
                <w:rFonts w:cs="Arial"/>
                <w:sz w:val="18"/>
                <w:szCs w:val="18"/>
              </w:rPr>
              <w:t>Durango</w:t>
            </w:r>
          </w:p>
        </w:tc>
        <w:tc>
          <w:tcPr>
            <w:tcW w:w="1556"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625520DD" w14:textId="77777777" w:rsidR="00DB1C66" w:rsidRDefault="00DB1C66" w:rsidP="00B205BA">
            <w:pPr>
              <w:spacing w:after="120" w:line="240" w:lineRule="auto"/>
              <w:jc w:val="center"/>
              <w:rPr>
                <w:rFonts w:cs="Arial"/>
                <w:sz w:val="18"/>
                <w:szCs w:val="18"/>
              </w:rPr>
            </w:pPr>
            <w:r>
              <w:rPr>
                <w:rFonts w:cs="Arial"/>
                <w:sz w:val="18"/>
                <w:szCs w:val="18"/>
              </w:rPr>
              <w:t>13</w:t>
            </w:r>
          </w:p>
        </w:tc>
        <w:tc>
          <w:tcPr>
            <w:tcW w:w="2254" w:type="dxa"/>
            <w:tcBorders>
              <w:top w:val="single" w:sz="8" w:space="0" w:color="FFFFFF"/>
              <w:left w:val="single" w:sz="8" w:space="0" w:color="FFFFFF"/>
              <w:bottom w:val="single" w:sz="8" w:space="0" w:color="FFFFFF"/>
              <w:right w:val="single" w:sz="8" w:space="0" w:color="FFFFFF"/>
            </w:tcBorders>
            <w:shd w:val="clear" w:color="auto" w:fill="FFC000"/>
            <w:tcMar>
              <w:top w:w="12" w:type="dxa"/>
              <w:left w:w="12" w:type="dxa"/>
              <w:bottom w:w="0" w:type="dxa"/>
              <w:right w:w="12" w:type="dxa"/>
            </w:tcMar>
            <w:vAlign w:val="center"/>
            <w:hideMark/>
          </w:tcPr>
          <w:p w14:paraId="76DAA3CF" w14:textId="77777777" w:rsidR="00DB1C66" w:rsidRDefault="00DB1C66" w:rsidP="00B205BA">
            <w:pPr>
              <w:spacing w:after="120" w:line="240" w:lineRule="auto"/>
              <w:jc w:val="center"/>
              <w:rPr>
                <w:rFonts w:cs="Arial"/>
                <w:sz w:val="18"/>
                <w:szCs w:val="18"/>
              </w:rPr>
            </w:pPr>
            <w:r>
              <w:rPr>
                <w:rFonts w:cs="Arial"/>
                <w:sz w:val="18"/>
                <w:szCs w:val="18"/>
              </w:rPr>
              <w:t>Ensenada</w:t>
            </w:r>
          </w:p>
        </w:tc>
      </w:tr>
      <w:tr w:rsidR="00DB1C66" w14:paraId="794CAA33" w14:textId="77777777" w:rsidTr="00DB1C66">
        <w:trPr>
          <w:trHeight w:val="154"/>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5C8E2517" w14:textId="77777777" w:rsidR="00DB1C66" w:rsidRDefault="00DB1C66" w:rsidP="00B205BA">
            <w:pPr>
              <w:spacing w:after="120" w:line="240" w:lineRule="auto"/>
              <w:jc w:val="center"/>
              <w:rPr>
                <w:rFonts w:cs="Arial"/>
                <w:sz w:val="18"/>
                <w:szCs w:val="18"/>
              </w:rPr>
            </w:pPr>
            <w:r>
              <w:rPr>
                <w:rFonts w:cs="Arial"/>
                <w:sz w:val="18"/>
                <w:szCs w:val="18"/>
              </w:rPr>
              <w:t>2</w:t>
            </w:r>
          </w:p>
        </w:tc>
        <w:tc>
          <w:tcPr>
            <w:tcW w:w="2693" w:type="dxa"/>
            <w:tcBorders>
              <w:top w:val="single" w:sz="8" w:space="0" w:color="FFFFFF"/>
              <w:left w:val="single" w:sz="8" w:space="0" w:color="FFFFFF"/>
              <w:bottom w:val="single" w:sz="8" w:space="0" w:color="FFFFFF"/>
              <w:right w:val="single" w:sz="8" w:space="0" w:color="FFFFFF"/>
            </w:tcBorders>
            <w:shd w:val="clear" w:color="auto" w:fill="00B050"/>
            <w:tcMar>
              <w:top w:w="12" w:type="dxa"/>
              <w:left w:w="12" w:type="dxa"/>
              <w:bottom w:w="0" w:type="dxa"/>
              <w:right w:w="12" w:type="dxa"/>
            </w:tcMar>
            <w:vAlign w:val="center"/>
            <w:hideMark/>
          </w:tcPr>
          <w:p w14:paraId="5431D399" w14:textId="77777777" w:rsidR="00DB1C66" w:rsidRDefault="00DB1C66" w:rsidP="00B205BA">
            <w:pPr>
              <w:spacing w:after="120" w:line="240" w:lineRule="auto"/>
              <w:jc w:val="center"/>
              <w:rPr>
                <w:rFonts w:cs="Arial"/>
                <w:sz w:val="18"/>
                <w:szCs w:val="18"/>
              </w:rPr>
            </w:pPr>
            <w:r>
              <w:rPr>
                <w:rFonts w:cs="Arial"/>
                <w:sz w:val="18"/>
                <w:szCs w:val="18"/>
              </w:rPr>
              <w:t>Mazatlán</w:t>
            </w:r>
          </w:p>
        </w:tc>
        <w:tc>
          <w:tcPr>
            <w:tcW w:w="155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168F722C" w14:textId="77777777" w:rsidR="00DB1C66" w:rsidRDefault="00DB1C66" w:rsidP="00B205BA">
            <w:pPr>
              <w:spacing w:after="120" w:line="240" w:lineRule="auto"/>
              <w:jc w:val="center"/>
              <w:rPr>
                <w:rFonts w:cs="Arial"/>
                <w:sz w:val="18"/>
                <w:szCs w:val="18"/>
              </w:rPr>
            </w:pPr>
            <w:r>
              <w:rPr>
                <w:rFonts w:cs="Arial"/>
                <w:sz w:val="18"/>
                <w:szCs w:val="18"/>
              </w:rPr>
              <w:t>14</w:t>
            </w:r>
          </w:p>
        </w:tc>
        <w:tc>
          <w:tcPr>
            <w:tcW w:w="2254" w:type="dxa"/>
            <w:tcBorders>
              <w:top w:val="single" w:sz="8" w:space="0" w:color="FFFFFF"/>
              <w:left w:val="single" w:sz="8" w:space="0" w:color="FFFFFF"/>
              <w:bottom w:val="single" w:sz="8" w:space="0" w:color="FFFFFF"/>
              <w:right w:val="single" w:sz="8" w:space="0" w:color="FFFFFF"/>
            </w:tcBorders>
            <w:shd w:val="clear" w:color="auto" w:fill="FFC000"/>
            <w:tcMar>
              <w:top w:w="12" w:type="dxa"/>
              <w:left w:w="12" w:type="dxa"/>
              <w:bottom w:w="0" w:type="dxa"/>
              <w:right w:w="12" w:type="dxa"/>
            </w:tcMar>
            <w:vAlign w:val="center"/>
            <w:hideMark/>
          </w:tcPr>
          <w:p w14:paraId="181BB071" w14:textId="77777777" w:rsidR="00DB1C66" w:rsidRDefault="00DB1C66" w:rsidP="00B205BA">
            <w:pPr>
              <w:spacing w:after="120" w:line="240" w:lineRule="auto"/>
              <w:jc w:val="center"/>
              <w:rPr>
                <w:rFonts w:cs="Arial"/>
                <w:sz w:val="18"/>
                <w:szCs w:val="18"/>
              </w:rPr>
            </w:pPr>
            <w:r>
              <w:rPr>
                <w:rFonts w:cs="Arial"/>
                <w:sz w:val="18"/>
                <w:szCs w:val="18"/>
              </w:rPr>
              <w:t>Reynosa</w:t>
            </w:r>
          </w:p>
        </w:tc>
      </w:tr>
      <w:tr w:rsidR="00DB1C66" w14:paraId="286FF6D4" w14:textId="77777777" w:rsidTr="00DB1C66">
        <w:trPr>
          <w:trHeight w:val="116"/>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0D2A6DDA" w14:textId="77777777" w:rsidR="00DB1C66" w:rsidRDefault="00DB1C66" w:rsidP="00B205BA">
            <w:pPr>
              <w:spacing w:after="120" w:line="240" w:lineRule="auto"/>
              <w:jc w:val="center"/>
              <w:rPr>
                <w:rFonts w:cs="Arial"/>
                <w:sz w:val="18"/>
                <w:szCs w:val="18"/>
              </w:rPr>
            </w:pPr>
            <w:r>
              <w:rPr>
                <w:rFonts w:cs="Arial"/>
                <w:sz w:val="18"/>
                <w:szCs w:val="18"/>
              </w:rPr>
              <w:t>3</w:t>
            </w:r>
          </w:p>
        </w:tc>
        <w:tc>
          <w:tcPr>
            <w:tcW w:w="2693" w:type="dxa"/>
            <w:tcBorders>
              <w:top w:val="single" w:sz="8" w:space="0" w:color="FFFFFF"/>
              <w:left w:val="single" w:sz="8" w:space="0" w:color="FFFFFF"/>
              <w:bottom w:val="single" w:sz="8" w:space="0" w:color="FFFFFF"/>
              <w:right w:val="single" w:sz="8" w:space="0" w:color="FFFFFF"/>
            </w:tcBorders>
            <w:shd w:val="clear" w:color="auto" w:fill="00B050"/>
            <w:tcMar>
              <w:top w:w="12" w:type="dxa"/>
              <w:left w:w="12" w:type="dxa"/>
              <w:bottom w:w="0" w:type="dxa"/>
              <w:right w:w="12" w:type="dxa"/>
            </w:tcMar>
            <w:vAlign w:val="center"/>
            <w:hideMark/>
          </w:tcPr>
          <w:p w14:paraId="2FC4F978" w14:textId="77777777" w:rsidR="00DB1C66" w:rsidRDefault="00DB1C66" w:rsidP="00B205BA">
            <w:pPr>
              <w:spacing w:after="120" w:line="240" w:lineRule="auto"/>
              <w:jc w:val="center"/>
              <w:rPr>
                <w:rFonts w:cs="Arial"/>
                <w:sz w:val="18"/>
                <w:szCs w:val="18"/>
              </w:rPr>
            </w:pPr>
            <w:r>
              <w:rPr>
                <w:rFonts w:cs="Arial"/>
                <w:sz w:val="18"/>
                <w:szCs w:val="18"/>
              </w:rPr>
              <w:t>Culiacán</w:t>
            </w:r>
          </w:p>
        </w:tc>
        <w:tc>
          <w:tcPr>
            <w:tcW w:w="1556"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32A3500E" w14:textId="77777777" w:rsidR="00DB1C66" w:rsidRDefault="00DB1C66" w:rsidP="00B205BA">
            <w:pPr>
              <w:spacing w:after="120" w:line="240" w:lineRule="auto"/>
              <w:jc w:val="center"/>
              <w:rPr>
                <w:rFonts w:cs="Arial"/>
                <w:sz w:val="18"/>
                <w:szCs w:val="18"/>
              </w:rPr>
            </w:pPr>
            <w:r>
              <w:rPr>
                <w:rFonts w:cs="Arial"/>
                <w:sz w:val="18"/>
                <w:szCs w:val="18"/>
              </w:rPr>
              <w:t>15</w:t>
            </w:r>
          </w:p>
        </w:tc>
        <w:tc>
          <w:tcPr>
            <w:tcW w:w="2254" w:type="dxa"/>
            <w:tcBorders>
              <w:top w:val="single" w:sz="8" w:space="0" w:color="FFFFFF"/>
              <w:left w:val="single" w:sz="8" w:space="0" w:color="FFFFFF"/>
              <w:bottom w:val="single" w:sz="8" w:space="0" w:color="FFFFFF"/>
              <w:right w:val="single" w:sz="8" w:space="0" w:color="FFFFFF"/>
            </w:tcBorders>
            <w:shd w:val="clear" w:color="auto" w:fill="FFC000"/>
            <w:tcMar>
              <w:top w:w="12" w:type="dxa"/>
              <w:left w:w="12" w:type="dxa"/>
              <w:bottom w:w="0" w:type="dxa"/>
              <w:right w:w="12" w:type="dxa"/>
            </w:tcMar>
            <w:vAlign w:val="center"/>
            <w:hideMark/>
          </w:tcPr>
          <w:p w14:paraId="3E42EC4C" w14:textId="77777777" w:rsidR="00DB1C66" w:rsidRDefault="00DB1C66" w:rsidP="00B205BA">
            <w:pPr>
              <w:spacing w:after="120" w:line="240" w:lineRule="auto"/>
              <w:jc w:val="center"/>
              <w:rPr>
                <w:rFonts w:cs="Arial"/>
                <w:sz w:val="18"/>
                <w:szCs w:val="18"/>
              </w:rPr>
            </w:pPr>
            <w:r>
              <w:rPr>
                <w:rFonts w:cs="Arial"/>
                <w:sz w:val="18"/>
                <w:szCs w:val="18"/>
              </w:rPr>
              <w:t>Morelia</w:t>
            </w:r>
          </w:p>
        </w:tc>
      </w:tr>
      <w:tr w:rsidR="00DB1C66" w14:paraId="616532BE" w14:textId="77777777" w:rsidTr="00DB1C66">
        <w:trPr>
          <w:trHeight w:val="162"/>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6A5CE6F9" w14:textId="77777777" w:rsidR="00DB1C66" w:rsidRDefault="00DB1C66" w:rsidP="00B205BA">
            <w:pPr>
              <w:spacing w:after="120" w:line="240" w:lineRule="auto"/>
              <w:jc w:val="center"/>
              <w:rPr>
                <w:rFonts w:cs="Arial"/>
                <w:sz w:val="18"/>
                <w:szCs w:val="18"/>
              </w:rPr>
            </w:pPr>
            <w:r>
              <w:rPr>
                <w:rFonts w:cs="Arial"/>
                <w:sz w:val="18"/>
                <w:szCs w:val="18"/>
              </w:rPr>
              <w:t>4</w:t>
            </w:r>
          </w:p>
        </w:tc>
        <w:tc>
          <w:tcPr>
            <w:tcW w:w="2693" w:type="dxa"/>
            <w:tcBorders>
              <w:top w:val="single" w:sz="8" w:space="0" w:color="FFFFFF"/>
              <w:left w:val="single" w:sz="8" w:space="0" w:color="FFFFFF"/>
              <w:bottom w:val="single" w:sz="8" w:space="0" w:color="FFFFFF"/>
              <w:right w:val="single" w:sz="8" w:space="0" w:color="FFFFFF"/>
            </w:tcBorders>
            <w:shd w:val="clear" w:color="auto" w:fill="00B050"/>
            <w:tcMar>
              <w:top w:w="12" w:type="dxa"/>
              <w:left w:w="12" w:type="dxa"/>
              <w:bottom w:w="0" w:type="dxa"/>
              <w:right w:w="12" w:type="dxa"/>
            </w:tcMar>
            <w:vAlign w:val="center"/>
            <w:hideMark/>
          </w:tcPr>
          <w:p w14:paraId="0915D4FF" w14:textId="77777777" w:rsidR="00DB1C66" w:rsidRDefault="00DB1C66" w:rsidP="00B205BA">
            <w:pPr>
              <w:spacing w:after="120" w:line="240" w:lineRule="auto"/>
              <w:jc w:val="center"/>
              <w:rPr>
                <w:rFonts w:cs="Arial"/>
                <w:sz w:val="18"/>
                <w:szCs w:val="18"/>
              </w:rPr>
            </w:pPr>
            <w:r>
              <w:rPr>
                <w:rFonts w:cs="Arial"/>
                <w:sz w:val="18"/>
                <w:szCs w:val="18"/>
              </w:rPr>
              <w:t>Hermosillo</w:t>
            </w:r>
          </w:p>
        </w:tc>
        <w:tc>
          <w:tcPr>
            <w:tcW w:w="155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2598FBC0" w14:textId="77777777" w:rsidR="00DB1C66" w:rsidRDefault="00DB1C66" w:rsidP="00B205BA">
            <w:pPr>
              <w:spacing w:after="120" w:line="240" w:lineRule="auto"/>
              <w:jc w:val="center"/>
              <w:rPr>
                <w:rFonts w:cs="Arial"/>
                <w:sz w:val="18"/>
                <w:szCs w:val="18"/>
              </w:rPr>
            </w:pPr>
            <w:r>
              <w:rPr>
                <w:rFonts w:cs="Arial"/>
                <w:sz w:val="18"/>
                <w:szCs w:val="18"/>
              </w:rPr>
              <w:t>16</w:t>
            </w:r>
          </w:p>
        </w:tc>
        <w:tc>
          <w:tcPr>
            <w:tcW w:w="2254" w:type="dxa"/>
            <w:tcBorders>
              <w:top w:val="single" w:sz="8" w:space="0" w:color="FFFFFF"/>
              <w:left w:val="single" w:sz="8" w:space="0" w:color="FFFFFF"/>
              <w:bottom w:val="single" w:sz="8" w:space="0" w:color="FFFFFF"/>
              <w:right w:val="single" w:sz="8" w:space="0" w:color="FFFFFF"/>
            </w:tcBorders>
            <w:shd w:val="clear" w:color="auto" w:fill="FFC000"/>
            <w:tcMar>
              <w:top w:w="12" w:type="dxa"/>
              <w:left w:w="12" w:type="dxa"/>
              <w:bottom w:w="0" w:type="dxa"/>
              <w:right w:w="12" w:type="dxa"/>
            </w:tcMar>
            <w:vAlign w:val="center"/>
            <w:hideMark/>
          </w:tcPr>
          <w:p w14:paraId="78FEC8AB" w14:textId="77777777" w:rsidR="00DB1C66" w:rsidRDefault="00DB1C66" w:rsidP="00B205BA">
            <w:pPr>
              <w:spacing w:after="120" w:line="240" w:lineRule="auto"/>
              <w:jc w:val="center"/>
              <w:rPr>
                <w:rFonts w:cs="Arial"/>
                <w:sz w:val="18"/>
                <w:szCs w:val="18"/>
              </w:rPr>
            </w:pPr>
            <w:r>
              <w:rPr>
                <w:rFonts w:cs="Arial"/>
                <w:sz w:val="18"/>
                <w:szCs w:val="18"/>
              </w:rPr>
              <w:t>Oaxaca</w:t>
            </w:r>
          </w:p>
        </w:tc>
      </w:tr>
      <w:tr w:rsidR="00DB1C66" w14:paraId="3BAEE875" w14:textId="77777777" w:rsidTr="00DB1C66">
        <w:trPr>
          <w:trHeight w:val="124"/>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02588F26" w14:textId="77777777" w:rsidR="00DB1C66" w:rsidRDefault="00DB1C66" w:rsidP="00B205BA">
            <w:pPr>
              <w:spacing w:after="120" w:line="240" w:lineRule="auto"/>
              <w:jc w:val="center"/>
              <w:rPr>
                <w:rFonts w:cs="Arial"/>
                <w:sz w:val="18"/>
                <w:szCs w:val="18"/>
              </w:rPr>
            </w:pPr>
            <w:r>
              <w:rPr>
                <w:rFonts w:cs="Arial"/>
                <w:sz w:val="18"/>
                <w:szCs w:val="18"/>
              </w:rPr>
              <w:t>5</w:t>
            </w:r>
          </w:p>
        </w:tc>
        <w:tc>
          <w:tcPr>
            <w:tcW w:w="2693" w:type="dxa"/>
            <w:tcBorders>
              <w:top w:val="single" w:sz="8" w:space="0" w:color="FFFFFF"/>
              <w:left w:val="single" w:sz="8" w:space="0" w:color="FFFFFF"/>
              <w:bottom w:val="single" w:sz="8" w:space="0" w:color="FFFFFF"/>
              <w:right w:val="single" w:sz="8" w:space="0" w:color="FFFFFF"/>
            </w:tcBorders>
            <w:shd w:val="clear" w:color="auto" w:fill="FFFF00"/>
            <w:tcMar>
              <w:top w:w="12" w:type="dxa"/>
              <w:left w:w="12" w:type="dxa"/>
              <w:bottom w:w="0" w:type="dxa"/>
              <w:right w:w="12" w:type="dxa"/>
            </w:tcMar>
            <w:vAlign w:val="center"/>
            <w:hideMark/>
          </w:tcPr>
          <w:p w14:paraId="1A785C67" w14:textId="77777777" w:rsidR="00DB1C66" w:rsidRDefault="00DB1C66" w:rsidP="00B205BA">
            <w:pPr>
              <w:spacing w:after="120" w:line="240" w:lineRule="auto"/>
              <w:jc w:val="center"/>
              <w:rPr>
                <w:rFonts w:cs="Arial"/>
                <w:sz w:val="18"/>
                <w:szCs w:val="18"/>
              </w:rPr>
            </w:pPr>
            <w:r>
              <w:rPr>
                <w:rFonts w:cs="Arial"/>
                <w:sz w:val="18"/>
                <w:szCs w:val="18"/>
              </w:rPr>
              <w:t>Cancún</w:t>
            </w:r>
          </w:p>
        </w:tc>
        <w:tc>
          <w:tcPr>
            <w:tcW w:w="1556"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167DACB8" w14:textId="77777777" w:rsidR="00DB1C66" w:rsidRDefault="00DB1C66" w:rsidP="00B205BA">
            <w:pPr>
              <w:spacing w:after="120" w:line="240" w:lineRule="auto"/>
              <w:jc w:val="center"/>
              <w:rPr>
                <w:rFonts w:cs="Arial"/>
                <w:sz w:val="18"/>
                <w:szCs w:val="18"/>
              </w:rPr>
            </w:pPr>
            <w:r>
              <w:rPr>
                <w:rFonts w:cs="Arial"/>
                <w:sz w:val="18"/>
                <w:szCs w:val="18"/>
              </w:rPr>
              <w:t>17</w:t>
            </w:r>
          </w:p>
        </w:tc>
        <w:tc>
          <w:tcPr>
            <w:tcW w:w="2254" w:type="dxa"/>
            <w:tcBorders>
              <w:top w:val="single" w:sz="8" w:space="0" w:color="FFFFFF"/>
              <w:left w:val="single" w:sz="8" w:space="0" w:color="FFFFFF"/>
              <w:bottom w:val="single" w:sz="8" w:space="0" w:color="FFFFFF"/>
              <w:right w:val="single" w:sz="8" w:space="0" w:color="FFFFFF"/>
            </w:tcBorders>
            <w:shd w:val="clear" w:color="auto" w:fill="FFC000"/>
            <w:tcMar>
              <w:top w:w="12" w:type="dxa"/>
              <w:left w:w="12" w:type="dxa"/>
              <w:bottom w:w="0" w:type="dxa"/>
              <w:right w:w="12" w:type="dxa"/>
            </w:tcMar>
            <w:vAlign w:val="center"/>
            <w:hideMark/>
          </w:tcPr>
          <w:p w14:paraId="6E57DC64" w14:textId="77777777" w:rsidR="00DB1C66" w:rsidRDefault="00DB1C66" w:rsidP="00B205BA">
            <w:pPr>
              <w:spacing w:after="120" w:line="240" w:lineRule="auto"/>
              <w:jc w:val="center"/>
              <w:rPr>
                <w:rFonts w:cs="Arial"/>
                <w:sz w:val="18"/>
                <w:szCs w:val="18"/>
              </w:rPr>
            </w:pPr>
            <w:r>
              <w:rPr>
                <w:rFonts w:cs="Arial"/>
                <w:sz w:val="18"/>
                <w:szCs w:val="18"/>
              </w:rPr>
              <w:t>Irapuato</w:t>
            </w:r>
          </w:p>
        </w:tc>
      </w:tr>
      <w:tr w:rsidR="00DB1C66" w14:paraId="6A5886BD" w14:textId="77777777" w:rsidTr="00DB1C66">
        <w:trPr>
          <w:trHeight w:val="170"/>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40189B5C" w14:textId="77777777" w:rsidR="00DB1C66" w:rsidRDefault="00DB1C66" w:rsidP="00B205BA">
            <w:pPr>
              <w:spacing w:after="120" w:line="240" w:lineRule="auto"/>
              <w:jc w:val="center"/>
              <w:rPr>
                <w:rFonts w:cs="Arial"/>
                <w:sz w:val="18"/>
                <w:szCs w:val="18"/>
              </w:rPr>
            </w:pPr>
            <w:r>
              <w:rPr>
                <w:rFonts w:cs="Arial"/>
                <w:sz w:val="18"/>
                <w:szCs w:val="18"/>
              </w:rPr>
              <w:t>6</w:t>
            </w:r>
          </w:p>
        </w:tc>
        <w:tc>
          <w:tcPr>
            <w:tcW w:w="2693" w:type="dxa"/>
            <w:tcBorders>
              <w:top w:val="single" w:sz="8" w:space="0" w:color="FFFFFF"/>
              <w:left w:val="single" w:sz="8" w:space="0" w:color="FFFFFF"/>
              <w:bottom w:val="single" w:sz="8" w:space="0" w:color="FFFFFF"/>
              <w:right w:val="single" w:sz="8" w:space="0" w:color="FFFFFF"/>
            </w:tcBorders>
            <w:shd w:val="clear" w:color="auto" w:fill="FFFF00"/>
            <w:tcMar>
              <w:top w:w="12" w:type="dxa"/>
              <w:left w:w="12" w:type="dxa"/>
              <w:bottom w:w="0" w:type="dxa"/>
              <w:right w:w="12" w:type="dxa"/>
            </w:tcMar>
            <w:vAlign w:val="center"/>
            <w:hideMark/>
          </w:tcPr>
          <w:p w14:paraId="0B0CDD82" w14:textId="77777777" w:rsidR="00DB1C66" w:rsidRDefault="00DB1C66" w:rsidP="00B205BA">
            <w:pPr>
              <w:spacing w:after="120" w:line="240" w:lineRule="auto"/>
              <w:jc w:val="center"/>
              <w:rPr>
                <w:rFonts w:cs="Arial"/>
                <w:sz w:val="18"/>
                <w:szCs w:val="18"/>
              </w:rPr>
            </w:pPr>
            <w:r>
              <w:rPr>
                <w:rFonts w:cs="Arial"/>
                <w:sz w:val="18"/>
                <w:szCs w:val="18"/>
              </w:rPr>
              <w:t>Villahermosa</w:t>
            </w:r>
          </w:p>
        </w:tc>
        <w:tc>
          <w:tcPr>
            <w:tcW w:w="155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079A89D7" w14:textId="77777777" w:rsidR="00DB1C66" w:rsidRDefault="00DB1C66" w:rsidP="00B205BA">
            <w:pPr>
              <w:spacing w:after="120" w:line="240" w:lineRule="auto"/>
              <w:jc w:val="center"/>
              <w:rPr>
                <w:rFonts w:cs="Arial"/>
                <w:sz w:val="18"/>
                <w:szCs w:val="18"/>
              </w:rPr>
            </w:pPr>
            <w:r>
              <w:rPr>
                <w:rFonts w:cs="Arial"/>
                <w:sz w:val="18"/>
                <w:szCs w:val="18"/>
              </w:rPr>
              <w:t>18</w:t>
            </w:r>
          </w:p>
        </w:tc>
        <w:tc>
          <w:tcPr>
            <w:tcW w:w="2254" w:type="dxa"/>
            <w:tcBorders>
              <w:top w:val="single" w:sz="8" w:space="0" w:color="FFFFFF"/>
              <w:left w:val="single" w:sz="8" w:space="0" w:color="FFFFFF"/>
              <w:bottom w:val="single" w:sz="8" w:space="0" w:color="FFFFFF"/>
              <w:right w:val="single" w:sz="8" w:space="0" w:color="FFFFFF"/>
            </w:tcBorders>
            <w:shd w:val="clear" w:color="auto" w:fill="FFC000"/>
            <w:tcMar>
              <w:top w:w="12" w:type="dxa"/>
              <w:left w:w="12" w:type="dxa"/>
              <w:bottom w:w="0" w:type="dxa"/>
              <w:right w:w="12" w:type="dxa"/>
            </w:tcMar>
            <w:vAlign w:val="center"/>
            <w:hideMark/>
          </w:tcPr>
          <w:p w14:paraId="4EA6A6C4" w14:textId="77777777" w:rsidR="00DB1C66" w:rsidRDefault="00DB1C66" w:rsidP="00B205BA">
            <w:pPr>
              <w:spacing w:after="120" w:line="240" w:lineRule="auto"/>
              <w:jc w:val="center"/>
              <w:rPr>
                <w:rFonts w:cs="Arial"/>
                <w:sz w:val="18"/>
                <w:szCs w:val="18"/>
              </w:rPr>
            </w:pPr>
            <w:r>
              <w:rPr>
                <w:rFonts w:cs="Arial"/>
                <w:sz w:val="18"/>
                <w:szCs w:val="18"/>
              </w:rPr>
              <w:t>Celaya</w:t>
            </w:r>
          </w:p>
        </w:tc>
      </w:tr>
      <w:tr w:rsidR="00DB1C66" w14:paraId="475E0290" w14:textId="77777777" w:rsidTr="00DB1C66">
        <w:trPr>
          <w:trHeight w:val="216"/>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6136032F" w14:textId="77777777" w:rsidR="00DB1C66" w:rsidRDefault="00DB1C66" w:rsidP="00B205BA">
            <w:pPr>
              <w:spacing w:after="120" w:line="240" w:lineRule="auto"/>
              <w:jc w:val="center"/>
              <w:rPr>
                <w:rFonts w:cs="Arial"/>
                <w:sz w:val="18"/>
                <w:szCs w:val="18"/>
              </w:rPr>
            </w:pPr>
            <w:r>
              <w:rPr>
                <w:rFonts w:cs="Arial"/>
                <w:sz w:val="18"/>
                <w:szCs w:val="18"/>
              </w:rPr>
              <w:t>7</w:t>
            </w:r>
          </w:p>
        </w:tc>
        <w:tc>
          <w:tcPr>
            <w:tcW w:w="2693" w:type="dxa"/>
            <w:tcBorders>
              <w:top w:val="single" w:sz="8" w:space="0" w:color="FFFFFF"/>
              <w:left w:val="single" w:sz="8" w:space="0" w:color="FFFFFF"/>
              <w:bottom w:val="single" w:sz="8" w:space="0" w:color="FFFFFF"/>
              <w:right w:val="single" w:sz="8" w:space="0" w:color="FFFFFF"/>
            </w:tcBorders>
            <w:shd w:val="clear" w:color="auto" w:fill="FFFF00"/>
            <w:tcMar>
              <w:top w:w="12" w:type="dxa"/>
              <w:left w:w="12" w:type="dxa"/>
              <w:bottom w:w="0" w:type="dxa"/>
              <w:right w:w="12" w:type="dxa"/>
            </w:tcMar>
            <w:vAlign w:val="center"/>
            <w:hideMark/>
          </w:tcPr>
          <w:p w14:paraId="70250BF2" w14:textId="77777777" w:rsidR="00DB1C66" w:rsidRDefault="00DB1C66" w:rsidP="00B205BA">
            <w:pPr>
              <w:spacing w:after="120" w:line="240" w:lineRule="auto"/>
              <w:jc w:val="center"/>
              <w:rPr>
                <w:rFonts w:cs="Arial"/>
                <w:sz w:val="18"/>
                <w:szCs w:val="18"/>
              </w:rPr>
            </w:pPr>
            <w:r>
              <w:rPr>
                <w:rFonts w:cs="Arial"/>
                <w:sz w:val="18"/>
                <w:szCs w:val="18"/>
              </w:rPr>
              <w:t>Tampico</w:t>
            </w:r>
          </w:p>
        </w:tc>
        <w:tc>
          <w:tcPr>
            <w:tcW w:w="1556"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58483601" w14:textId="77777777" w:rsidR="00DB1C66" w:rsidRDefault="00DB1C66" w:rsidP="00B205BA">
            <w:pPr>
              <w:spacing w:after="120" w:line="240" w:lineRule="auto"/>
              <w:jc w:val="center"/>
              <w:rPr>
                <w:rFonts w:cs="Arial"/>
                <w:sz w:val="18"/>
                <w:szCs w:val="18"/>
              </w:rPr>
            </w:pPr>
            <w:r>
              <w:rPr>
                <w:rFonts w:cs="Arial"/>
                <w:sz w:val="18"/>
                <w:szCs w:val="18"/>
              </w:rPr>
              <w:t>19</w:t>
            </w:r>
          </w:p>
        </w:tc>
        <w:tc>
          <w:tcPr>
            <w:tcW w:w="2254" w:type="dxa"/>
            <w:tcBorders>
              <w:top w:val="single" w:sz="8" w:space="0" w:color="FFFFFF"/>
              <w:left w:val="single" w:sz="8" w:space="0" w:color="FFFFFF"/>
              <w:bottom w:val="single" w:sz="8" w:space="0" w:color="FFFFFF"/>
              <w:right w:val="single" w:sz="8" w:space="0" w:color="FFFFFF"/>
            </w:tcBorders>
            <w:shd w:val="clear" w:color="auto" w:fill="FFC000"/>
            <w:tcMar>
              <w:top w:w="12" w:type="dxa"/>
              <w:left w:w="12" w:type="dxa"/>
              <w:bottom w:w="0" w:type="dxa"/>
              <w:right w:w="12" w:type="dxa"/>
            </w:tcMar>
            <w:vAlign w:val="center"/>
            <w:hideMark/>
          </w:tcPr>
          <w:p w14:paraId="654C9E33" w14:textId="77777777" w:rsidR="00DB1C66" w:rsidRDefault="00DB1C66" w:rsidP="00B205BA">
            <w:pPr>
              <w:spacing w:after="120" w:line="240" w:lineRule="auto"/>
              <w:jc w:val="center"/>
              <w:rPr>
                <w:rFonts w:cs="Arial"/>
                <w:sz w:val="18"/>
                <w:szCs w:val="18"/>
              </w:rPr>
            </w:pPr>
            <w:r>
              <w:rPr>
                <w:rFonts w:cs="Arial"/>
                <w:sz w:val="18"/>
                <w:szCs w:val="18"/>
              </w:rPr>
              <w:t>Tuxtla Gutiérrez</w:t>
            </w:r>
          </w:p>
        </w:tc>
      </w:tr>
      <w:tr w:rsidR="00DB1C66" w14:paraId="71DCC6C9" w14:textId="77777777" w:rsidTr="00DB1C66">
        <w:trPr>
          <w:trHeight w:val="249"/>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7C9527B3" w14:textId="77777777" w:rsidR="00DB1C66" w:rsidRDefault="00DB1C66" w:rsidP="00B205BA">
            <w:pPr>
              <w:spacing w:after="120" w:line="240" w:lineRule="auto"/>
              <w:jc w:val="center"/>
              <w:rPr>
                <w:rFonts w:cs="Arial"/>
                <w:sz w:val="18"/>
                <w:szCs w:val="18"/>
              </w:rPr>
            </w:pPr>
            <w:r>
              <w:rPr>
                <w:rFonts w:cs="Arial"/>
                <w:sz w:val="18"/>
                <w:szCs w:val="18"/>
              </w:rPr>
              <w:t>8</w:t>
            </w:r>
          </w:p>
        </w:tc>
        <w:tc>
          <w:tcPr>
            <w:tcW w:w="2693" w:type="dxa"/>
            <w:tcBorders>
              <w:top w:val="single" w:sz="8" w:space="0" w:color="FFFFFF"/>
              <w:left w:val="single" w:sz="8" w:space="0" w:color="FFFFFF"/>
              <w:bottom w:val="single" w:sz="8" w:space="0" w:color="FFFFFF"/>
              <w:right w:val="single" w:sz="8" w:space="0" w:color="FFFFFF"/>
            </w:tcBorders>
            <w:shd w:val="clear" w:color="auto" w:fill="FFFF00"/>
            <w:tcMar>
              <w:top w:w="12" w:type="dxa"/>
              <w:left w:w="12" w:type="dxa"/>
              <w:bottom w:w="0" w:type="dxa"/>
              <w:right w:w="12" w:type="dxa"/>
            </w:tcMar>
            <w:vAlign w:val="center"/>
            <w:hideMark/>
          </w:tcPr>
          <w:p w14:paraId="0120F29F" w14:textId="77777777" w:rsidR="00DB1C66" w:rsidRDefault="00DB1C66" w:rsidP="00B205BA">
            <w:pPr>
              <w:spacing w:after="120" w:line="240" w:lineRule="auto"/>
              <w:jc w:val="center"/>
              <w:rPr>
                <w:rFonts w:cs="Arial"/>
                <w:sz w:val="18"/>
                <w:szCs w:val="18"/>
              </w:rPr>
            </w:pPr>
            <w:r>
              <w:rPr>
                <w:rFonts w:cs="Arial"/>
                <w:sz w:val="18"/>
                <w:szCs w:val="18"/>
              </w:rPr>
              <w:t>Pachuca</w:t>
            </w:r>
          </w:p>
        </w:tc>
        <w:tc>
          <w:tcPr>
            <w:tcW w:w="155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68086326" w14:textId="77777777" w:rsidR="00DB1C66" w:rsidRDefault="00DB1C66" w:rsidP="00B205BA">
            <w:pPr>
              <w:spacing w:after="120" w:line="240" w:lineRule="auto"/>
              <w:jc w:val="center"/>
              <w:rPr>
                <w:rFonts w:cs="Arial"/>
                <w:sz w:val="18"/>
                <w:szCs w:val="18"/>
              </w:rPr>
            </w:pPr>
            <w:r>
              <w:rPr>
                <w:rFonts w:cs="Arial"/>
                <w:sz w:val="18"/>
                <w:szCs w:val="18"/>
              </w:rPr>
              <w:t>20</w:t>
            </w:r>
          </w:p>
        </w:tc>
        <w:tc>
          <w:tcPr>
            <w:tcW w:w="2254" w:type="dxa"/>
            <w:tcBorders>
              <w:top w:val="single" w:sz="8" w:space="0" w:color="FFFFFF"/>
              <w:left w:val="single" w:sz="8" w:space="0" w:color="FFFFFF"/>
              <w:bottom w:val="single" w:sz="8" w:space="0" w:color="FFFFFF"/>
              <w:right w:val="single" w:sz="8" w:space="0" w:color="FFFFFF"/>
            </w:tcBorders>
            <w:shd w:val="clear" w:color="auto" w:fill="FFC000"/>
            <w:tcMar>
              <w:top w:w="12" w:type="dxa"/>
              <w:left w:w="12" w:type="dxa"/>
              <w:bottom w:w="0" w:type="dxa"/>
              <w:right w:w="12" w:type="dxa"/>
            </w:tcMar>
            <w:vAlign w:val="center"/>
            <w:hideMark/>
          </w:tcPr>
          <w:p w14:paraId="24D09B26" w14:textId="77777777" w:rsidR="00DB1C66" w:rsidRDefault="00DB1C66" w:rsidP="00B205BA">
            <w:pPr>
              <w:spacing w:after="120" w:line="240" w:lineRule="auto"/>
              <w:jc w:val="center"/>
              <w:rPr>
                <w:rFonts w:cs="Arial"/>
                <w:sz w:val="18"/>
                <w:szCs w:val="18"/>
              </w:rPr>
            </w:pPr>
            <w:r>
              <w:rPr>
                <w:rFonts w:cs="Arial"/>
                <w:sz w:val="18"/>
                <w:szCs w:val="18"/>
              </w:rPr>
              <w:t>Acapulco</w:t>
            </w:r>
          </w:p>
        </w:tc>
      </w:tr>
      <w:tr w:rsidR="00DB1C66" w14:paraId="09FA99C2" w14:textId="77777777" w:rsidTr="00DB1C66">
        <w:trPr>
          <w:trHeight w:val="110"/>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3DC2FFE3" w14:textId="77777777" w:rsidR="00DB1C66" w:rsidRDefault="00DB1C66" w:rsidP="00B205BA">
            <w:pPr>
              <w:spacing w:after="120" w:line="240" w:lineRule="auto"/>
              <w:jc w:val="center"/>
              <w:rPr>
                <w:rFonts w:cs="Arial"/>
                <w:sz w:val="18"/>
                <w:szCs w:val="18"/>
              </w:rPr>
            </w:pPr>
            <w:r>
              <w:rPr>
                <w:rFonts w:cs="Arial"/>
                <w:sz w:val="18"/>
                <w:szCs w:val="18"/>
              </w:rPr>
              <w:lastRenderedPageBreak/>
              <w:t>9</w:t>
            </w:r>
          </w:p>
        </w:tc>
        <w:tc>
          <w:tcPr>
            <w:tcW w:w="2693" w:type="dxa"/>
            <w:tcBorders>
              <w:top w:val="single" w:sz="8" w:space="0" w:color="FFFFFF"/>
              <w:left w:val="single" w:sz="8" w:space="0" w:color="FFFFFF"/>
              <w:bottom w:val="single" w:sz="8" w:space="0" w:color="FFFFFF"/>
              <w:right w:val="single" w:sz="8" w:space="0" w:color="FFFFFF"/>
            </w:tcBorders>
            <w:shd w:val="clear" w:color="auto" w:fill="FFFF00"/>
            <w:tcMar>
              <w:top w:w="12" w:type="dxa"/>
              <w:left w:w="12" w:type="dxa"/>
              <w:bottom w:w="0" w:type="dxa"/>
              <w:right w:w="12" w:type="dxa"/>
            </w:tcMar>
            <w:vAlign w:val="center"/>
            <w:hideMark/>
          </w:tcPr>
          <w:p w14:paraId="7CDF6C78" w14:textId="77777777" w:rsidR="00DB1C66" w:rsidRDefault="00DB1C66" w:rsidP="00B205BA">
            <w:pPr>
              <w:spacing w:after="120" w:line="240" w:lineRule="auto"/>
              <w:jc w:val="center"/>
              <w:rPr>
                <w:rFonts w:cs="Arial"/>
                <w:sz w:val="18"/>
                <w:szCs w:val="18"/>
              </w:rPr>
            </w:pPr>
            <w:r>
              <w:rPr>
                <w:rFonts w:cs="Arial"/>
                <w:sz w:val="18"/>
                <w:szCs w:val="18"/>
              </w:rPr>
              <w:t>Tepic</w:t>
            </w:r>
          </w:p>
        </w:tc>
        <w:tc>
          <w:tcPr>
            <w:tcW w:w="1556"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225142F6" w14:textId="77777777" w:rsidR="00DB1C66" w:rsidRDefault="00DB1C66" w:rsidP="00B205BA">
            <w:pPr>
              <w:spacing w:after="120" w:line="240" w:lineRule="auto"/>
              <w:jc w:val="center"/>
              <w:rPr>
                <w:rFonts w:cs="Arial"/>
                <w:sz w:val="18"/>
                <w:szCs w:val="18"/>
              </w:rPr>
            </w:pPr>
            <w:r>
              <w:rPr>
                <w:rFonts w:cs="Arial"/>
                <w:sz w:val="18"/>
                <w:szCs w:val="18"/>
              </w:rPr>
              <w:t>21</w:t>
            </w:r>
          </w:p>
        </w:tc>
        <w:tc>
          <w:tcPr>
            <w:tcW w:w="2254" w:type="dxa"/>
            <w:tcBorders>
              <w:top w:val="single" w:sz="8" w:space="0" w:color="FFFFFF"/>
              <w:left w:val="single" w:sz="8" w:space="0" w:color="FFFFFF"/>
              <w:bottom w:val="single" w:sz="8" w:space="0" w:color="FFFFFF"/>
              <w:right w:val="single" w:sz="8" w:space="0" w:color="FFFFFF"/>
            </w:tcBorders>
            <w:shd w:val="clear" w:color="auto" w:fill="FF0000"/>
            <w:tcMar>
              <w:top w:w="12" w:type="dxa"/>
              <w:left w:w="12" w:type="dxa"/>
              <w:bottom w:w="0" w:type="dxa"/>
              <w:right w:w="12" w:type="dxa"/>
            </w:tcMar>
            <w:vAlign w:val="center"/>
            <w:hideMark/>
          </w:tcPr>
          <w:p w14:paraId="2282AB84" w14:textId="77777777" w:rsidR="00DB1C66" w:rsidRDefault="00DB1C66" w:rsidP="00B205BA">
            <w:pPr>
              <w:spacing w:after="120" w:line="240" w:lineRule="auto"/>
              <w:jc w:val="center"/>
              <w:rPr>
                <w:rFonts w:cs="Arial"/>
                <w:sz w:val="18"/>
                <w:szCs w:val="18"/>
              </w:rPr>
            </w:pPr>
            <w:r>
              <w:rPr>
                <w:rFonts w:cs="Arial"/>
                <w:sz w:val="18"/>
                <w:szCs w:val="18"/>
              </w:rPr>
              <w:t>Tlaxcala Apizaco</w:t>
            </w:r>
          </w:p>
        </w:tc>
      </w:tr>
      <w:tr w:rsidR="00DB1C66" w14:paraId="7CF15AAE" w14:textId="77777777" w:rsidTr="00DB1C66">
        <w:trPr>
          <w:trHeight w:val="156"/>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6DE960CB" w14:textId="77777777" w:rsidR="00DB1C66" w:rsidRDefault="00DB1C66" w:rsidP="00B205BA">
            <w:pPr>
              <w:spacing w:after="120" w:line="240" w:lineRule="auto"/>
              <w:jc w:val="center"/>
              <w:rPr>
                <w:rFonts w:cs="Arial"/>
                <w:sz w:val="18"/>
                <w:szCs w:val="18"/>
              </w:rPr>
            </w:pPr>
            <w:r>
              <w:rPr>
                <w:rFonts w:cs="Arial"/>
                <w:sz w:val="18"/>
                <w:szCs w:val="18"/>
              </w:rPr>
              <w:t>10</w:t>
            </w:r>
          </w:p>
        </w:tc>
        <w:tc>
          <w:tcPr>
            <w:tcW w:w="2693" w:type="dxa"/>
            <w:tcBorders>
              <w:top w:val="single" w:sz="8" w:space="0" w:color="FFFFFF"/>
              <w:left w:val="single" w:sz="8" w:space="0" w:color="FFFFFF"/>
              <w:bottom w:val="single" w:sz="8" w:space="0" w:color="FFFFFF"/>
              <w:right w:val="single" w:sz="8" w:space="0" w:color="FFFFFF"/>
            </w:tcBorders>
            <w:shd w:val="clear" w:color="auto" w:fill="FFFF00"/>
            <w:tcMar>
              <w:top w:w="12" w:type="dxa"/>
              <w:left w:w="12" w:type="dxa"/>
              <w:bottom w:w="0" w:type="dxa"/>
              <w:right w:w="12" w:type="dxa"/>
            </w:tcMar>
            <w:vAlign w:val="center"/>
            <w:hideMark/>
          </w:tcPr>
          <w:p w14:paraId="2D334A3A" w14:textId="77777777" w:rsidR="00DB1C66" w:rsidRDefault="00DB1C66" w:rsidP="00B205BA">
            <w:pPr>
              <w:spacing w:after="120" w:line="240" w:lineRule="auto"/>
              <w:jc w:val="center"/>
              <w:rPr>
                <w:rFonts w:cs="Arial"/>
                <w:sz w:val="18"/>
                <w:szCs w:val="18"/>
              </w:rPr>
            </w:pPr>
            <w:r>
              <w:rPr>
                <w:rFonts w:cs="Arial"/>
                <w:sz w:val="18"/>
                <w:szCs w:val="18"/>
              </w:rPr>
              <w:t>Veracruz</w:t>
            </w:r>
          </w:p>
        </w:tc>
        <w:tc>
          <w:tcPr>
            <w:tcW w:w="155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23B35DED" w14:textId="77777777" w:rsidR="00DB1C66" w:rsidRDefault="00DB1C66" w:rsidP="00B205BA">
            <w:pPr>
              <w:spacing w:after="120" w:line="240" w:lineRule="auto"/>
              <w:jc w:val="center"/>
              <w:rPr>
                <w:rFonts w:cs="Arial"/>
                <w:sz w:val="18"/>
                <w:szCs w:val="18"/>
              </w:rPr>
            </w:pPr>
            <w:r>
              <w:rPr>
                <w:rFonts w:cs="Arial"/>
                <w:sz w:val="18"/>
                <w:szCs w:val="18"/>
              </w:rPr>
              <w:t>22</w:t>
            </w:r>
          </w:p>
        </w:tc>
        <w:tc>
          <w:tcPr>
            <w:tcW w:w="2254" w:type="dxa"/>
            <w:tcBorders>
              <w:top w:val="single" w:sz="8" w:space="0" w:color="FFFFFF"/>
              <w:left w:val="single" w:sz="8" w:space="0" w:color="FFFFFF"/>
              <w:bottom w:val="single" w:sz="8" w:space="0" w:color="FFFFFF"/>
              <w:right w:val="single" w:sz="8" w:space="0" w:color="FFFFFF"/>
            </w:tcBorders>
            <w:shd w:val="clear" w:color="auto" w:fill="FF0000"/>
            <w:tcMar>
              <w:top w:w="12" w:type="dxa"/>
              <w:left w:w="12" w:type="dxa"/>
              <w:bottom w:w="0" w:type="dxa"/>
              <w:right w:w="12" w:type="dxa"/>
            </w:tcMar>
            <w:vAlign w:val="center"/>
            <w:hideMark/>
          </w:tcPr>
          <w:p w14:paraId="3327122F" w14:textId="77777777" w:rsidR="00DB1C66" w:rsidRDefault="00DB1C66" w:rsidP="00B205BA">
            <w:pPr>
              <w:spacing w:after="120" w:line="240" w:lineRule="auto"/>
              <w:jc w:val="center"/>
              <w:rPr>
                <w:rFonts w:cs="Arial"/>
                <w:sz w:val="18"/>
                <w:szCs w:val="18"/>
              </w:rPr>
            </w:pPr>
            <w:r>
              <w:rPr>
                <w:rFonts w:cs="Arial"/>
                <w:sz w:val="18"/>
                <w:szCs w:val="18"/>
              </w:rPr>
              <w:t>Poza Rica</w:t>
            </w:r>
          </w:p>
        </w:tc>
      </w:tr>
      <w:tr w:rsidR="00DB1C66" w14:paraId="4784EAE6" w14:textId="77777777" w:rsidTr="00DB1C66">
        <w:trPr>
          <w:trHeight w:val="188"/>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5230BB99" w14:textId="77777777" w:rsidR="00DB1C66" w:rsidRDefault="00DB1C66" w:rsidP="00B205BA">
            <w:pPr>
              <w:spacing w:after="120" w:line="240" w:lineRule="auto"/>
              <w:jc w:val="center"/>
              <w:rPr>
                <w:rFonts w:cs="Arial"/>
                <w:sz w:val="18"/>
                <w:szCs w:val="18"/>
              </w:rPr>
            </w:pPr>
            <w:r>
              <w:rPr>
                <w:rFonts w:cs="Arial"/>
                <w:sz w:val="18"/>
                <w:szCs w:val="18"/>
              </w:rPr>
              <w:t>11</w:t>
            </w:r>
          </w:p>
        </w:tc>
        <w:tc>
          <w:tcPr>
            <w:tcW w:w="2693" w:type="dxa"/>
            <w:tcBorders>
              <w:top w:val="single" w:sz="8" w:space="0" w:color="FFFFFF"/>
              <w:left w:val="single" w:sz="8" w:space="0" w:color="FFFFFF"/>
              <w:bottom w:val="single" w:sz="8" w:space="0" w:color="FFFFFF"/>
              <w:right w:val="single" w:sz="8" w:space="0" w:color="FFFFFF"/>
            </w:tcBorders>
            <w:shd w:val="clear" w:color="auto" w:fill="FFFF00"/>
            <w:tcMar>
              <w:top w:w="12" w:type="dxa"/>
              <w:left w:w="12" w:type="dxa"/>
              <w:bottom w:w="0" w:type="dxa"/>
              <w:right w:w="12" w:type="dxa"/>
            </w:tcMar>
            <w:vAlign w:val="center"/>
            <w:hideMark/>
          </w:tcPr>
          <w:p w14:paraId="3299B61F" w14:textId="77777777" w:rsidR="00DB1C66" w:rsidRDefault="00DB1C66" w:rsidP="00B205BA">
            <w:pPr>
              <w:spacing w:after="120" w:line="240" w:lineRule="auto"/>
              <w:jc w:val="center"/>
              <w:rPr>
                <w:rFonts w:cs="Arial"/>
                <w:sz w:val="18"/>
                <w:szCs w:val="18"/>
              </w:rPr>
            </w:pPr>
            <w:r>
              <w:rPr>
                <w:rFonts w:cs="Arial"/>
                <w:sz w:val="18"/>
                <w:szCs w:val="18"/>
              </w:rPr>
              <w:t>Xalapa</w:t>
            </w:r>
          </w:p>
        </w:tc>
        <w:tc>
          <w:tcPr>
            <w:tcW w:w="1556" w:type="dxa"/>
            <w:tcBorders>
              <w:top w:val="single" w:sz="8" w:space="0" w:color="FFFFFF"/>
              <w:left w:val="single" w:sz="8" w:space="0" w:color="FFFFFF"/>
              <w:bottom w:val="single" w:sz="8" w:space="0" w:color="FFFFFF"/>
              <w:right w:val="single" w:sz="8" w:space="0" w:color="FFFFFF"/>
            </w:tcBorders>
            <w:shd w:val="clear" w:color="auto" w:fill="F2F2F2"/>
            <w:tcMar>
              <w:top w:w="12" w:type="dxa"/>
              <w:left w:w="12" w:type="dxa"/>
              <w:bottom w:w="0" w:type="dxa"/>
              <w:right w:w="12" w:type="dxa"/>
            </w:tcMar>
            <w:vAlign w:val="center"/>
            <w:hideMark/>
          </w:tcPr>
          <w:p w14:paraId="4DEC9F6C" w14:textId="77777777" w:rsidR="00DB1C66" w:rsidRDefault="00DB1C66" w:rsidP="00B205BA">
            <w:pPr>
              <w:spacing w:after="120" w:line="240" w:lineRule="auto"/>
              <w:jc w:val="center"/>
              <w:rPr>
                <w:rFonts w:cs="Arial"/>
                <w:sz w:val="18"/>
                <w:szCs w:val="18"/>
              </w:rPr>
            </w:pPr>
            <w:r>
              <w:rPr>
                <w:rFonts w:cs="Arial"/>
                <w:sz w:val="18"/>
                <w:szCs w:val="18"/>
              </w:rPr>
              <w:t>23</w:t>
            </w:r>
          </w:p>
        </w:tc>
        <w:tc>
          <w:tcPr>
            <w:tcW w:w="2254" w:type="dxa"/>
            <w:tcBorders>
              <w:top w:val="single" w:sz="8" w:space="0" w:color="FFFFFF"/>
              <w:left w:val="single" w:sz="8" w:space="0" w:color="FFFFFF"/>
              <w:bottom w:val="single" w:sz="8" w:space="0" w:color="FFFFFF"/>
              <w:right w:val="single" w:sz="8" w:space="0" w:color="FFFFFF"/>
            </w:tcBorders>
            <w:shd w:val="clear" w:color="auto" w:fill="FF0000"/>
            <w:tcMar>
              <w:top w:w="12" w:type="dxa"/>
              <w:left w:w="12" w:type="dxa"/>
              <w:bottom w:w="0" w:type="dxa"/>
              <w:right w:w="12" w:type="dxa"/>
            </w:tcMar>
            <w:vAlign w:val="center"/>
            <w:hideMark/>
          </w:tcPr>
          <w:p w14:paraId="09ACDC1D" w14:textId="77777777" w:rsidR="00DB1C66" w:rsidRDefault="00DB1C66" w:rsidP="00B205BA">
            <w:pPr>
              <w:spacing w:after="120" w:line="240" w:lineRule="auto"/>
              <w:jc w:val="center"/>
              <w:rPr>
                <w:rFonts w:cs="Arial"/>
                <w:sz w:val="18"/>
                <w:szCs w:val="18"/>
              </w:rPr>
            </w:pPr>
            <w:r>
              <w:rPr>
                <w:rFonts w:cs="Arial"/>
                <w:sz w:val="18"/>
                <w:szCs w:val="18"/>
              </w:rPr>
              <w:t>Cuautla</w:t>
            </w:r>
          </w:p>
        </w:tc>
      </w:tr>
      <w:tr w:rsidR="00DB1C66" w14:paraId="10BA0728" w14:textId="77777777" w:rsidTr="00DB1C66">
        <w:trPr>
          <w:jc w:val="center"/>
        </w:trPr>
        <w:tc>
          <w:tcPr>
            <w:tcW w:w="100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51345365" w14:textId="77777777" w:rsidR="00DB1C66" w:rsidRDefault="00DB1C66" w:rsidP="00B205BA">
            <w:pPr>
              <w:spacing w:after="120" w:line="240" w:lineRule="auto"/>
              <w:jc w:val="center"/>
              <w:rPr>
                <w:rFonts w:cs="Arial"/>
                <w:sz w:val="18"/>
                <w:szCs w:val="18"/>
              </w:rPr>
            </w:pPr>
            <w:r>
              <w:rPr>
                <w:rFonts w:cs="Arial"/>
                <w:sz w:val="18"/>
                <w:szCs w:val="18"/>
              </w:rPr>
              <w:t>12</w:t>
            </w:r>
          </w:p>
        </w:tc>
        <w:tc>
          <w:tcPr>
            <w:tcW w:w="2693" w:type="dxa"/>
            <w:tcBorders>
              <w:top w:val="single" w:sz="8" w:space="0" w:color="FFFFFF"/>
              <w:left w:val="single" w:sz="8" w:space="0" w:color="FFFFFF"/>
              <w:bottom w:val="single" w:sz="8" w:space="0" w:color="FFFFFF"/>
              <w:right w:val="single" w:sz="8" w:space="0" w:color="FFFFFF"/>
            </w:tcBorders>
            <w:shd w:val="clear" w:color="auto" w:fill="FFFF00"/>
            <w:tcMar>
              <w:top w:w="12" w:type="dxa"/>
              <w:left w:w="12" w:type="dxa"/>
              <w:bottom w:w="0" w:type="dxa"/>
              <w:right w:w="12" w:type="dxa"/>
            </w:tcMar>
            <w:vAlign w:val="center"/>
            <w:hideMark/>
          </w:tcPr>
          <w:p w14:paraId="5F701B5D" w14:textId="77777777" w:rsidR="00DB1C66" w:rsidRDefault="00DB1C66" w:rsidP="00B205BA">
            <w:pPr>
              <w:spacing w:after="120" w:line="240" w:lineRule="auto"/>
              <w:jc w:val="center"/>
              <w:rPr>
                <w:rFonts w:cs="Arial"/>
                <w:sz w:val="18"/>
                <w:szCs w:val="18"/>
              </w:rPr>
            </w:pPr>
            <w:r>
              <w:rPr>
                <w:rFonts w:cs="Arial"/>
                <w:sz w:val="18"/>
                <w:szCs w:val="18"/>
              </w:rPr>
              <w:t>Matamoros</w:t>
            </w:r>
          </w:p>
        </w:tc>
        <w:tc>
          <w:tcPr>
            <w:tcW w:w="155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6AD6982C" w14:textId="77777777" w:rsidR="00DB1C66" w:rsidRDefault="00DB1C66" w:rsidP="00B205BA">
            <w:pPr>
              <w:spacing w:after="120" w:line="240" w:lineRule="auto"/>
              <w:rPr>
                <w:rFonts w:cs="Arial"/>
                <w:sz w:val="18"/>
                <w:szCs w:val="18"/>
              </w:rPr>
            </w:pPr>
          </w:p>
        </w:tc>
        <w:tc>
          <w:tcPr>
            <w:tcW w:w="225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4598C493" w14:textId="77777777" w:rsidR="00DB1C66" w:rsidRDefault="00DB1C66" w:rsidP="00B205BA">
            <w:pPr>
              <w:spacing w:after="120" w:line="240" w:lineRule="auto"/>
              <w:rPr>
                <w:sz w:val="20"/>
                <w:szCs w:val="20"/>
                <w:lang w:eastAsia="es-ES_tradnl"/>
              </w:rPr>
            </w:pPr>
          </w:p>
        </w:tc>
      </w:tr>
    </w:tbl>
    <w:p w14:paraId="4BB15582" w14:textId="77777777" w:rsidR="00DB1C66" w:rsidRDefault="00DB1C66" w:rsidP="00B205BA">
      <w:pPr>
        <w:spacing w:after="120" w:line="240" w:lineRule="auto"/>
        <w:ind w:firstLine="708"/>
        <w:rPr>
          <w:rFonts w:cs="Arial"/>
          <w:sz w:val="16"/>
          <w:szCs w:val="16"/>
        </w:rPr>
      </w:pPr>
      <w:r>
        <w:rPr>
          <w:rFonts w:cs="Arial"/>
          <w:sz w:val="16"/>
          <w:szCs w:val="16"/>
        </w:rPr>
        <w:t xml:space="preserve">Fuente: Elaboración propia con datos del informe ICU 2023 del IMCO. </w:t>
      </w:r>
    </w:p>
    <w:p w14:paraId="08772FB2" w14:textId="77777777" w:rsidR="00DB1C66" w:rsidRDefault="00DB1C66" w:rsidP="00B205BA">
      <w:pPr>
        <w:spacing w:after="120" w:line="240" w:lineRule="auto"/>
        <w:rPr>
          <w:rFonts w:cs="Arial"/>
        </w:rPr>
      </w:pPr>
      <w:r>
        <w:rPr>
          <w:rFonts w:cs="Arial"/>
        </w:rPr>
        <w:t xml:space="preserve">En el subíndice </w:t>
      </w:r>
      <w:r>
        <w:rPr>
          <w:rFonts w:cs="Arial"/>
          <w:i/>
          <w:iCs/>
        </w:rPr>
        <w:t>Mercado de factores</w:t>
      </w:r>
      <w:r>
        <w:rPr>
          <w:rFonts w:cs="Arial"/>
        </w:rPr>
        <w:t xml:space="preserve">, Hermosillo obtuvo el cuarto lugar en su categoría, en la que destacan indicadores como producto medio del trabajo, jornadas laborales muy largas, empresas con más de 50 empleados e informalidad laboral, entre otros. También destacó en el subíndice </w:t>
      </w:r>
      <w:r>
        <w:rPr>
          <w:rFonts w:cs="Arial"/>
          <w:i/>
          <w:iCs/>
        </w:rPr>
        <w:t>Economía estable</w:t>
      </w:r>
      <w:r>
        <w:rPr>
          <w:rFonts w:cs="Arial"/>
        </w:rPr>
        <w:t xml:space="preserve">, donde se considera el tamaño del mercado hipotecario y el grado de diversificación económica del municipio.  </w:t>
      </w:r>
    </w:p>
    <w:p w14:paraId="5F6D6EF1" w14:textId="18A807F3" w:rsidR="00DB1C66" w:rsidRPr="00BD09D3" w:rsidRDefault="00BD09D3" w:rsidP="00B205BA">
      <w:pPr>
        <w:spacing w:after="120" w:line="240" w:lineRule="auto"/>
        <w:jc w:val="center"/>
        <w:rPr>
          <w:rFonts w:cs="Arial"/>
          <w:b/>
          <w:bCs/>
          <w:sz w:val="20"/>
          <w:szCs w:val="20"/>
        </w:rPr>
      </w:pPr>
      <w:r w:rsidRPr="00BD09D3">
        <w:rPr>
          <w:rFonts w:cs="Arial"/>
          <w:b/>
          <w:bCs/>
          <w:sz w:val="20"/>
          <w:szCs w:val="20"/>
        </w:rPr>
        <w:t>TABLA 4. POSICIONES DE LOS SUBÍNDICES DE HERMOSILLO</w:t>
      </w:r>
      <w:r w:rsidR="0086730D">
        <w:rPr>
          <w:rFonts w:cs="Arial"/>
          <w:b/>
          <w:bCs/>
          <w:sz w:val="20"/>
          <w:szCs w:val="20"/>
        </w:rPr>
        <w:t>.</w:t>
      </w:r>
    </w:p>
    <w:tbl>
      <w:tblPr>
        <w:tblStyle w:val="Tablaconcuadrculaclara"/>
        <w:tblW w:w="7225" w:type="dxa"/>
        <w:jc w:val="center"/>
        <w:tblLook w:val="0600" w:firstRow="0" w:lastRow="0" w:firstColumn="0" w:lastColumn="0" w:noHBand="1" w:noVBand="1"/>
      </w:tblPr>
      <w:tblGrid>
        <w:gridCol w:w="5807"/>
        <w:gridCol w:w="1418"/>
      </w:tblGrid>
      <w:tr w:rsidR="00DB1C66" w14:paraId="133F0FF4" w14:textId="77777777" w:rsidTr="00DB1C66">
        <w:trPr>
          <w:trHeight w:val="218"/>
          <w:jc w:val="center"/>
        </w:trPr>
        <w:tc>
          <w:tcPr>
            <w:tcW w:w="580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vAlign w:val="center"/>
            <w:hideMark/>
          </w:tcPr>
          <w:p w14:paraId="044604FF" w14:textId="77777777" w:rsidR="00DB1C66" w:rsidRDefault="00DB1C66" w:rsidP="00B205BA">
            <w:pPr>
              <w:spacing w:after="120" w:line="240" w:lineRule="auto"/>
              <w:jc w:val="center"/>
              <w:rPr>
                <w:rFonts w:cs="Arial"/>
                <w:sz w:val="18"/>
                <w:szCs w:val="18"/>
              </w:rPr>
            </w:pPr>
            <w:r>
              <w:rPr>
                <w:rFonts w:cs="Arial"/>
                <w:b/>
                <w:bCs/>
                <w:sz w:val="18"/>
                <w:szCs w:val="18"/>
              </w:rPr>
              <w:t>Subíndices de Hermosillo</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7D31" w:themeFill="accent2"/>
            <w:vAlign w:val="center"/>
            <w:hideMark/>
          </w:tcPr>
          <w:p w14:paraId="0D3A5E44" w14:textId="77777777" w:rsidR="00DB1C66" w:rsidRDefault="00DB1C66" w:rsidP="00B205BA">
            <w:pPr>
              <w:spacing w:after="120" w:line="240" w:lineRule="auto"/>
              <w:jc w:val="center"/>
              <w:rPr>
                <w:rFonts w:cs="Arial"/>
                <w:sz w:val="18"/>
                <w:szCs w:val="18"/>
              </w:rPr>
            </w:pPr>
            <w:r>
              <w:rPr>
                <w:rFonts w:cs="Arial"/>
                <w:b/>
                <w:bCs/>
                <w:sz w:val="18"/>
                <w:szCs w:val="18"/>
              </w:rPr>
              <w:t>Posición</w:t>
            </w:r>
          </w:p>
        </w:tc>
      </w:tr>
      <w:tr w:rsidR="00DB1C66" w14:paraId="003A7E44" w14:textId="77777777" w:rsidTr="00DB1C66">
        <w:trPr>
          <w:trHeight w:val="84"/>
          <w:jc w:val="center"/>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53AE6C" w14:textId="77777777" w:rsidR="00DB1C66" w:rsidRDefault="00DB1C66" w:rsidP="00B205BA">
            <w:pPr>
              <w:spacing w:after="120" w:line="240" w:lineRule="auto"/>
              <w:rPr>
                <w:rFonts w:cs="Arial"/>
                <w:sz w:val="18"/>
                <w:szCs w:val="18"/>
              </w:rPr>
            </w:pP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6575A93" w14:textId="77777777" w:rsidR="00DB1C66" w:rsidRDefault="00DB1C66" w:rsidP="00B205BA">
            <w:pPr>
              <w:spacing w:after="120" w:line="240" w:lineRule="auto"/>
              <w:jc w:val="center"/>
              <w:rPr>
                <w:rFonts w:cs="Arial"/>
                <w:color w:val="FFFFFF" w:themeColor="background1"/>
                <w:sz w:val="18"/>
                <w:szCs w:val="18"/>
              </w:rPr>
            </w:pPr>
            <w:r>
              <w:rPr>
                <w:rFonts w:cs="Arial"/>
                <w:b/>
                <w:bCs/>
                <w:color w:val="FFFFFF" w:themeColor="background1"/>
                <w:sz w:val="18"/>
                <w:szCs w:val="18"/>
              </w:rPr>
              <w:t>4</w:t>
            </w:r>
          </w:p>
        </w:tc>
      </w:tr>
      <w:tr w:rsidR="00DB1C66" w14:paraId="42FCE16C" w14:textId="77777777" w:rsidTr="00DB1C66">
        <w:trPr>
          <w:trHeight w:val="158"/>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0AA768" w14:textId="77777777" w:rsidR="00DB1C66" w:rsidRDefault="00DB1C66" w:rsidP="00B205BA">
            <w:pPr>
              <w:spacing w:after="120" w:line="240" w:lineRule="auto"/>
              <w:rPr>
                <w:rFonts w:cs="Arial"/>
                <w:sz w:val="18"/>
                <w:szCs w:val="18"/>
              </w:rPr>
            </w:pPr>
            <w:r>
              <w:rPr>
                <w:rFonts w:cs="Arial"/>
                <w:sz w:val="18"/>
                <w:szCs w:val="18"/>
              </w:rPr>
              <w:t>Sistema de derecho confiable y objetivo</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6C51D2C" w14:textId="77777777" w:rsidR="00DB1C66" w:rsidRDefault="00DB1C66" w:rsidP="00B205BA">
            <w:pPr>
              <w:spacing w:after="120" w:line="240" w:lineRule="auto"/>
              <w:jc w:val="center"/>
              <w:rPr>
                <w:rFonts w:cs="Arial"/>
                <w:sz w:val="18"/>
                <w:szCs w:val="18"/>
              </w:rPr>
            </w:pPr>
            <w:r>
              <w:rPr>
                <w:rFonts w:cs="Arial"/>
                <w:sz w:val="18"/>
                <w:szCs w:val="18"/>
              </w:rPr>
              <w:t>5</w:t>
            </w:r>
          </w:p>
        </w:tc>
      </w:tr>
      <w:tr w:rsidR="00DB1C66" w14:paraId="0AEDC523" w14:textId="77777777" w:rsidTr="00DB1C66">
        <w:trPr>
          <w:trHeight w:val="276"/>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60CE2A" w14:textId="77777777" w:rsidR="00DB1C66" w:rsidRDefault="00DB1C66" w:rsidP="00B205BA">
            <w:pPr>
              <w:spacing w:after="120" w:line="240" w:lineRule="auto"/>
              <w:rPr>
                <w:rFonts w:cs="Arial"/>
                <w:sz w:val="18"/>
                <w:szCs w:val="18"/>
              </w:rPr>
            </w:pPr>
            <w:r>
              <w:rPr>
                <w:rFonts w:cs="Arial"/>
                <w:sz w:val="18"/>
                <w:szCs w:val="18"/>
              </w:rPr>
              <w:t>Manejo sustentable del medio ambiente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ED20A9B" w14:textId="77777777" w:rsidR="00DB1C66" w:rsidRDefault="00DB1C66" w:rsidP="00B205BA">
            <w:pPr>
              <w:spacing w:after="120" w:line="240" w:lineRule="auto"/>
              <w:jc w:val="center"/>
              <w:rPr>
                <w:rFonts w:cs="Arial"/>
                <w:sz w:val="18"/>
                <w:szCs w:val="18"/>
              </w:rPr>
            </w:pPr>
            <w:r>
              <w:rPr>
                <w:rFonts w:cs="Arial"/>
                <w:sz w:val="18"/>
                <w:szCs w:val="18"/>
              </w:rPr>
              <w:t>9</w:t>
            </w:r>
          </w:p>
        </w:tc>
      </w:tr>
      <w:tr w:rsidR="00DB1C66" w14:paraId="2E568CCA" w14:textId="77777777" w:rsidTr="00DB1C66">
        <w:trPr>
          <w:trHeight w:val="266"/>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B087AF" w14:textId="77777777" w:rsidR="00DB1C66" w:rsidRDefault="00DB1C66" w:rsidP="00B205BA">
            <w:pPr>
              <w:spacing w:after="120" w:line="240" w:lineRule="auto"/>
              <w:rPr>
                <w:rFonts w:cs="Arial"/>
                <w:sz w:val="18"/>
                <w:szCs w:val="18"/>
              </w:rPr>
            </w:pPr>
            <w:r>
              <w:rPr>
                <w:rFonts w:cs="Arial"/>
                <w:sz w:val="18"/>
                <w:szCs w:val="18"/>
              </w:rPr>
              <w:t>Sistema político estable y funcional</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55238B7" w14:textId="77777777" w:rsidR="00DB1C66" w:rsidRDefault="00DB1C66" w:rsidP="00B205BA">
            <w:pPr>
              <w:spacing w:after="120" w:line="240" w:lineRule="auto"/>
              <w:jc w:val="center"/>
              <w:rPr>
                <w:rFonts w:cs="Arial"/>
                <w:sz w:val="18"/>
                <w:szCs w:val="18"/>
              </w:rPr>
            </w:pPr>
            <w:r>
              <w:rPr>
                <w:rFonts w:cs="Arial"/>
                <w:sz w:val="18"/>
                <w:szCs w:val="18"/>
              </w:rPr>
              <w:t>15</w:t>
            </w:r>
          </w:p>
        </w:tc>
      </w:tr>
      <w:tr w:rsidR="00DB1C66" w14:paraId="3B6313C1" w14:textId="77777777" w:rsidTr="00DB1C66">
        <w:trPr>
          <w:trHeight w:val="270"/>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63DFB9" w14:textId="77777777" w:rsidR="00DB1C66" w:rsidRDefault="00DB1C66" w:rsidP="00B205BA">
            <w:pPr>
              <w:spacing w:after="120" w:line="240" w:lineRule="auto"/>
              <w:rPr>
                <w:rFonts w:cs="Arial"/>
                <w:sz w:val="18"/>
                <w:szCs w:val="18"/>
              </w:rPr>
            </w:pPr>
            <w:r>
              <w:rPr>
                <w:rFonts w:cs="Arial"/>
                <w:sz w:val="18"/>
                <w:szCs w:val="18"/>
              </w:rPr>
              <w:t>Sociedad incluyente, preparada y sana</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8A9AD8" w14:textId="77777777" w:rsidR="00DB1C66" w:rsidRDefault="00DB1C66" w:rsidP="00B205BA">
            <w:pPr>
              <w:spacing w:after="120" w:line="240" w:lineRule="auto"/>
              <w:jc w:val="center"/>
              <w:rPr>
                <w:rFonts w:cs="Arial"/>
                <w:sz w:val="18"/>
                <w:szCs w:val="18"/>
              </w:rPr>
            </w:pPr>
            <w:r>
              <w:rPr>
                <w:rFonts w:cs="Arial"/>
                <w:sz w:val="18"/>
                <w:szCs w:val="18"/>
              </w:rPr>
              <w:t>4</w:t>
            </w:r>
          </w:p>
        </w:tc>
      </w:tr>
      <w:tr w:rsidR="00DB1C66" w14:paraId="2A8D7A1D" w14:textId="77777777" w:rsidTr="00DB1C66">
        <w:trPr>
          <w:trHeight w:val="274"/>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F9B14C" w14:textId="77777777" w:rsidR="00DB1C66" w:rsidRDefault="00DB1C66" w:rsidP="00B205BA">
            <w:pPr>
              <w:spacing w:after="120" w:line="240" w:lineRule="auto"/>
              <w:rPr>
                <w:rFonts w:cs="Arial"/>
                <w:sz w:val="18"/>
                <w:szCs w:val="18"/>
              </w:rPr>
            </w:pPr>
            <w:r>
              <w:rPr>
                <w:rFonts w:cs="Arial"/>
                <w:sz w:val="18"/>
                <w:szCs w:val="18"/>
              </w:rPr>
              <w:t>Aprovechamiento de las relaciones internacionales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01396D0" w14:textId="77777777" w:rsidR="00DB1C66" w:rsidRDefault="00DB1C66" w:rsidP="00B205BA">
            <w:pPr>
              <w:spacing w:after="120" w:line="240" w:lineRule="auto"/>
              <w:jc w:val="center"/>
              <w:rPr>
                <w:rFonts w:cs="Arial"/>
                <w:sz w:val="18"/>
                <w:szCs w:val="18"/>
              </w:rPr>
            </w:pPr>
            <w:r>
              <w:rPr>
                <w:rFonts w:cs="Arial"/>
                <w:sz w:val="18"/>
                <w:szCs w:val="18"/>
              </w:rPr>
              <w:t>11</w:t>
            </w:r>
          </w:p>
        </w:tc>
      </w:tr>
      <w:tr w:rsidR="00DB1C66" w14:paraId="42876B78" w14:textId="77777777" w:rsidTr="00DB1C66">
        <w:trPr>
          <w:trHeight w:val="136"/>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926821" w14:textId="77777777" w:rsidR="00DB1C66" w:rsidRDefault="00DB1C66" w:rsidP="00B205BA">
            <w:pPr>
              <w:spacing w:after="120" w:line="240" w:lineRule="auto"/>
              <w:rPr>
                <w:rFonts w:cs="Arial"/>
                <w:sz w:val="18"/>
                <w:szCs w:val="18"/>
              </w:rPr>
            </w:pPr>
            <w:r>
              <w:rPr>
                <w:rFonts w:cs="Arial"/>
                <w:sz w:val="18"/>
                <w:szCs w:val="18"/>
              </w:rPr>
              <w:t>Gobiernos eficientes y eficaces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BB1794D" w14:textId="77777777" w:rsidR="00DB1C66" w:rsidRDefault="00DB1C66" w:rsidP="00B205BA">
            <w:pPr>
              <w:spacing w:after="120" w:line="240" w:lineRule="auto"/>
              <w:jc w:val="center"/>
              <w:rPr>
                <w:rFonts w:cs="Arial"/>
                <w:sz w:val="18"/>
                <w:szCs w:val="18"/>
              </w:rPr>
            </w:pPr>
            <w:r>
              <w:rPr>
                <w:rFonts w:cs="Arial"/>
                <w:sz w:val="18"/>
                <w:szCs w:val="18"/>
              </w:rPr>
              <w:t>7</w:t>
            </w:r>
          </w:p>
        </w:tc>
      </w:tr>
      <w:tr w:rsidR="00DB1C66" w14:paraId="08DE7A28" w14:textId="77777777" w:rsidTr="00DB1C66">
        <w:trPr>
          <w:trHeight w:val="210"/>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32B508" w14:textId="77777777" w:rsidR="00DB1C66" w:rsidRDefault="00DB1C66" w:rsidP="00B205BA">
            <w:pPr>
              <w:spacing w:after="120" w:line="240" w:lineRule="auto"/>
              <w:rPr>
                <w:rFonts w:cs="Arial"/>
                <w:sz w:val="18"/>
                <w:szCs w:val="18"/>
              </w:rPr>
            </w:pPr>
            <w:r>
              <w:rPr>
                <w:rFonts w:cs="Arial"/>
                <w:sz w:val="18"/>
                <w:szCs w:val="18"/>
              </w:rPr>
              <w:t>Mercado de factores eficiente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457D6F7" w14:textId="77777777" w:rsidR="00DB1C66" w:rsidRDefault="00DB1C66" w:rsidP="00B205BA">
            <w:pPr>
              <w:spacing w:after="120" w:line="240" w:lineRule="auto"/>
              <w:jc w:val="center"/>
              <w:rPr>
                <w:rFonts w:cs="Arial"/>
                <w:sz w:val="18"/>
                <w:szCs w:val="18"/>
              </w:rPr>
            </w:pPr>
            <w:r>
              <w:rPr>
                <w:rFonts w:cs="Arial"/>
                <w:sz w:val="18"/>
                <w:szCs w:val="18"/>
              </w:rPr>
              <w:t>4</w:t>
            </w:r>
          </w:p>
        </w:tc>
      </w:tr>
      <w:tr w:rsidR="00DB1C66" w14:paraId="3E729B05" w14:textId="77777777" w:rsidTr="00DB1C66">
        <w:trPr>
          <w:trHeight w:val="218"/>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A00FB64" w14:textId="77777777" w:rsidR="00DB1C66" w:rsidRDefault="00DB1C66" w:rsidP="00B205BA">
            <w:pPr>
              <w:spacing w:after="120" w:line="240" w:lineRule="auto"/>
              <w:rPr>
                <w:rFonts w:cs="Arial"/>
                <w:sz w:val="18"/>
                <w:szCs w:val="18"/>
              </w:rPr>
            </w:pPr>
            <w:r>
              <w:rPr>
                <w:rFonts w:cs="Arial"/>
                <w:sz w:val="18"/>
                <w:szCs w:val="18"/>
              </w:rPr>
              <w:t>Economía estable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2B90145" w14:textId="77777777" w:rsidR="00DB1C66" w:rsidRDefault="00DB1C66" w:rsidP="00B205BA">
            <w:pPr>
              <w:spacing w:after="120" w:line="240" w:lineRule="auto"/>
              <w:jc w:val="center"/>
              <w:rPr>
                <w:rFonts w:cs="Arial"/>
                <w:sz w:val="18"/>
                <w:szCs w:val="18"/>
              </w:rPr>
            </w:pPr>
            <w:r>
              <w:rPr>
                <w:rFonts w:cs="Arial"/>
                <w:sz w:val="18"/>
                <w:szCs w:val="18"/>
              </w:rPr>
              <w:t>4</w:t>
            </w:r>
          </w:p>
        </w:tc>
      </w:tr>
      <w:tr w:rsidR="00DB1C66" w14:paraId="0136E867" w14:textId="77777777" w:rsidTr="00DB1C66">
        <w:trPr>
          <w:trHeight w:val="204"/>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DB1D878" w14:textId="77777777" w:rsidR="00DB1C66" w:rsidRDefault="00DB1C66" w:rsidP="00B205BA">
            <w:pPr>
              <w:spacing w:after="120" w:line="240" w:lineRule="auto"/>
              <w:rPr>
                <w:rFonts w:cs="Arial"/>
                <w:sz w:val="18"/>
                <w:szCs w:val="18"/>
              </w:rPr>
            </w:pPr>
            <w:r>
              <w:rPr>
                <w:rFonts w:cs="Arial"/>
                <w:sz w:val="18"/>
                <w:szCs w:val="18"/>
              </w:rPr>
              <w:t>Innovación de los sectores económicos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3ACA62A3" w14:textId="77777777" w:rsidR="00DB1C66" w:rsidRDefault="00DB1C66" w:rsidP="00B205BA">
            <w:pPr>
              <w:spacing w:after="120" w:line="240" w:lineRule="auto"/>
              <w:jc w:val="center"/>
              <w:rPr>
                <w:rFonts w:cs="Arial"/>
                <w:sz w:val="18"/>
                <w:szCs w:val="18"/>
              </w:rPr>
            </w:pPr>
            <w:r>
              <w:rPr>
                <w:rFonts w:cs="Arial"/>
                <w:sz w:val="18"/>
                <w:szCs w:val="18"/>
              </w:rPr>
              <w:t>5</w:t>
            </w:r>
          </w:p>
        </w:tc>
      </w:tr>
      <w:tr w:rsidR="00DB1C66" w14:paraId="25D35040" w14:textId="77777777" w:rsidTr="00DB1C66">
        <w:trPr>
          <w:trHeight w:val="279"/>
          <w:jc w:val="center"/>
        </w:trPr>
        <w:tc>
          <w:tcPr>
            <w:tcW w:w="5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7E5B16" w14:textId="77777777" w:rsidR="00DB1C66" w:rsidRDefault="00DB1C66" w:rsidP="00B205BA">
            <w:pPr>
              <w:spacing w:after="120" w:line="240" w:lineRule="auto"/>
              <w:rPr>
                <w:rFonts w:cs="Arial"/>
                <w:sz w:val="18"/>
                <w:szCs w:val="18"/>
              </w:rPr>
            </w:pPr>
            <w:r>
              <w:rPr>
                <w:rFonts w:cs="Arial"/>
                <w:sz w:val="18"/>
                <w:szCs w:val="18"/>
              </w:rPr>
              <w:t>Sectores precursores de clase mundial</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4792027" w14:textId="77777777" w:rsidR="00DB1C66" w:rsidRDefault="00DB1C66" w:rsidP="00B205BA">
            <w:pPr>
              <w:spacing w:after="120" w:line="240" w:lineRule="auto"/>
              <w:jc w:val="center"/>
              <w:rPr>
                <w:rFonts w:cs="Arial"/>
                <w:sz w:val="18"/>
                <w:szCs w:val="18"/>
              </w:rPr>
            </w:pPr>
            <w:r>
              <w:rPr>
                <w:rFonts w:cs="Arial"/>
                <w:sz w:val="18"/>
                <w:szCs w:val="18"/>
              </w:rPr>
              <w:t>13</w:t>
            </w:r>
          </w:p>
        </w:tc>
      </w:tr>
    </w:tbl>
    <w:p w14:paraId="36BA5B70" w14:textId="77777777" w:rsidR="00DB1C66" w:rsidRDefault="00DB1C66" w:rsidP="00B205BA">
      <w:pPr>
        <w:spacing w:after="120" w:line="240" w:lineRule="auto"/>
        <w:rPr>
          <w:rFonts w:cs="Arial"/>
          <w:sz w:val="16"/>
          <w:szCs w:val="16"/>
        </w:rPr>
      </w:pPr>
      <w:r>
        <w:rPr>
          <w:rFonts w:cs="Arial"/>
          <w:sz w:val="16"/>
          <w:szCs w:val="16"/>
        </w:rPr>
        <w:t xml:space="preserve"> </w:t>
      </w:r>
      <w:r>
        <w:rPr>
          <w:rFonts w:cs="Arial"/>
          <w:sz w:val="16"/>
          <w:szCs w:val="16"/>
        </w:rPr>
        <w:tab/>
        <w:t xml:space="preserve">  Fuente: Elaboración propia con datos del informe </w:t>
      </w:r>
      <w:r>
        <w:rPr>
          <w:rFonts w:cs="Arial"/>
          <w:i/>
          <w:iCs/>
          <w:sz w:val="16"/>
          <w:szCs w:val="16"/>
        </w:rPr>
        <w:t>Índice de Competitividad Urbana 2023</w:t>
      </w:r>
      <w:r>
        <w:rPr>
          <w:rFonts w:cs="Arial"/>
          <w:sz w:val="16"/>
          <w:szCs w:val="16"/>
        </w:rPr>
        <w:t xml:space="preserve"> (IMCO, 2023).</w:t>
      </w:r>
    </w:p>
    <w:p w14:paraId="5989DC29" w14:textId="77777777" w:rsidR="006F191D" w:rsidRDefault="006F191D" w:rsidP="00B205BA">
      <w:pPr>
        <w:spacing w:after="120" w:line="240" w:lineRule="auto"/>
        <w:rPr>
          <w:rFonts w:cs="Arial"/>
          <w:sz w:val="16"/>
          <w:szCs w:val="16"/>
        </w:rPr>
      </w:pPr>
    </w:p>
    <w:p w14:paraId="4D8408D6" w14:textId="6A9E0DC3" w:rsidR="00DB1C66" w:rsidRDefault="00DB1C66" w:rsidP="00B205BA">
      <w:pPr>
        <w:spacing w:after="120" w:line="240" w:lineRule="auto"/>
        <w:rPr>
          <w:rFonts w:cs="Arial"/>
          <w:b/>
          <w:bCs/>
        </w:rPr>
      </w:pPr>
      <w:r>
        <w:rPr>
          <w:rFonts w:cs="Arial"/>
          <w:b/>
          <w:bCs/>
        </w:rPr>
        <w:t>Competitividad empresarial</w:t>
      </w:r>
      <w:r w:rsidR="00261A27">
        <w:rPr>
          <w:rFonts w:cs="Arial"/>
          <w:b/>
          <w:bCs/>
        </w:rPr>
        <w:t>.</w:t>
      </w:r>
    </w:p>
    <w:p w14:paraId="5D53DB39" w14:textId="77777777" w:rsidR="00DB1C66" w:rsidRDefault="00DB1C66" w:rsidP="00B205BA">
      <w:pPr>
        <w:spacing w:after="120" w:line="240" w:lineRule="auto"/>
        <w:rPr>
          <w:rFonts w:cs="Arial"/>
        </w:rPr>
      </w:pPr>
      <w:r>
        <w:rPr>
          <w:rFonts w:cs="Arial"/>
        </w:rPr>
        <w:t>La Agencia Municipal de Desarrollo Económico (AMDE) fue creada en Hermosillo en 2021 como parte de un compromiso del presidente municipal Antonio Astiazarán Gutiérrez, en respuesta a una iniciativa de la comunidad empresarial. La misión de esta agencia es impulsar la competitividad y el empleo para consolidar a Hermosillo como un destino atractivo para la inversión y el emprendimiento en el noroeste de México. Trabaja en cuatro áreas clave: promoción económica y atención a inversionistas, desarrollo de proveedores, fomento del emprendimiento y fortalecimiento turístico.</w:t>
      </w:r>
    </w:p>
    <w:p w14:paraId="750DFF9B" w14:textId="77777777" w:rsidR="00DB1C66" w:rsidRDefault="00DB1C66" w:rsidP="00B205BA">
      <w:pPr>
        <w:spacing w:after="120" w:line="240" w:lineRule="auto"/>
        <w:rPr>
          <w:rFonts w:cs="Arial"/>
        </w:rPr>
      </w:pPr>
      <w:r>
        <w:rPr>
          <w:rFonts w:cs="Arial"/>
        </w:rPr>
        <w:t xml:space="preserve">Bajo la </w:t>
      </w:r>
      <w:r w:rsidRPr="006F191D">
        <w:rPr>
          <w:rFonts w:cs="Arial"/>
        </w:rPr>
        <w:t>marca</w:t>
      </w:r>
      <w:r>
        <w:rPr>
          <w:rFonts w:cs="Arial"/>
        </w:rPr>
        <w:t xml:space="preserve"> "Hermosillo sin Límites", la ciudad se posiciona activamente en mercados nacionales e internacionales, con presencia en eventos importantes en ciudades de México, Estados Unidos y Alemania. Posee un sitio web específico para atender a inversionistas, el cual ha atraído visitas de múltiples países. Además, se estableció el Comité de Promoción Económica y Desarrollo de Proveedores, integrado por empresarios, universidades y organismos locales, para definir la propuesta de valor de la ciudad y analizar las mejores prácticas de promoción económica.</w:t>
      </w:r>
    </w:p>
    <w:p w14:paraId="3513DEB6" w14:textId="77777777" w:rsidR="00DB1C66" w:rsidRDefault="00DB1C66" w:rsidP="00B205BA">
      <w:pPr>
        <w:spacing w:after="120" w:line="240" w:lineRule="auto"/>
        <w:rPr>
          <w:rFonts w:cs="Arial"/>
        </w:rPr>
      </w:pPr>
      <w:r>
        <w:rPr>
          <w:rFonts w:cs="Arial"/>
        </w:rPr>
        <w:t xml:space="preserve">Aunado a ello, con el lanzamiento del programa "Hermosillo Conecta", se contribuye a fomentar los negocios locales a través de encuentros con grandes empresas nacionales e </w:t>
      </w:r>
      <w:r>
        <w:rPr>
          <w:rFonts w:cs="Arial"/>
        </w:rPr>
        <w:lastRenderedPageBreak/>
        <w:t>internacionales, con una significativa participación que incluyó 10 encuentros de negocios, 341 empresas proveedoras y más de 1600 citas de negocios. Como resultado, las PyME locales reportaron un crecimiento de ventas de 70 % y un aumento en empleos de 20 %.</w:t>
      </w:r>
    </w:p>
    <w:p w14:paraId="5653BA44" w14:textId="77777777" w:rsidR="00DB1C66" w:rsidRDefault="00DB1C66" w:rsidP="00B205BA">
      <w:pPr>
        <w:spacing w:after="120" w:line="240" w:lineRule="auto"/>
        <w:rPr>
          <w:rFonts w:cs="Arial"/>
        </w:rPr>
      </w:pPr>
      <w:r>
        <w:rPr>
          <w:rFonts w:cs="Arial"/>
        </w:rPr>
        <w:t>A través de la agencia, se cuenta con un Centro Municipal del Emprendedor, en el cual se brinda capacitación y apoyo a emprendedores mediante programas como "MaxiApoyo" para mujeres jefas de familia, quienes reciben formación y acceso a créditos sin intereses. Otro programa destacado es "Hermosillo 47", una competencia para micro, pequeñas y medianas empresas con eventos de mentoría y premios en efectivo que fomentan el crecimiento de los negocios.</w:t>
      </w:r>
    </w:p>
    <w:p w14:paraId="651DADD9" w14:textId="77777777" w:rsidR="00DB1C66" w:rsidRDefault="00DB1C66" w:rsidP="00B205BA">
      <w:pPr>
        <w:spacing w:after="120" w:line="240" w:lineRule="auto"/>
        <w:rPr>
          <w:rFonts w:cs="Arial"/>
        </w:rPr>
      </w:pPr>
      <w:r>
        <w:rPr>
          <w:rFonts w:cs="Arial"/>
        </w:rPr>
        <w:t>Con igual objetivo, la creación y fortalecimiento de los eventos "Viactiva", "Festival del Globo" y "Kinofest", se apoya el desarrollo turístico, con lo que se genera una importante derrama económica para Hermosillo. Adicionalmente, programas como el Trolebús y la Policía Turística buscan profesionalizar la experiencia de los visitantes y consolidar a la ciudad como destino turístico.</w:t>
      </w:r>
    </w:p>
    <w:p w14:paraId="3EA3544B" w14:textId="30291DC6" w:rsidR="00DB1C66" w:rsidRDefault="00DB1C66" w:rsidP="00B205BA">
      <w:pPr>
        <w:spacing w:after="120" w:line="240" w:lineRule="auto"/>
        <w:rPr>
          <w:rFonts w:cs="Arial"/>
        </w:rPr>
      </w:pPr>
      <w:r>
        <w:rPr>
          <w:rFonts w:cs="Arial"/>
        </w:rPr>
        <w:t xml:space="preserve">En este marco, con el objetivo de mantener a Hermosillo en los primeros lugares del Índice de Competitividad Urbana y fomentar el crecimiento del empleo y las empresas locales, se integraron dos nuevas direcciones municipales: </w:t>
      </w:r>
      <w:r w:rsidR="000F55D3">
        <w:rPr>
          <w:rFonts w:cs="Arial"/>
        </w:rPr>
        <w:t xml:space="preserve">Ordenamiento y </w:t>
      </w:r>
      <w:r>
        <w:rPr>
          <w:rFonts w:cs="Arial"/>
        </w:rPr>
        <w:t>Desarrollo Urbano e Inspección y Vigilancia. Estas dos áreas refuerzan la estrategia de promoción del empleo formal y el desarrollo económico en la ciudad.</w:t>
      </w:r>
    </w:p>
    <w:p w14:paraId="1AE5A1C2" w14:textId="290C28E3" w:rsidR="00DB1C66" w:rsidRDefault="00DB1C66" w:rsidP="00B205BA">
      <w:pPr>
        <w:spacing w:after="120" w:line="240" w:lineRule="auto"/>
        <w:rPr>
          <w:rFonts w:cs="Arial"/>
        </w:rPr>
      </w:pPr>
      <w:r>
        <w:rPr>
          <w:rFonts w:cs="Arial"/>
        </w:rPr>
        <w:t>La Dirección</w:t>
      </w:r>
      <w:r w:rsidR="000F55D3">
        <w:rPr>
          <w:rFonts w:cs="Arial"/>
        </w:rPr>
        <w:t xml:space="preserve"> General de Ordenamiento y</w:t>
      </w:r>
      <w:r>
        <w:rPr>
          <w:rFonts w:cs="Arial"/>
        </w:rPr>
        <w:t xml:space="preserve"> Desarrollo Urbano tiene como reto impulsar la competitividad económica de Hermosillo respetando el medio ambiente y orientando el crecimiento tanto de áreas urbanas como rurales hacia un mayor bienestar social. También se enfoca en consolidar el uso de plataformas digitales para la gestión de trámites de desarrollo urbano, priorizando la transparencia, la simplificación de procesos y el cumplimiento normativo. Finalmente, promueve el ordenamiento y planeación territorial, esenciales para un crecimiento urbano eficiente y sostenible.</w:t>
      </w:r>
    </w:p>
    <w:p w14:paraId="767B4127" w14:textId="1209176C" w:rsidR="00DB1C66" w:rsidRDefault="00DB1C66" w:rsidP="00B205BA">
      <w:pPr>
        <w:spacing w:after="120" w:line="240" w:lineRule="auto"/>
        <w:rPr>
          <w:rFonts w:cs="Arial"/>
        </w:rPr>
      </w:pPr>
      <w:r>
        <w:rPr>
          <w:rFonts w:cs="Arial"/>
        </w:rPr>
        <w:t xml:space="preserve">Por su parte, la Dirección </w:t>
      </w:r>
      <w:r w:rsidR="000F55D3">
        <w:rPr>
          <w:rFonts w:cs="Arial"/>
        </w:rPr>
        <w:t xml:space="preserve">General </w:t>
      </w:r>
      <w:r>
        <w:rPr>
          <w:rFonts w:cs="Arial"/>
        </w:rPr>
        <w:t xml:space="preserve">de Inspección y Vigilancia </w:t>
      </w:r>
      <w:r w:rsidR="000F55D3">
        <w:rPr>
          <w:rFonts w:cs="Arial"/>
        </w:rPr>
        <w:t>tiene por objeto</w:t>
      </w:r>
      <w:r>
        <w:rPr>
          <w:rFonts w:cs="Arial"/>
        </w:rPr>
        <w:t xml:space="preserve"> fortalecer la seguridad de los establecimientos mediante la verificación del cumplimiento de las normativas aplicables a las actividades productivas, de servicio, salud y ordenamiento territorial, con el fin de prevenir riesgos y corregir irregularidades. También se enfoca en mejorar los sistemas de atención electrónica y presencial, con políticas inclusivas que facilitan los trámites a ciudadanos, empresas y organizaciones, y ofrecen un servicio eficiente y accesible para todas las personas.</w:t>
      </w:r>
    </w:p>
    <w:p w14:paraId="717F5F6A" w14:textId="77777777" w:rsidR="00DB1C66" w:rsidRDefault="00DB1C66" w:rsidP="00B205BA">
      <w:pPr>
        <w:spacing w:after="120" w:line="240" w:lineRule="auto"/>
        <w:rPr>
          <w:rFonts w:cs="Arial"/>
        </w:rPr>
      </w:pPr>
      <w:r>
        <w:rPr>
          <w:rFonts w:cs="Arial"/>
        </w:rPr>
        <w:t xml:space="preserve">Con esta nueva estructura, el municipio continúa implementando el Programa de Mejora Regulatoria. Además, pronto se pondrá en marcha el Programa de Incentivos a la Construcción de Vivienda Económica y se impulsará la Zona Económica Especial del Centro Histórico. Esto, mediante el diseño de un plan parcial de desarrollo para esta área, con normas e incentivos específicos que estimularán la inversión del sector privado y favorecerán la revitalización del centro de la ciudad. </w:t>
      </w:r>
    </w:p>
    <w:p w14:paraId="3E7C553A" w14:textId="77777777" w:rsidR="00DB1C66" w:rsidRDefault="00DB1C66" w:rsidP="00B205BA">
      <w:pPr>
        <w:spacing w:after="120" w:line="240" w:lineRule="auto"/>
        <w:rPr>
          <w:rFonts w:cs="Arial"/>
        </w:rPr>
      </w:pPr>
      <w:r>
        <w:rPr>
          <w:rFonts w:cs="Arial"/>
        </w:rPr>
        <w:t>Estas iniciativas consolidan el compromiso del Gobierno Municipal con el desarrollo sostenible y altos estándares de competitividad urbana de Hermosillo.</w:t>
      </w:r>
    </w:p>
    <w:p w14:paraId="42DE6551" w14:textId="77777777" w:rsidR="00DB1C66" w:rsidRDefault="00DB1C66" w:rsidP="00B205BA">
      <w:pPr>
        <w:spacing w:after="120" w:line="240" w:lineRule="auto"/>
        <w:rPr>
          <w:rFonts w:cs="Arial"/>
          <w:sz w:val="16"/>
          <w:szCs w:val="16"/>
        </w:rPr>
      </w:pPr>
    </w:p>
    <w:p w14:paraId="73623456" w14:textId="68FA0C1D" w:rsidR="002D3DD6" w:rsidRDefault="002D3DD6" w:rsidP="00B205BA">
      <w:pPr>
        <w:spacing w:after="120" w:line="240" w:lineRule="auto"/>
        <w:rPr>
          <w:rFonts w:cs="Arial"/>
          <w:b/>
          <w:bCs/>
          <w:color w:val="000000" w:themeColor="text1"/>
          <w:kern w:val="24"/>
          <w:sz w:val="24"/>
          <w:szCs w:val="24"/>
        </w:rPr>
      </w:pPr>
    </w:p>
    <w:p w14:paraId="7582E7EE" w14:textId="77777777" w:rsidR="00983F12" w:rsidRDefault="00983F12" w:rsidP="00B205BA">
      <w:pPr>
        <w:spacing w:after="120" w:line="240" w:lineRule="auto"/>
        <w:rPr>
          <w:rFonts w:cs="Arial"/>
          <w:b/>
          <w:bCs/>
          <w:color w:val="000000" w:themeColor="text1"/>
          <w:kern w:val="24"/>
          <w:sz w:val="24"/>
          <w:szCs w:val="24"/>
        </w:rPr>
      </w:pPr>
    </w:p>
    <w:p w14:paraId="726BFF84" w14:textId="77777777" w:rsidR="00013F4A" w:rsidRDefault="00013F4A" w:rsidP="00B205BA">
      <w:pPr>
        <w:spacing w:after="120" w:line="240" w:lineRule="auto"/>
        <w:rPr>
          <w:rFonts w:cs="Arial"/>
          <w:b/>
          <w:bCs/>
          <w:color w:val="000000" w:themeColor="text1"/>
          <w:kern w:val="24"/>
          <w:sz w:val="24"/>
          <w:szCs w:val="24"/>
        </w:rPr>
      </w:pPr>
    </w:p>
    <w:p w14:paraId="0B526338" w14:textId="77777777" w:rsidR="00013F4A" w:rsidRPr="00A13BDA" w:rsidRDefault="00013F4A" w:rsidP="00013F4A">
      <w:pPr>
        <w:spacing w:after="120" w:line="240" w:lineRule="auto"/>
        <w:rPr>
          <w:rFonts w:cs="Arial"/>
          <w:b/>
          <w:bCs/>
          <w:sz w:val="28"/>
          <w:szCs w:val="28"/>
        </w:rPr>
      </w:pPr>
      <w:r w:rsidRPr="00A13BDA">
        <w:rPr>
          <w:rFonts w:cs="Arial"/>
          <w:b/>
          <w:bCs/>
          <w:sz w:val="28"/>
          <w:szCs w:val="28"/>
        </w:rPr>
        <w:lastRenderedPageBreak/>
        <w:t>RETOS, ESTRATEGIAS Y LINEAS DE ACCIÓN</w:t>
      </w:r>
    </w:p>
    <w:p w14:paraId="77646CEA" w14:textId="77777777" w:rsidR="008D52BB" w:rsidRPr="008D52BB" w:rsidRDefault="008D52BB" w:rsidP="00B205BA">
      <w:pPr>
        <w:spacing w:after="120" w:line="240" w:lineRule="auto"/>
        <w:rPr>
          <w:rFonts w:cs="Arial"/>
          <w:b/>
          <w:bCs/>
        </w:rPr>
      </w:pPr>
      <w:r w:rsidRPr="008D52BB">
        <w:rPr>
          <w:rFonts w:cs="Arial"/>
          <w:b/>
          <w:bCs/>
        </w:rPr>
        <w:t>Reto 3.1. Promover la competitividad económica de acuerdo con la vocación de las localidades urbanas y rurales del municipio de Hermosillo, respetando el medio ambiente para generar bienestar social.</w:t>
      </w:r>
    </w:p>
    <w:p w14:paraId="62B3553A" w14:textId="77777777" w:rsidR="008D52BB" w:rsidRPr="008D52BB" w:rsidRDefault="008D52BB" w:rsidP="00B205BA">
      <w:pPr>
        <w:spacing w:after="120" w:line="240" w:lineRule="auto"/>
        <w:rPr>
          <w:rFonts w:cs="Arial"/>
          <w:b/>
          <w:bCs/>
        </w:rPr>
      </w:pPr>
      <w:r w:rsidRPr="008D52BB">
        <w:rPr>
          <w:rFonts w:cs="Arial"/>
          <w:b/>
          <w:bCs/>
        </w:rPr>
        <w:t xml:space="preserve">Estrategia 3.1.1. Consolidar un marco jurídico adecuado para implementar una política ordenada y coherente en materia ordenamiento territorial y de desarrollo urbano. </w:t>
      </w:r>
    </w:p>
    <w:p w14:paraId="14D9749B" w14:textId="77777777" w:rsidR="008D52BB" w:rsidRPr="00410DE9" w:rsidRDefault="008D52BB" w:rsidP="00B205BA">
      <w:pPr>
        <w:spacing w:after="120" w:line="240" w:lineRule="auto"/>
        <w:rPr>
          <w:rFonts w:cs="Arial"/>
        </w:rPr>
      </w:pPr>
      <w:r w:rsidRPr="00410DE9">
        <w:rPr>
          <w:rFonts w:cs="Arial"/>
        </w:rPr>
        <w:t>Líneas de acción:</w:t>
      </w:r>
    </w:p>
    <w:p w14:paraId="755B0C50" w14:textId="77777777" w:rsidR="008D52BB" w:rsidRPr="00410DE9" w:rsidRDefault="008D52BB" w:rsidP="00B205BA">
      <w:pPr>
        <w:spacing w:after="120" w:line="240" w:lineRule="auto"/>
        <w:rPr>
          <w:rFonts w:cs="Arial"/>
        </w:rPr>
      </w:pPr>
      <w:r w:rsidRPr="00410DE9">
        <w:rPr>
          <w:rFonts w:cs="Arial"/>
        </w:rPr>
        <w:t>3.1.1.1. Analizar y proponer la actualización normativa en ordenamiento territorial y desarrollo urbano para propiciar un uso más eficiente del suelo, considerando las características y potencialidades del municipio de Hermosillo para la mejora de la competitividad.</w:t>
      </w:r>
    </w:p>
    <w:p w14:paraId="40F44722" w14:textId="77777777" w:rsidR="008D52BB" w:rsidRPr="00410DE9" w:rsidRDefault="008D52BB" w:rsidP="00B205BA">
      <w:pPr>
        <w:spacing w:after="120" w:line="240" w:lineRule="auto"/>
        <w:rPr>
          <w:rFonts w:cs="Arial"/>
        </w:rPr>
      </w:pPr>
      <w:r w:rsidRPr="00410DE9">
        <w:rPr>
          <w:rFonts w:cs="Arial"/>
        </w:rPr>
        <w:t>3.1.1.2. Fortalecer la formación institucional y con organizaciones de la sociedad civil para conciliar y homologar la interpretación de programas, leyes y normas que contribuyan a un mejor ordenamiento territorial y desarrollo urbano, considerando la protección del medio ambiente.</w:t>
      </w:r>
    </w:p>
    <w:p w14:paraId="7659B6BE" w14:textId="77777777" w:rsidR="008D52BB" w:rsidRPr="00410DE9" w:rsidRDefault="008D52BB" w:rsidP="00B205BA">
      <w:pPr>
        <w:spacing w:after="120" w:line="240" w:lineRule="auto"/>
        <w:rPr>
          <w:rFonts w:cs="Arial"/>
        </w:rPr>
      </w:pPr>
      <w:r w:rsidRPr="00410DE9">
        <w:rPr>
          <w:rFonts w:cs="Arial"/>
        </w:rPr>
        <w:t>3.1.1.3. Conciliar entre la Federación, el Estado y el Municipio la aplicación de la normatividad, enfocándose en el bienestar de la población con una visión de largo plazo sobre el uso responsable del suelo.</w:t>
      </w:r>
    </w:p>
    <w:p w14:paraId="6AC49D98" w14:textId="77777777" w:rsidR="008D52BB" w:rsidRPr="00410DE9" w:rsidRDefault="008D52BB" w:rsidP="00B205BA">
      <w:pPr>
        <w:spacing w:after="120" w:line="240" w:lineRule="auto"/>
        <w:rPr>
          <w:rFonts w:cs="Arial"/>
        </w:rPr>
      </w:pPr>
      <w:r w:rsidRPr="00410DE9">
        <w:rPr>
          <w:rFonts w:cs="Arial"/>
        </w:rPr>
        <w:t>3.1.1.4. Diseñar e implementar instrumentos que fomenten el uso y explotación responsable de los recursos naturales y el aprovechamiento de fuentes alternativas de energía para mejorar el funcionamiento del territorio.</w:t>
      </w:r>
    </w:p>
    <w:p w14:paraId="13DEB2C1" w14:textId="77777777" w:rsidR="008D52BB" w:rsidRPr="008D52BB" w:rsidRDefault="008D52BB" w:rsidP="00B205BA">
      <w:pPr>
        <w:spacing w:after="120" w:line="240" w:lineRule="auto"/>
        <w:rPr>
          <w:rFonts w:cs="Arial"/>
          <w:b/>
          <w:bCs/>
        </w:rPr>
      </w:pPr>
      <w:r w:rsidRPr="008D52BB">
        <w:rPr>
          <w:rFonts w:cs="Arial"/>
          <w:b/>
          <w:bCs/>
        </w:rPr>
        <w:t>Estrategia 3.1.2. Fomentar y supervisar el cumplimiento del Programa Municipal de Desarrollo Urbano del Municipio de Hermosillo mediante la implementación de políticas, directrices y normativas que impulsen la sostenibilidad y la mejora de la competitividad.</w:t>
      </w:r>
    </w:p>
    <w:p w14:paraId="617C4431" w14:textId="77777777" w:rsidR="008D52BB" w:rsidRPr="00410DE9" w:rsidRDefault="008D52BB" w:rsidP="00B205BA">
      <w:pPr>
        <w:spacing w:after="120" w:line="240" w:lineRule="auto"/>
        <w:rPr>
          <w:rFonts w:cs="Arial"/>
        </w:rPr>
      </w:pPr>
      <w:r w:rsidRPr="00410DE9">
        <w:rPr>
          <w:rFonts w:cs="Arial"/>
        </w:rPr>
        <w:t>Líneas de acción:</w:t>
      </w:r>
    </w:p>
    <w:p w14:paraId="775100D6" w14:textId="77777777" w:rsidR="008D52BB" w:rsidRPr="00410DE9" w:rsidRDefault="008D52BB" w:rsidP="00B205BA">
      <w:pPr>
        <w:spacing w:after="120" w:line="240" w:lineRule="auto"/>
        <w:rPr>
          <w:rFonts w:cs="Arial"/>
        </w:rPr>
      </w:pPr>
      <w:r w:rsidRPr="00410DE9">
        <w:rPr>
          <w:rFonts w:cs="Arial"/>
        </w:rPr>
        <w:t>3.1.2.1. Participar en foros que promuevan el bienestar social y la competitividad del municipio, alineados con la vocación de las localidades urbanas y rurales, respetando el medio ambiente.</w:t>
      </w:r>
    </w:p>
    <w:p w14:paraId="799A074D" w14:textId="77777777" w:rsidR="008D52BB" w:rsidRPr="00410DE9" w:rsidRDefault="008D52BB" w:rsidP="00B205BA">
      <w:pPr>
        <w:spacing w:after="120" w:line="240" w:lineRule="auto"/>
        <w:rPr>
          <w:rFonts w:cs="Arial"/>
        </w:rPr>
      </w:pPr>
      <w:r w:rsidRPr="00410DE9">
        <w:rPr>
          <w:rFonts w:cs="Arial"/>
        </w:rPr>
        <w:t>3.1.2.2. Otorgar licencias de uso de suelo que cumplan con los requisitos establecidos en la normativa vigente y contribuyan al bienestar social y al desarrollo económico del municipio de Hermosillo.</w:t>
      </w:r>
    </w:p>
    <w:p w14:paraId="25171507" w14:textId="77777777" w:rsidR="008D52BB" w:rsidRPr="00410DE9" w:rsidRDefault="008D52BB" w:rsidP="00B205BA">
      <w:pPr>
        <w:spacing w:after="120" w:line="240" w:lineRule="auto"/>
        <w:rPr>
          <w:rFonts w:cs="Arial"/>
        </w:rPr>
      </w:pPr>
      <w:r w:rsidRPr="00410DE9">
        <w:rPr>
          <w:rFonts w:cs="Arial"/>
        </w:rPr>
        <w:t>3.1.2.3. Emitir permisos, autorizaciones y licencias de construcción conforme a los programas y normativa vigente.</w:t>
      </w:r>
    </w:p>
    <w:p w14:paraId="018E715B" w14:textId="77777777" w:rsidR="008D52BB" w:rsidRPr="00410DE9" w:rsidRDefault="008D52BB" w:rsidP="00B205BA">
      <w:pPr>
        <w:spacing w:after="120" w:line="240" w:lineRule="auto"/>
        <w:rPr>
          <w:rFonts w:cs="Arial"/>
        </w:rPr>
      </w:pPr>
      <w:r w:rsidRPr="00410DE9">
        <w:rPr>
          <w:rFonts w:cs="Arial"/>
        </w:rPr>
        <w:t>3.1.2.4. Emitir autorizaciones de desarrollos inmobiliarios y licencias de urbanización de acuerdo con los programas, estudios y normativa vigente.</w:t>
      </w:r>
    </w:p>
    <w:p w14:paraId="509F724B" w14:textId="77777777" w:rsidR="008D52BB" w:rsidRPr="00410DE9" w:rsidRDefault="008D52BB" w:rsidP="00B205BA">
      <w:pPr>
        <w:spacing w:after="120" w:line="240" w:lineRule="auto"/>
        <w:rPr>
          <w:rFonts w:cs="Arial"/>
        </w:rPr>
      </w:pPr>
      <w:r w:rsidRPr="00410DE9">
        <w:rPr>
          <w:rFonts w:cs="Arial"/>
        </w:rPr>
        <w:t>3.1.2.5. Emitir licencias ambientales y de funcionamiento de establecimientos mercantiles, así como gestionar las anuencias para aquellos dedicados a la fabricación, envasado, almacenamiento, distribución, venta y consumo de bebidas alcohólicas.</w:t>
      </w:r>
    </w:p>
    <w:p w14:paraId="0FF096F8" w14:textId="77777777" w:rsidR="008D52BB" w:rsidRPr="00410DE9" w:rsidRDefault="008D52BB" w:rsidP="00B205BA">
      <w:pPr>
        <w:spacing w:after="120" w:line="240" w:lineRule="auto"/>
        <w:rPr>
          <w:rFonts w:cs="Arial"/>
        </w:rPr>
      </w:pPr>
      <w:r w:rsidRPr="00410DE9">
        <w:rPr>
          <w:rFonts w:cs="Arial"/>
        </w:rPr>
        <w:t>3.1.2.6. Vigilar el cumplimiento de las disposiciones establecidas en el Reglamento de Publicidad Exterior.</w:t>
      </w:r>
    </w:p>
    <w:p w14:paraId="1BDC605E" w14:textId="77777777" w:rsidR="008D52BB" w:rsidRPr="00410DE9" w:rsidRDefault="008D52BB" w:rsidP="00B205BA">
      <w:pPr>
        <w:spacing w:after="120" w:line="240" w:lineRule="auto"/>
        <w:rPr>
          <w:rFonts w:cs="Arial"/>
        </w:rPr>
      </w:pPr>
      <w:r w:rsidRPr="00410DE9">
        <w:rPr>
          <w:rFonts w:cs="Arial"/>
        </w:rPr>
        <w:lastRenderedPageBreak/>
        <w:t>3.1.2.7. Emitir los dictámenes de congruencia, impacto vial e infraestructura verde, alineados con el Programa Municipal de Desarrollo Urbano del Municipio de Hermosillo.</w:t>
      </w:r>
    </w:p>
    <w:p w14:paraId="7069B96E" w14:textId="77777777" w:rsidR="008D52BB" w:rsidRPr="008D52BB" w:rsidRDefault="008D52BB" w:rsidP="00B205BA">
      <w:pPr>
        <w:spacing w:after="120" w:line="240" w:lineRule="auto"/>
        <w:rPr>
          <w:rFonts w:cs="Arial"/>
          <w:b/>
          <w:bCs/>
        </w:rPr>
      </w:pPr>
      <w:r w:rsidRPr="008D52BB">
        <w:rPr>
          <w:rFonts w:cs="Arial"/>
          <w:b/>
          <w:bCs/>
        </w:rPr>
        <w:t>Estrategia 3.1.3. Conservar y enriquecer la imagen urbana de los centros poblacionales, incluyendo calles, avenidas y bulevares, mediante la creación y mejora de los espacios públicos.</w:t>
      </w:r>
    </w:p>
    <w:p w14:paraId="22FBB583" w14:textId="77777777" w:rsidR="008D52BB" w:rsidRPr="00410DE9" w:rsidRDefault="008D52BB" w:rsidP="00B205BA">
      <w:pPr>
        <w:spacing w:after="120" w:line="240" w:lineRule="auto"/>
        <w:rPr>
          <w:rFonts w:cs="Arial"/>
        </w:rPr>
      </w:pPr>
      <w:r w:rsidRPr="00410DE9">
        <w:rPr>
          <w:rFonts w:cs="Arial"/>
        </w:rPr>
        <w:t>Líneas de acción:</w:t>
      </w:r>
    </w:p>
    <w:p w14:paraId="2D6F2281" w14:textId="77777777" w:rsidR="008D52BB" w:rsidRPr="00410DE9" w:rsidRDefault="008D52BB" w:rsidP="00B205BA">
      <w:pPr>
        <w:spacing w:after="120" w:line="240" w:lineRule="auto"/>
        <w:rPr>
          <w:rFonts w:cs="Arial"/>
        </w:rPr>
      </w:pPr>
      <w:r w:rsidRPr="00410DE9">
        <w:rPr>
          <w:rFonts w:cs="Arial"/>
        </w:rPr>
        <w:t>3.1.3.1. Revisar y emitir licencias de publicidad exterior conforme a los programas y la normativa vigente para aplicar el ordenamiento territorial del municipio de Hermosillo.</w:t>
      </w:r>
    </w:p>
    <w:p w14:paraId="1B8B8662" w14:textId="77777777" w:rsidR="008D52BB" w:rsidRPr="00410DE9" w:rsidRDefault="008D52BB" w:rsidP="00B205BA">
      <w:pPr>
        <w:spacing w:after="120" w:line="240" w:lineRule="auto"/>
        <w:rPr>
          <w:rFonts w:cs="Arial"/>
        </w:rPr>
      </w:pPr>
      <w:r w:rsidRPr="00410DE9">
        <w:rPr>
          <w:rFonts w:cs="Arial"/>
        </w:rPr>
        <w:t>3.1.3.2. Regular los anuncios publicitarios en el municipio de Hermosillo para prevenir la contaminación visual y mejorar la imagen urbana de la ciudad.</w:t>
      </w:r>
    </w:p>
    <w:p w14:paraId="52AF1712" w14:textId="77777777" w:rsidR="008D52BB" w:rsidRPr="008D52BB" w:rsidRDefault="008D52BB" w:rsidP="00B205BA">
      <w:pPr>
        <w:spacing w:after="120" w:line="240" w:lineRule="auto"/>
        <w:rPr>
          <w:rFonts w:cs="Arial"/>
          <w:b/>
          <w:bCs/>
        </w:rPr>
      </w:pPr>
      <w:r w:rsidRPr="008D52BB">
        <w:rPr>
          <w:rFonts w:cs="Arial"/>
          <w:b/>
          <w:bCs/>
        </w:rPr>
        <w:t>Reto 3.2. Consolidar la utilización de plataformas digitales para la gestión de trámites municipales de desarrollo urbano y funcionamiento productivo, alineadas con la transparencia, simplificación de trámites y cumplimiento normativo.</w:t>
      </w:r>
    </w:p>
    <w:p w14:paraId="2214F398" w14:textId="77777777" w:rsidR="008D52BB" w:rsidRPr="008D52BB" w:rsidRDefault="008D52BB" w:rsidP="00B205BA">
      <w:pPr>
        <w:spacing w:after="120" w:line="240" w:lineRule="auto"/>
        <w:rPr>
          <w:rFonts w:cs="Arial"/>
          <w:b/>
          <w:bCs/>
        </w:rPr>
      </w:pPr>
      <w:r w:rsidRPr="008D52BB">
        <w:rPr>
          <w:rFonts w:cs="Arial"/>
          <w:b/>
          <w:bCs/>
        </w:rPr>
        <w:t>Estrategia 3.2.1. Proporcionar trámites y servicios eficientes y de calidad a habitantes, empresas, organizaciones e instituciones, públicas y privadas, con el fin de lograr un desarrollo económico y social sostenido</w:t>
      </w:r>
    </w:p>
    <w:p w14:paraId="18D1D0D5" w14:textId="77777777" w:rsidR="008D52BB" w:rsidRPr="00410DE9" w:rsidRDefault="008D52BB" w:rsidP="00B205BA">
      <w:pPr>
        <w:spacing w:after="120" w:line="240" w:lineRule="auto"/>
        <w:rPr>
          <w:rFonts w:cs="Arial"/>
        </w:rPr>
      </w:pPr>
      <w:r w:rsidRPr="00410DE9">
        <w:rPr>
          <w:rFonts w:cs="Arial"/>
        </w:rPr>
        <w:t>Líneas de acción:</w:t>
      </w:r>
    </w:p>
    <w:p w14:paraId="44454136" w14:textId="77777777" w:rsidR="008D52BB" w:rsidRPr="00410DE9" w:rsidRDefault="008D52BB" w:rsidP="00B205BA">
      <w:pPr>
        <w:spacing w:after="120" w:line="240" w:lineRule="auto"/>
        <w:rPr>
          <w:rFonts w:cs="Arial"/>
        </w:rPr>
      </w:pPr>
      <w:r w:rsidRPr="00410DE9">
        <w:rPr>
          <w:rFonts w:cs="Arial"/>
        </w:rPr>
        <w:t>3.2.1.1. Implementar la transversalidad de procesos con otras dependencias que faciliten y agilicen los trámites de desarrollos inmobiliarios.</w:t>
      </w:r>
    </w:p>
    <w:p w14:paraId="2FE3998C" w14:textId="77777777" w:rsidR="008D52BB" w:rsidRPr="00410DE9" w:rsidRDefault="008D52BB" w:rsidP="00B205BA">
      <w:pPr>
        <w:spacing w:after="120" w:line="240" w:lineRule="auto"/>
        <w:rPr>
          <w:rFonts w:cs="Arial"/>
        </w:rPr>
      </w:pPr>
      <w:r w:rsidRPr="00410DE9">
        <w:rPr>
          <w:rFonts w:cs="Arial"/>
        </w:rPr>
        <w:t>3.2.1.2. Fortalecer el uso de los trámites digitales en desarrollo urbano, dictámenes y ecología, así como de licencias de funcionamiento y anuencias, mejorando los tiempos de respuesta y la claridad en las resoluciones</w:t>
      </w:r>
    </w:p>
    <w:p w14:paraId="49865D09" w14:textId="77777777" w:rsidR="008D52BB" w:rsidRPr="00410DE9" w:rsidRDefault="008D52BB" w:rsidP="00B205BA">
      <w:pPr>
        <w:spacing w:after="120" w:line="240" w:lineRule="auto"/>
        <w:rPr>
          <w:rFonts w:cs="Arial"/>
        </w:rPr>
      </w:pPr>
      <w:r w:rsidRPr="00410DE9">
        <w:rPr>
          <w:rFonts w:cs="Arial"/>
        </w:rPr>
        <w:t>3.2.1.3. Gestionar el diseño e implementación de una plataforma digital que contenga licencias y autorizaciones relativas a imagen urbana y desarrollos inmobiliarios en el marco de las atribuciones aplicables.</w:t>
      </w:r>
    </w:p>
    <w:p w14:paraId="42ABFF8E" w14:textId="77777777" w:rsidR="008D52BB" w:rsidRPr="00410DE9" w:rsidRDefault="008D52BB" w:rsidP="00B205BA">
      <w:pPr>
        <w:spacing w:after="120" w:line="240" w:lineRule="auto"/>
        <w:rPr>
          <w:rFonts w:cs="Arial"/>
        </w:rPr>
      </w:pPr>
      <w:r w:rsidRPr="00410DE9">
        <w:rPr>
          <w:rFonts w:cs="Arial"/>
        </w:rPr>
        <w:t>3.2.1.4. Evaluar la calidad de la prestación de los servicios mediante el uso de medios digitales.</w:t>
      </w:r>
    </w:p>
    <w:p w14:paraId="5B77C9E5" w14:textId="77777777" w:rsidR="008D52BB" w:rsidRPr="00410DE9" w:rsidRDefault="008D52BB" w:rsidP="00B205BA">
      <w:pPr>
        <w:spacing w:after="120" w:line="240" w:lineRule="auto"/>
        <w:rPr>
          <w:rFonts w:cs="Arial"/>
        </w:rPr>
      </w:pPr>
      <w:r w:rsidRPr="00410DE9">
        <w:rPr>
          <w:rFonts w:cs="Arial"/>
        </w:rPr>
        <w:t>3.2.1.5. Fortalecer los mecanismos de difusión de los medios digitales para los ciudadanos que realicen trámites.</w:t>
      </w:r>
    </w:p>
    <w:p w14:paraId="1D8931D5" w14:textId="77777777" w:rsidR="008D52BB" w:rsidRPr="00410DE9" w:rsidRDefault="008D52BB" w:rsidP="00B205BA">
      <w:pPr>
        <w:spacing w:after="120" w:line="240" w:lineRule="auto"/>
        <w:rPr>
          <w:rFonts w:cs="Arial"/>
        </w:rPr>
      </w:pPr>
      <w:r w:rsidRPr="00410DE9">
        <w:rPr>
          <w:rFonts w:cs="Arial"/>
        </w:rPr>
        <w:t>3.2.1.6. Monitorear los tiempos de respuesta y atención al ciudadano, con objeto de favorecer la inversión y la competitividad del municipio.</w:t>
      </w:r>
    </w:p>
    <w:p w14:paraId="3349717A" w14:textId="77777777" w:rsidR="008D52BB" w:rsidRPr="008D52BB" w:rsidRDefault="008D52BB" w:rsidP="00B205BA">
      <w:pPr>
        <w:spacing w:after="120" w:line="240" w:lineRule="auto"/>
        <w:rPr>
          <w:rFonts w:cs="Arial"/>
          <w:b/>
          <w:bCs/>
        </w:rPr>
      </w:pPr>
      <w:r w:rsidRPr="008D52BB">
        <w:rPr>
          <w:rFonts w:cs="Arial"/>
          <w:b/>
          <w:bCs/>
        </w:rPr>
        <w:t>Reto 3.3. Promover el ordenamiento y la planeación territorial como articuladores del bienestar de las personas y del uso eficiente del suelo, facilitando un crecimiento sostenido y sustentable.</w:t>
      </w:r>
    </w:p>
    <w:p w14:paraId="23931888" w14:textId="77777777" w:rsidR="008D52BB" w:rsidRPr="008D52BB" w:rsidRDefault="008D52BB" w:rsidP="00B205BA">
      <w:pPr>
        <w:spacing w:after="120" w:line="240" w:lineRule="auto"/>
        <w:rPr>
          <w:rFonts w:cs="Arial"/>
          <w:b/>
          <w:bCs/>
        </w:rPr>
      </w:pPr>
      <w:r w:rsidRPr="008D52BB">
        <w:rPr>
          <w:rFonts w:cs="Arial"/>
          <w:b/>
          <w:bCs/>
        </w:rPr>
        <w:t>Estrategia 3.3.1. Fomentar el desarrollo sostenible mediante la promoción del uso racional y eficiente de los recursos y el aprovechamiento de tecnologías de vanguardia en favor del medio ambiente.</w:t>
      </w:r>
    </w:p>
    <w:p w14:paraId="5D20F09F" w14:textId="77777777" w:rsidR="008D52BB" w:rsidRPr="00410DE9" w:rsidRDefault="008D52BB" w:rsidP="00B205BA">
      <w:pPr>
        <w:spacing w:after="120" w:line="240" w:lineRule="auto"/>
        <w:rPr>
          <w:rFonts w:cs="Arial"/>
        </w:rPr>
      </w:pPr>
      <w:r w:rsidRPr="00410DE9">
        <w:rPr>
          <w:rFonts w:cs="Arial"/>
        </w:rPr>
        <w:t>Líneas de acción:</w:t>
      </w:r>
      <w:r w:rsidRPr="00410DE9">
        <w:rPr>
          <w:rFonts w:cs="Arial"/>
        </w:rPr>
        <w:tab/>
      </w:r>
    </w:p>
    <w:p w14:paraId="53BBEE16" w14:textId="77777777" w:rsidR="008D52BB" w:rsidRPr="00410DE9" w:rsidRDefault="008D52BB" w:rsidP="00B205BA">
      <w:pPr>
        <w:spacing w:after="120" w:line="240" w:lineRule="auto"/>
        <w:rPr>
          <w:rFonts w:cs="Arial"/>
        </w:rPr>
      </w:pPr>
      <w:r w:rsidRPr="00410DE9">
        <w:rPr>
          <w:rFonts w:cs="Arial"/>
        </w:rPr>
        <w:t>3.3.1.1. Participar en foros temáticos sobre desarrollo sustentable orientados a la utilización de infraestructura verde en los centros de población.</w:t>
      </w:r>
    </w:p>
    <w:p w14:paraId="6BA9922A" w14:textId="77777777" w:rsidR="008D52BB" w:rsidRPr="00410DE9" w:rsidRDefault="008D52BB" w:rsidP="00B205BA">
      <w:pPr>
        <w:spacing w:after="120" w:line="240" w:lineRule="auto"/>
        <w:rPr>
          <w:rFonts w:cs="Arial"/>
        </w:rPr>
      </w:pPr>
      <w:r w:rsidRPr="00410DE9">
        <w:rPr>
          <w:rFonts w:cs="Arial"/>
        </w:rPr>
        <w:t>3.3.1.2. Promover la aplicación de infraestructura verde en los desarrollos inmobiliarios del municipio de Hermosillo.</w:t>
      </w:r>
    </w:p>
    <w:p w14:paraId="63593CBB" w14:textId="77777777" w:rsidR="008D52BB" w:rsidRPr="00410DE9" w:rsidRDefault="008D52BB" w:rsidP="00B205BA">
      <w:pPr>
        <w:spacing w:after="120" w:line="240" w:lineRule="auto"/>
        <w:rPr>
          <w:rFonts w:cs="Arial"/>
        </w:rPr>
      </w:pPr>
      <w:r w:rsidRPr="00410DE9">
        <w:rPr>
          <w:rFonts w:cs="Arial"/>
        </w:rPr>
        <w:lastRenderedPageBreak/>
        <w:t>3.3.1.3. Elaborar guías técnicas para edificaciones públicas y privadas enfocadas en la reducción de emisiones y el uso de energías limpias y renovables.</w:t>
      </w:r>
    </w:p>
    <w:p w14:paraId="717BCC4A" w14:textId="77777777" w:rsidR="008D52BB" w:rsidRPr="008D52BB" w:rsidRDefault="008D52BB" w:rsidP="00B205BA">
      <w:pPr>
        <w:spacing w:after="120" w:line="240" w:lineRule="auto"/>
        <w:rPr>
          <w:rFonts w:cs="Arial"/>
          <w:b/>
          <w:bCs/>
        </w:rPr>
      </w:pPr>
      <w:r w:rsidRPr="008D52BB">
        <w:rPr>
          <w:rFonts w:cs="Arial"/>
          <w:b/>
          <w:bCs/>
        </w:rPr>
        <w:t>Reto 3.4. Fortalecer la seguridad de los establecimientos a través de verificar el cumplimiento normativo de las actividades productivas, de servicio, salud y de ordenamiento territorial, para prevenir y corregir inconsistencias y riesgos.</w:t>
      </w:r>
    </w:p>
    <w:p w14:paraId="3559247A" w14:textId="77777777" w:rsidR="008D52BB" w:rsidRPr="008D52BB" w:rsidRDefault="008D52BB" w:rsidP="00B205BA">
      <w:pPr>
        <w:spacing w:after="120" w:line="240" w:lineRule="auto"/>
        <w:rPr>
          <w:rFonts w:cs="Arial"/>
          <w:b/>
          <w:bCs/>
        </w:rPr>
      </w:pPr>
      <w:r w:rsidRPr="008D52BB">
        <w:rPr>
          <w:rFonts w:cs="Arial"/>
          <w:b/>
          <w:bCs/>
        </w:rPr>
        <w:t xml:space="preserve">Estrategia 3.4.1. Actualizar la normatividad aplicable relacionada con las actividades productivas, de servicios, salud y ordenamiento territorial, y conformar un equipo de colaboradores con las capacidades técnicas y operativas necesarias para realizar las actividades de verificación conforme al marco normativo. </w:t>
      </w:r>
    </w:p>
    <w:p w14:paraId="37D91DE2" w14:textId="77777777" w:rsidR="008D52BB" w:rsidRPr="00410DE9" w:rsidRDefault="008D52BB" w:rsidP="00B205BA">
      <w:pPr>
        <w:spacing w:after="120" w:line="240" w:lineRule="auto"/>
        <w:rPr>
          <w:rFonts w:cs="Arial"/>
        </w:rPr>
      </w:pPr>
      <w:r w:rsidRPr="00410DE9">
        <w:rPr>
          <w:rFonts w:cs="Arial"/>
        </w:rPr>
        <w:t>Líneas de acción:</w:t>
      </w:r>
      <w:r w:rsidRPr="00410DE9">
        <w:rPr>
          <w:rFonts w:cs="Arial"/>
        </w:rPr>
        <w:tab/>
      </w:r>
    </w:p>
    <w:p w14:paraId="1F5C3E78" w14:textId="77777777" w:rsidR="008D52BB" w:rsidRPr="00410DE9" w:rsidRDefault="008D52BB" w:rsidP="00B205BA">
      <w:pPr>
        <w:spacing w:after="120" w:line="240" w:lineRule="auto"/>
        <w:rPr>
          <w:rFonts w:cs="Arial"/>
        </w:rPr>
      </w:pPr>
      <w:r w:rsidRPr="00410DE9">
        <w:rPr>
          <w:rFonts w:cs="Arial"/>
        </w:rPr>
        <w:t>3.4.1.1. Analizar y en su caso, proponer la actualización de disposiciones normativas, para la actuación de las inspecciones, verificaciones y vigilancia de las actividades productivas, de salud, de servicio y de ordenamiento territorial en el municipio de Hermosillo.</w:t>
      </w:r>
    </w:p>
    <w:p w14:paraId="30D5537E" w14:textId="77777777" w:rsidR="008D52BB" w:rsidRPr="00410DE9" w:rsidRDefault="008D52BB" w:rsidP="00B205BA">
      <w:pPr>
        <w:spacing w:after="120" w:line="240" w:lineRule="auto"/>
        <w:rPr>
          <w:rFonts w:cs="Arial"/>
        </w:rPr>
      </w:pPr>
      <w:r w:rsidRPr="00410DE9">
        <w:rPr>
          <w:rFonts w:cs="Arial"/>
        </w:rPr>
        <w:t>3.4.1.2. Especializar las capacidades técnicas de los servidores públicos dedicados a las actividades de inspección, vigilancia y verificación.</w:t>
      </w:r>
    </w:p>
    <w:p w14:paraId="02F0D0B5" w14:textId="77777777" w:rsidR="008D52BB" w:rsidRPr="00410DE9" w:rsidRDefault="008D52BB" w:rsidP="00B205BA">
      <w:pPr>
        <w:spacing w:after="120" w:line="240" w:lineRule="auto"/>
        <w:rPr>
          <w:rFonts w:cs="Arial"/>
        </w:rPr>
      </w:pPr>
      <w:r w:rsidRPr="00410DE9">
        <w:rPr>
          <w:rFonts w:cs="Arial"/>
        </w:rPr>
        <w:t>3.4.1.3. Establecer protocolos de actuación de los actos de inspección, verificación y vigilancia, bajo estándares que protejan la salud pública, el medio ambiente y la seguridad.</w:t>
      </w:r>
    </w:p>
    <w:p w14:paraId="6B83719D" w14:textId="77777777" w:rsidR="008D52BB" w:rsidRPr="00410DE9" w:rsidRDefault="008D52BB" w:rsidP="00B205BA">
      <w:pPr>
        <w:spacing w:after="120" w:line="240" w:lineRule="auto"/>
        <w:rPr>
          <w:rFonts w:cs="Arial"/>
        </w:rPr>
      </w:pPr>
      <w:r w:rsidRPr="00410DE9">
        <w:rPr>
          <w:rFonts w:cs="Arial"/>
        </w:rPr>
        <w:t>3.4.1.4. Dar seguimiento a denuncias e inconformidades de la población relacionadas con las diversas actividades que se requieran inspección, verificación y/o vigilancia.</w:t>
      </w:r>
    </w:p>
    <w:p w14:paraId="2CAA8747" w14:textId="77777777" w:rsidR="008D52BB" w:rsidRPr="00410DE9" w:rsidRDefault="008D52BB" w:rsidP="00B205BA">
      <w:pPr>
        <w:spacing w:after="120" w:line="240" w:lineRule="auto"/>
        <w:rPr>
          <w:rFonts w:cs="Arial"/>
        </w:rPr>
      </w:pPr>
      <w:r w:rsidRPr="00410DE9">
        <w:rPr>
          <w:rFonts w:cs="Arial"/>
        </w:rPr>
        <w:t xml:space="preserve">3.4.1.5. Establecer un programa de monitoreo para verificar que la publicidad acredite su vigencia en los términos legales y periodos autorizados, y en su caso que sea retirada debidamente por parte de los permisionarios.  </w:t>
      </w:r>
    </w:p>
    <w:p w14:paraId="25148749" w14:textId="77777777" w:rsidR="008D52BB" w:rsidRPr="008D52BB" w:rsidRDefault="008D52BB" w:rsidP="00B205BA">
      <w:pPr>
        <w:spacing w:after="120" w:line="240" w:lineRule="auto"/>
        <w:rPr>
          <w:rFonts w:cs="Arial"/>
          <w:b/>
          <w:bCs/>
        </w:rPr>
      </w:pPr>
      <w:r w:rsidRPr="008D52BB">
        <w:rPr>
          <w:rFonts w:cs="Arial"/>
          <w:b/>
          <w:bCs/>
        </w:rPr>
        <w:t>Estrategia 3.4.2. Integrar un sistema de información de padrones de las diversas actividades productivas, de servicios y de ordenamiento territorial del municipio de Hermosillo.</w:t>
      </w:r>
    </w:p>
    <w:p w14:paraId="1F96C2DB" w14:textId="77777777" w:rsidR="008D52BB" w:rsidRPr="00410DE9" w:rsidRDefault="008D52BB" w:rsidP="00B205BA">
      <w:pPr>
        <w:spacing w:after="120" w:line="240" w:lineRule="auto"/>
        <w:rPr>
          <w:rFonts w:cs="Arial"/>
        </w:rPr>
      </w:pPr>
      <w:r w:rsidRPr="00410DE9">
        <w:rPr>
          <w:rFonts w:cs="Arial"/>
        </w:rPr>
        <w:t>Líneas de acción:</w:t>
      </w:r>
      <w:r w:rsidRPr="00410DE9">
        <w:rPr>
          <w:rFonts w:cs="Arial"/>
        </w:rPr>
        <w:tab/>
      </w:r>
    </w:p>
    <w:p w14:paraId="75BDFC09" w14:textId="77777777" w:rsidR="008D52BB" w:rsidRPr="00410DE9" w:rsidRDefault="008D52BB" w:rsidP="00B205BA">
      <w:pPr>
        <w:spacing w:after="120" w:line="240" w:lineRule="auto"/>
        <w:rPr>
          <w:rFonts w:cs="Arial"/>
        </w:rPr>
      </w:pPr>
      <w:r w:rsidRPr="00410DE9">
        <w:rPr>
          <w:rFonts w:cs="Arial"/>
        </w:rPr>
        <w:t>3.4.2.1. Realizar una coordinación interinstitucional para contar con los padrones de las actividades productivas, de servicio y de ordenamiento territorial, que se requieren para dar cumplimiento a la normatividad establecida.</w:t>
      </w:r>
    </w:p>
    <w:p w14:paraId="147AD31E" w14:textId="77777777" w:rsidR="008D52BB" w:rsidRPr="00410DE9" w:rsidRDefault="008D52BB" w:rsidP="00B205BA">
      <w:pPr>
        <w:spacing w:after="120" w:line="240" w:lineRule="auto"/>
        <w:rPr>
          <w:rFonts w:cs="Arial"/>
        </w:rPr>
      </w:pPr>
      <w:r w:rsidRPr="00410DE9">
        <w:rPr>
          <w:rFonts w:cs="Arial"/>
        </w:rPr>
        <w:t>3.4.2.2. Elaborar un sistema de información que permita una actualización continua de las actividades que requieren verificación normativa.</w:t>
      </w:r>
    </w:p>
    <w:p w14:paraId="4701E477" w14:textId="77777777" w:rsidR="008D52BB" w:rsidRPr="00410DE9" w:rsidRDefault="008D52BB" w:rsidP="00B205BA">
      <w:pPr>
        <w:spacing w:after="120" w:line="240" w:lineRule="auto"/>
        <w:rPr>
          <w:rFonts w:cs="Arial"/>
        </w:rPr>
      </w:pPr>
      <w:r w:rsidRPr="00410DE9">
        <w:rPr>
          <w:rFonts w:cs="Arial"/>
        </w:rPr>
        <w:t xml:space="preserve">3.4.2.3. Atender y dar seguimiento a las solicitudes de inspección, verificación o vigilancia de las dependencias y entidades conforme a las atribuciones contenidas en la normativa y reglamentos correspondientes. </w:t>
      </w:r>
    </w:p>
    <w:p w14:paraId="2EA67668" w14:textId="77777777" w:rsidR="008D52BB" w:rsidRPr="008D52BB" w:rsidRDefault="008D52BB" w:rsidP="00B205BA">
      <w:pPr>
        <w:spacing w:after="120" w:line="240" w:lineRule="auto"/>
        <w:rPr>
          <w:rFonts w:cs="Arial"/>
          <w:b/>
          <w:bCs/>
        </w:rPr>
      </w:pPr>
      <w:r w:rsidRPr="008D52BB">
        <w:rPr>
          <w:rFonts w:cs="Arial"/>
          <w:b/>
          <w:bCs/>
        </w:rPr>
        <w:t>Estrategia 3.4.3. Fortalecer la coordinación interinstitucional en materia de autorizaciones de eventos y espectáculos públicos, así como de comercio y oficios en la vía pública, que fomenten el orden y el cumplimiento normativo en beneficio de la sociedad hermosillense.</w:t>
      </w:r>
    </w:p>
    <w:p w14:paraId="43195111" w14:textId="77777777" w:rsidR="008D52BB" w:rsidRPr="00410DE9" w:rsidRDefault="008D52BB" w:rsidP="00B205BA">
      <w:pPr>
        <w:spacing w:after="120" w:line="240" w:lineRule="auto"/>
        <w:rPr>
          <w:rFonts w:cs="Arial"/>
        </w:rPr>
      </w:pPr>
      <w:r w:rsidRPr="00410DE9">
        <w:rPr>
          <w:rFonts w:cs="Arial"/>
        </w:rPr>
        <w:t>Líneas de acción:</w:t>
      </w:r>
      <w:r w:rsidRPr="00410DE9">
        <w:rPr>
          <w:rFonts w:cs="Arial"/>
        </w:rPr>
        <w:tab/>
      </w:r>
    </w:p>
    <w:p w14:paraId="3D47D87C" w14:textId="77777777" w:rsidR="008D52BB" w:rsidRPr="00410DE9" w:rsidRDefault="008D52BB" w:rsidP="00B205BA">
      <w:pPr>
        <w:spacing w:after="120" w:line="240" w:lineRule="auto"/>
        <w:rPr>
          <w:rFonts w:cs="Arial"/>
        </w:rPr>
      </w:pPr>
      <w:r w:rsidRPr="00410DE9">
        <w:rPr>
          <w:rFonts w:cs="Arial"/>
        </w:rPr>
        <w:t>3.4.3.1. Verificar que los eventos y espectáculos públicos a realizarse dentro del municipio, cumplan con el marco legal, reglamentario, medidas de seguridad y protección para los asistentes y el patrimonio de la comunidad hermosillense.</w:t>
      </w:r>
    </w:p>
    <w:p w14:paraId="0848E8B0" w14:textId="77777777" w:rsidR="008D52BB" w:rsidRPr="00410DE9" w:rsidRDefault="008D52BB" w:rsidP="00B205BA">
      <w:pPr>
        <w:spacing w:after="120" w:line="240" w:lineRule="auto"/>
        <w:rPr>
          <w:rFonts w:cs="Arial"/>
        </w:rPr>
      </w:pPr>
      <w:r w:rsidRPr="00410DE9">
        <w:rPr>
          <w:rFonts w:cs="Arial"/>
        </w:rPr>
        <w:lastRenderedPageBreak/>
        <w:t>3.4.3.2. Implementar un programa permanente de regularización de comercios y servicios.</w:t>
      </w:r>
    </w:p>
    <w:p w14:paraId="70136108" w14:textId="77777777" w:rsidR="008D52BB" w:rsidRPr="00410DE9" w:rsidRDefault="008D52BB" w:rsidP="00B205BA">
      <w:pPr>
        <w:spacing w:after="120" w:line="240" w:lineRule="auto"/>
        <w:rPr>
          <w:rFonts w:cs="Arial"/>
        </w:rPr>
      </w:pPr>
      <w:r w:rsidRPr="00410DE9">
        <w:rPr>
          <w:rFonts w:cs="Arial"/>
        </w:rPr>
        <w:t>3.4.3.3. Contar con un padrón actualizado de los permisionarios ambulantes y comerciantes del municipio de Hermosillo.</w:t>
      </w:r>
    </w:p>
    <w:p w14:paraId="327E597B" w14:textId="77777777" w:rsidR="008D52BB" w:rsidRPr="00410DE9" w:rsidRDefault="008D52BB" w:rsidP="00B205BA">
      <w:pPr>
        <w:spacing w:after="120" w:line="240" w:lineRule="auto"/>
        <w:rPr>
          <w:rFonts w:cs="Arial"/>
        </w:rPr>
      </w:pPr>
      <w:r w:rsidRPr="00410DE9">
        <w:rPr>
          <w:rFonts w:cs="Arial"/>
        </w:rPr>
        <w:t xml:space="preserve">3.4.3.4. Implementar un programa de regularización de la publicidad colocada en la vía pública que no cuenta con permiso, aplicando el marco normativo a los infractores, con el fin de asegurar una gestión más eficiente respecto al servicio que se le brinda a la ciudadanía. </w:t>
      </w:r>
    </w:p>
    <w:p w14:paraId="343B9AFA" w14:textId="77777777" w:rsidR="008D52BB" w:rsidRPr="00410DE9" w:rsidRDefault="008D52BB" w:rsidP="00B205BA">
      <w:pPr>
        <w:spacing w:after="120" w:line="240" w:lineRule="auto"/>
        <w:rPr>
          <w:rFonts w:cs="Arial"/>
        </w:rPr>
      </w:pPr>
      <w:r w:rsidRPr="00410DE9">
        <w:rPr>
          <w:rFonts w:cs="Arial"/>
        </w:rPr>
        <w:t xml:space="preserve">3.4.3.5. Mejorar la eficiencia en las notificaciones realizadas por reportes de semovientes en la vía pública, con el fin de garantizar el cumplimiento del marco normativo y la seguridad de la población. </w:t>
      </w:r>
    </w:p>
    <w:p w14:paraId="6DB533BF" w14:textId="77777777" w:rsidR="008D52BB" w:rsidRPr="00410DE9" w:rsidRDefault="008D52BB" w:rsidP="00B205BA">
      <w:pPr>
        <w:spacing w:after="120" w:line="240" w:lineRule="auto"/>
        <w:rPr>
          <w:rFonts w:cs="Arial"/>
        </w:rPr>
      </w:pPr>
      <w:r w:rsidRPr="00410DE9">
        <w:rPr>
          <w:rFonts w:cs="Arial"/>
        </w:rPr>
        <w:t>3.4.3.6. Atender de manera oportuna los reportes de casas abandonadas, lotes baldíos y vehículos en desuso que se encuentran en la vía pública.</w:t>
      </w:r>
    </w:p>
    <w:p w14:paraId="5B8F18CD" w14:textId="77777777" w:rsidR="008D52BB" w:rsidRPr="00410DE9" w:rsidRDefault="008D52BB" w:rsidP="00B205BA">
      <w:pPr>
        <w:spacing w:after="120" w:line="240" w:lineRule="auto"/>
        <w:rPr>
          <w:rFonts w:cs="Arial"/>
        </w:rPr>
      </w:pPr>
      <w:r w:rsidRPr="00410DE9">
        <w:rPr>
          <w:rFonts w:cs="Arial"/>
        </w:rPr>
        <w:t xml:space="preserve">3.4.3.7. Verificar que todas las obras de construcción cuenten con las autorizaciones, licencias y/o permisos correspondientes. </w:t>
      </w:r>
    </w:p>
    <w:p w14:paraId="1BB75867" w14:textId="77777777" w:rsidR="008D52BB" w:rsidRPr="008D52BB" w:rsidRDefault="008D52BB" w:rsidP="00B205BA">
      <w:pPr>
        <w:spacing w:after="120" w:line="240" w:lineRule="auto"/>
        <w:rPr>
          <w:rFonts w:cs="Arial"/>
          <w:b/>
          <w:bCs/>
        </w:rPr>
      </w:pPr>
      <w:r w:rsidRPr="008D52BB">
        <w:rPr>
          <w:rFonts w:cs="Arial"/>
          <w:b/>
          <w:bCs/>
        </w:rPr>
        <w:t>Reto 3.5. Consolidar los sistemas electrónicos y la atención presencial con políticas y formatos inclusivos, que faciliten la tramitología a cualquier ciudadano, empresa u organización privada o gubernamental, que lo solicite y brindar un servicio de manera más eficiente y eficaz a todos los hermosillenses.</w:t>
      </w:r>
    </w:p>
    <w:p w14:paraId="63C7186B" w14:textId="77777777" w:rsidR="008D52BB" w:rsidRPr="008D52BB" w:rsidRDefault="008D52BB" w:rsidP="00B205BA">
      <w:pPr>
        <w:spacing w:after="120" w:line="240" w:lineRule="auto"/>
        <w:rPr>
          <w:rFonts w:cs="Arial"/>
          <w:b/>
          <w:bCs/>
        </w:rPr>
      </w:pPr>
      <w:r w:rsidRPr="008D52BB">
        <w:rPr>
          <w:rFonts w:cs="Arial"/>
          <w:b/>
          <w:bCs/>
        </w:rPr>
        <w:t>Estrategia 3.5.1. Proporcionar la atención presencial y electrónica a los hermosillenses para la obtención de autorizaciones y permisos de comercio, así como de eventos y espectáculos públicos, en estricto apego a las disposiciones reglamentarias, en un marco de mejora continua.</w:t>
      </w:r>
    </w:p>
    <w:p w14:paraId="6800B921" w14:textId="77777777" w:rsidR="008D52BB" w:rsidRPr="00410DE9" w:rsidRDefault="008D52BB" w:rsidP="00B205BA">
      <w:pPr>
        <w:spacing w:after="120" w:line="240" w:lineRule="auto"/>
        <w:rPr>
          <w:rFonts w:cs="Arial"/>
        </w:rPr>
      </w:pPr>
      <w:r w:rsidRPr="00410DE9">
        <w:rPr>
          <w:rFonts w:cs="Arial"/>
        </w:rPr>
        <w:t xml:space="preserve">Líneas de acción: </w:t>
      </w:r>
    </w:p>
    <w:p w14:paraId="7ECB1547" w14:textId="77777777" w:rsidR="008D52BB" w:rsidRPr="00410DE9" w:rsidRDefault="008D52BB" w:rsidP="00B205BA">
      <w:pPr>
        <w:spacing w:after="120" w:line="240" w:lineRule="auto"/>
        <w:rPr>
          <w:rFonts w:cs="Arial"/>
        </w:rPr>
      </w:pPr>
      <w:r w:rsidRPr="00410DE9">
        <w:rPr>
          <w:rFonts w:cs="Arial"/>
        </w:rPr>
        <w:t xml:space="preserve">3.5.1.1. Automatizar los trámites y generar mecanismos de forma presencial para que los usuarios tengan una experiencia satisfactoria de la atención prestada. </w:t>
      </w:r>
    </w:p>
    <w:p w14:paraId="4FFC5362" w14:textId="77777777" w:rsidR="008D52BB" w:rsidRPr="00410DE9" w:rsidRDefault="008D52BB" w:rsidP="00B205BA">
      <w:pPr>
        <w:spacing w:after="120" w:line="240" w:lineRule="auto"/>
        <w:rPr>
          <w:rFonts w:cs="Arial"/>
        </w:rPr>
      </w:pPr>
      <w:r w:rsidRPr="00410DE9">
        <w:rPr>
          <w:rFonts w:cs="Arial"/>
        </w:rPr>
        <w:t xml:space="preserve">3.5.1.2. Mantener la digitalización de los expedientes y el resguardo físico conforme a la normatividad aplicable.  </w:t>
      </w:r>
    </w:p>
    <w:p w14:paraId="1E17A38E" w14:textId="77777777" w:rsidR="008D52BB" w:rsidRPr="00410DE9" w:rsidRDefault="008D52BB" w:rsidP="00B205BA">
      <w:pPr>
        <w:spacing w:after="120" w:line="240" w:lineRule="auto"/>
        <w:rPr>
          <w:rFonts w:cs="Arial"/>
        </w:rPr>
      </w:pPr>
      <w:r w:rsidRPr="00410DE9">
        <w:rPr>
          <w:rFonts w:cs="Arial"/>
        </w:rPr>
        <w:t>3.5.1.3. Crear condiciones de accesibilidad para facilitar los trámites y servicios de actividades productivas brindados a las personas en situación de discapacidad.</w:t>
      </w:r>
    </w:p>
    <w:p w14:paraId="0BEA46F8" w14:textId="77777777" w:rsidR="008D52BB" w:rsidRPr="00410DE9" w:rsidRDefault="008D52BB" w:rsidP="00B205BA">
      <w:pPr>
        <w:spacing w:after="120" w:line="240" w:lineRule="auto"/>
        <w:rPr>
          <w:rFonts w:cs="Arial"/>
        </w:rPr>
      </w:pPr>
      <w:r w:rsidRPr="00410DE9">
        <w:rPr>
          <w:rFonts w:cs="Arial"/>
        </w:rPr>
        <w:t>3.5.1.4. Evaluar de forma continua la atención de los servidores públicos y establecer medidas preventivas y correctivas para la mejora consistente de las actividades de inspección, vigilancia y verificación.</w:t>
      </w:r>
    </w:p>
    <w:p w14:paraId="35B15D67" w14:textId="77777777" w:rsidR="008D52BB" w:rsidRPr="00410DE9" w:rsidRDefault="008D52BB" w:rsidP="00B205BA">
      <w:pPr>
        <w:spacing w:after="120" w:line="240" w:lineRule="auto"/>
        <w:rPr>
          <w:rFonts w:cs="Arial"/>
        </w:rPr>
      </w:pPr>
      <w:r w:rsidRPr="00410DE9">
        <w:rPr>
          <w:rFonts w:cs="Arial"/>
        </w:rPr>
        <w:t>3.5.1.5. Gestionar el equipamiento necesario a los servidores públicos para la realización de las actividades de inspección, verificación y vigilancia integrando las nuevas tecnologías, con mecanismos de georreferenciación y protección ambiental.</w:t>
      </w:r>
    </w:p>
    <w:p w14:paraId="705912EE" w14:textId="77777777" w:rsidR="008D52BB" w:rsidRPr="008D52BB" w:rsidRDefault="008D52BB" w:rsidP="00B205BA">
      <w:pPr>
        <w:spacing w:after="120" w:line="240" w:lineRule="auto"/>
        <w:rPr>
          <w:rFonts w:cs="Arial"/>
          <w:b/>
          <w:bCs/>
        </w:rPr>
      </w:pPr>
      <w:r w:rsidRPr="008D52BB">
        <w:rPr>
          <w:rFonts w:cs="Arial"/>
          <w:b/>
          <w:bCs/>
        </w:rPr>
        <w:t>Reto 3.6. Promover y facilitar la inversión nacional y extranjera hacia el municipio que contribuya a la creación de empleos, y al desarrollo de una nueva economía basada en el conocimiento, vinculando las vocaciones de la ciudad de Hermosillo para su integración a redes de proveeduría local, nacional e internacional.</w:t>
      </w:r>
    </w:p>
    <w:p w14:paraId="24381E7D" w14:textId="77777777" w:rsidR="008D52BB" w:rsidRPr="008D52BB" w:rsidRDefault="008D52BB" w:rsidP="00B205BA">
      <w:pPr>
        <w:spacing w:after="120" w:line="240" w:lineRule="auto"/>
        <w:rPr>
          <w:rFonts w:cs="Arial"/>
          <w:b/>
          <w:bCs/>
        </w:rPr>
      </w:pPr>
      <w:r w:rsidRPr="008D52BB">
        <w:rPr>
          <w:rFonts w:cs="Arial"/>
          <w:b/>
          <w:bCs/>
        </w:rPr>
        <w:t>Estrategia 3.6.1. Desarrollar programas de promoción económica y atención a inversionistas, identificando sectores estratégicos que maximicen las oportunidades de creación de clústeres en los que participe la industria local.</w:t>
      </w:r>
    </w:p>
    <w:p w14:paraId="17F655CA" w14:textId="77777777" w:rsidR="008D52BB" w:rsidRPr="00410DE9" w:rsidRDefault="008D52BB" w:rsidP="00B205BA">
      <w:pPr>
        <w:spacing w:after="120" w:line="240" w:lineRule="auto"/>
        <w:rPr>
          <w:rFonts w:cs="Arial"/>
        </w:rPr>
      </w:pPr>
      <w:r w:rsidRPr="00410DE9">
        <w:rPr>
          <w:rFonts w:cs="Arial"/>
        </w:rPr>
        <w:t>Líneas de acción:</w:t>
      </w:r>
    </w:p>
    <w:p w14:paraId="6045D895" w14:textId="77777777" w:rsidR="008D52BB" w:rsidRPr="00410DE9" w:rsidRDefault="008D52BB" w:rsidP="00B205BA">
      <w:pPr>
        <w:spacing w:after="120" w:line="240" w:lineRule="auto"/>
        <w:rPr>
          <w:rFonts w:cs="Arial"/>
        </w:rPr>
      </w:pPr>
      <w:r w:rsidRPr="00410DE9">
        <w:rPr>
          <w:rFonts w:cs="Arial"/>
        </w:rPr>
        <w:lastRenderedPageBreak/>
        <w:t>3.6.1.1. Generar condiciones propicias para que las empresas nacionales e internacionales puedan instalarse en el municipio de Hermosillo.</w:t>
      </w:r>
    </w:p>
    <w:p w14:paraId="7292C0CA" w14:textId="77777777" w:rsidR="008D52BB" w:rsidRPr="00410DE9" w:rsidRDefault="008D52BB" w:rsidP="00B205BA">
      <w:pPr>
        <w:spacing w:after="120" w:line="240" w:lineRule="auto"/>
        <w:rPr>
          <w:rFonts w:cs="Arial"/>
        </w:rPr>
      </w:pPr>
      <w:r w:rsidRPr="00410DE9">
        <w:rPr>
          <w:rFonts w:cs="Arial"/>
        </w:rPr>
        <w:t>3.6.1.2. Realizar misiones comerciales presenciales y virtuales para promoción de la ciudad como un destino para la inversión.</w:t>
      </w:r>
    </w:p>
    <w:p w14:paraId="02FAFE79" w14:textId="77777777" w:rsidR="008D52BB" w:rsidRPr="00410DE9" w:rsidRDefault="008D52BB" w:rsidP="00B205BA">
      <w:pPr>
        <w:spacing w:after="120" w:line="240" w:lineRule="auto"/>
        <w:rPr>
          <w:rFonts w:cs="Arial"/>
        </w:rPr>
      </w:pPr>
      <w:r w:rsidRPr="00410DE9">
        <w:rPr>
          <w:rFonts w:cs="Arial"/>
        </w:rPr>
        <w:t>3.6.1.3. Establecer indicadores para un programa de vinculación que refleje la implementación de mejores prácticas nacionales e internacionales para la atracción de inversión.</w:t>
      </w:r>
    </w:p>
    <w:p w14:paraId="72010972" w14:textId="77777777" w:rsidR="008D52BB" w:rsidRPr="00410DE9" w:rsidRDefault="008D52BB" w:rsidP="00B205BA">
      <w:pPr>
        <w:spacing w:after="120" w:line="240" w:lineRule="auto"/>
        <w:rPr>
          <w:rFonts w:cs="Arial"/>
        </w:rPr>
      </w:pPr>
      <w:r w:rsidRPr="00410DE9">
        <w:rPr>
          <w:rFonts w:cs="Arial"/>
        </w:rPr>
        <w:t>3.6.1.4. Integrar un Consejo que brinde asesoría y apoye la generación de políticas que faciliten la promoción económica de la ciudad y la atracción de inversión.</w:t>
      </w:r>
    </w:p>
    <w:p w14:paraId="2CD4620A" w14:textId="77777777" w:rsidR="008D52BB" w:rsidRPr="008D52BB" w:rsidRDefault="008D52BB" w:rsidP="00B205BA">
      <w:pPr>
        <w:spacing w:after="120" w:line="240" w:lineRule="auto"/>
        <w:rPr>
          <w:rFonts w:cs="Arial"/>
          <w:b/>
          <w:bCs/>
        </w:rPr>
      </w:pPr>
      <w:r w:rsidRPr="008D52BB">
        <w:rPr>
          <w:rFonts w:cs="Arial"/>
          <w:b/>
          <w:bCs/>
        </w:rPr>
        <w:t>Estrategia 3.6.2. Diseñar programas de desarrollo de proveedores e identificar dentro y fuera del país los nichos de valor agregado para crear una comunidad empresarial sin fronteras.</w:t>
      </w:r>
    </w:p>
    <w:p w14:paraId="6AC1DB58" w14:textId="77777777" w:rsidR="008D52BB" w:rsidRPr="00410DE9" w:rsidRDefault="008D52BB" w:rsidP="00B205BA">
      <w:pPr>
        <w:spacing w:after="120" w:line="240" w:lineRule="auto"/>
        <w:rPr>
          <w:rFonts w:cs="Arial"/>
        </w:rPr>
      </w:pPr>
      <w:r w:rsidRPr="00410DE9">
        <w:rPr>
          <w:rFonts w:cs="Arial"/>
        </w:rPr>
        <w:t>Líneas de acción:</w:t>
      </w:r>
      <w:r w:rsidRPr="00410DE9">
        <w:rPr>
          <w:rFonts w:cs="Arial"/>
        </w:rPr>
        <w:tab/>
      </w:r>
    </w:p>
    <w:p w14:paraId="2A08A446" w14:textId="77777777" w:rsidR="008D52BB" w:rsidRPr="00410DE9" w:rsidRDefault="008D52BB" w:rsidP="00B205BA">
      <w:pPr>
        <w:spacing w:after="120" w:line="240" w:lineRule="auto"/>
        <w:rPr>
          <w:rFonts w:cs="Arial"/>
        </w:rPr>
      </w:pPr>
      <w:r w:rsidRPr="00410DE9">
        <w:rPr>
          <w:rFonts w:cs="Arial"/>
        </w:rPr>
        <w:t>3.6.2.1. Organizar de manera conjunta con el sector privado encuentros de negocios que vinculen a la empresa local con las grandes inversiones instaladas en la ciudad.</w:t>
      </w:r>
    </w:p>
    <w:p w14:paraId="2892DB16" w14:textId="77777777" w:rsidR="008D52BB" w:rsidRPr="00410DE9" w:rsidRDefault="008D52BB" w:rsidP="00B205BA">
      <w:pPr>
        <w:spacing w:after="120" w:line="240" w:lineRule="auto"/>
        <w:rPr>
          <w:rFonts w:cs="Arial"/>
        </w:rPr>
      </w:pPr>
      <w:r w:rsidRPr="00410DE9">
        <w:rPr>
          <w:rFonts w:cs="Arial"/>
        </w:rPr>
        <w:t>3.6.2.2. Promover a las empresas locales en el exterior a través de misiones comerciales.</w:t>
      </w:r>
    </w:p>
    <w:p w14:paraId="24EBA3AD" w14:textId="77777777" w:rsidR="008D52BB" w:rsidRPr="00410DE9" w:rsidRDefault="008D52BB" w:rsidP="00B205BA">
      <w:pPr>
        <w:spacing w:after="120" w:line="240" w:lineRule="auto"/>
        <w:rPr>
          <w:rFonts w:cs="Arial"/>
        </w:rPr>
      </w:pPr>
      <w:r w:rsidRPr="00410DE9">
        <w:rPr>
          <w:rFonts w:cs="Arial"/>
        </w:rPr>
        <w:t>3.6.2.3. Vincular a las empresas locales con las opciones de créditos y apoyos financieros viables para su desarrollo.</w:t>
      </w:r>
    </w:p>
    <w:p w14:paraId="7EF2DEAA" w14:textId="77777777" w:rsidR="008D52BB" w:rsidRPr="00410DE9" w:rsidRDefault="008D52BB" w:rsidP="00B205BA">
      <w:pPr>
        <w:spacing w:after="120" w:line="240" w:lineRule="auto"/>
        <w:rPr>
          <w:rFonts w:cs="Arial"/>
        </w:rPr>
      </w:pPr>
      <w:r w:rsidRPr="00410DE9">
        <w:rPr>
          <w:rFonts w:cs="Arial"/>
        </w:rPr>
        <w:t>3.6.2.4. Implementar programas de capacitación, certificación, asesoría y financiamiento para que las empresas se habiliten y accedan a nuevas cadenas de valor locales, nacionales y globales.</w:t>
      </w:r>
    </w:p>
    <w:p w14:paraId="46551026" w14:textId="77777777" w:rsidR="008D52BB" w:rsidRPr="00410DE9" w:rsidRDefault="008D52BB" w:rsidP="00B205BA">
      <w:pPr>
        <w:spacing w:after="120" w:line="240" w:lineRule="auto"/>
        <w:rPr>
          <w:rFonts w:cs="Arial"/>
        </w:rPr>
      </w:pPr>
      <w:r w:rsidRPr="00410DE9">
        <w:rPr>
          <w:rFonts w:cs="Arial"/>
        </w:rPr>
        <w:t>3.6.2.5. Promover con los grupos empresariales el fortalecimiento institucional para que desarrollen capacidades para tener acceso a incrementar su participación en nuevos negocios.</w:t>
      </w:r>
    </w:p>
    <w:p w14:paraId="48596D54" w14:textId="77777777" w:rsidR="008D52BB" w:rsidRPr="00410DE9" w:rsidRDefault="008D52BB" w:rsidP="00B205BA">
      <w:pPr>
        <w:spacing w:after="120" w:line="240" w:lineRule="auto"/>
        <w:rPr>
          <w:rFonts w:cs="Arial"/>
        </w:rPr>
      </w:pPr>
      <w:r w:rsidRPr="00410DE9">
        <w:rPr>
          <w:rFonts w:cs="Arial"/>
        </w:rPr>
        <w:t>3.6.2.6. Facilitar y promover el reclutamiento de personal en conjunto con las empresas que estén generando oferta de empleo en la ciudad de Hermosillo.</w:t>
      </w:r>
    </w:p>
    <w:p w14:paraId="29C3FC18" w14:textId="77777777" w:rsidR="008D52BB" w:rsidRPr="008D52BB" w:rsidRDefault="008D52BB" w:rsidP="00B205BA">
      <w:pPr>
        <w:spacing w:after="120" w:line="240" w:lineRule="auto"/>
        <w:rPr>
          <w:rFonts w:cs="Arial"/>
          <w:b/>
          <w:bCs/>
        </w:rPr>
      </w:pPr>
      <w:r w:rsidRPr="008D52BB">
        <w:rPr>
          <w:rFonts w:cs="Arial"/>
          <w:b/>
          <w:bCs/>
        </w:rPr>
        <w:t>Reto 3.7. Impulsar el desarrollo de emprendedores en todos los ámbitos y niveles de la economía para elevar crecimiento económico del municipio.</w:t>
      </w:r>
    </w:p>
    <w:p w14:paraId="5EAAF09F" w14:textId="77777777" w:rsidR="008D52BB" w:rsidRPr="008D52BB" w:rsidRDefault="008D52BB" w:rsidP="00B205BA">
      <w:pPr>
        <w:spacing w:after="120" w:line="240" w:lineRule="auto"/>
        <w:rPr>
          <w:rFonts w:cs="Arial"/>
          <w:b/>
          <w:bCs/>
        </w:rPr>
      </w:pPr>
      <w:r w:rsidRPr="008D52BB">
        <w:rPr>
          <w:rFonts w:cs="Arial"/>
          <w:b/>
          <w:bCs/>
        </w:rPr>
        <w:t>Estrategia 3.7.1. Integrar un ecosistema emprendedor y promover el emprendimiento de base tecnológica vinculado a los esfuerzos de atracción de inversión, para crear clústeres de innovación que incrementen la competitividad de la ciudad.</w:t>
      </w:r>
    </w:p>
    <w:p w14:paraId="5EDDDDAD" w14:textId="77777777" w:rsidR="008D52BB" w:rsidRPr="00410DE9" w:rsidRDefault="008D52BB" w:rsidP="00B205BA">
      <w:pPr>
        <w:spacing w:after="120" w:line="240" w:lineRule="auto"/>
        <w:rPr>
          <w:rFonts w:cs="Arial"/>
        </w:rPr>
      </w:pPr>
      <w:r w:rsidRPr="00410DE9">
        <w:rPr>
          <w:rFonts w:cs="Arial"/>
        </w:rPr>
        <w:t>Líneas de acción:</w:t>
      </w:r>
    </w:p>
    <w:p w14:paraId="008E0E7E" w14:textId="77777777" w:rsidR="008D52BB" w:rsidRPr="00410DE9" w:rsidRDefault="008D52BB" w:rsidP="00B205BA">
      <w:pPr>
        <w:spacing w:after="120" w:line="240" w:lineRule="auto"/>
        <w:rPr>
          <w:rFonts w:cs="Arial"/>
        </w:rPr>
      </w:pPr>
      <w:r w:rsidRPr="00410DE9">
        <w:rPr>
          <w:rFonts w:cs="Arial"/>
        </w:rPr>
        <w:t>3.7.1.1. Fomentar la incubación de proyectos emprendedores.</w:t>
      </w:r>
    </w:p>
    <w:p w14:paraId="64CEA6AD" w14:textId="77777777" w:rsidR="008D52BB" w:rsidRPr="00410DE9" w:rsidRDefault="008D52BB" w:rsidP="00B205BA">
      <w:pPr>
        <w:spacing w:after="120" w:line="240" w:lineRule="auto"/>
        <w:rPr>
          <w:rFonts w:cs="Arial"/>
        </w:rPr>
      </w:pPr>
      <w:r w:rsidRPr="00410DE9">
        <w:rPr>
          <w:rFonts w:cs="Arial"/>
        </w:rPr>
        <w:t>3.7.1.2. Realizar eventos de ideación y creación de modelos de negocios innovadores.</w:t>
      </w:r>
    </w:p>
    <w:p w14:paraId="66DD2FCF" w14:textId="77777777" w:rsidR="008D52BB" w:rsidRPr="00410DE9" w:rsidRDefault="008D52BB" w:rsidP="00B205BA">
      <w:pPr>
        <w:spacing w:after="120" w:line="240" w:lineRule="auto"/>
        <w:rPr>
          <w:rFonts w:cs="Arial"/>
        </w:rPr>
      </w:pPr>
      <w:r w:rsidRPr="00410DE9">
        <w:rPr>
          <w:rFonts w:cs="Arial"/>
        </w:rPr>
        <w:t>3.7.1.3. Vincular a los emprendedores con instituciones financieras o crediticias para el desarrollo de sus proyectos.</w:t>
      </w:r>
    </w:p>
    <w:p w14:paraId="4E801242" w14:textId="77777777" w:rsidR="008D52BB" w:rsidRPr="00410DE9" w:rsidRDefault="008D52BB" w:rsidP="00B205BA">
      <w:pPr>
        <w:spacing w:after="120" w:line="240" w:lineRule="auto"/>
        <w:rPr>
          <w:rFonts w:cs="Arial"/>
        </w:rPr>
      </w:pPr>
      <w:r w:rsidRPr="00410DE9">
        <w:rPr>
          <w:rFonts w:cs="Arial"/>
        </w:rPr>
        <w:t>3.7.1.4. Impartir cursos y talleres de formación para emprendedores.</w:t>
      </w:r>
    </w:p>
    <w:p w14:paraId="224943B2" w14:textId="77777777" w:rsidR="008D52BB" w:rsidRPr="00410DE9" w:rsidRDefault="008D52BB" w:rsidP="00B205BA">
      <w:pPr>
        <w:spacing w:after="120" w:line="240" w:lineRule="auto"/>
        <w:rPr>
          <w:rFonts w:cs="Arial"/>
        </w:rPr>
      </w:pPr>
      <w:r w:rsidRPr="00410DE9">
        <w:rPr>
          <w:rFonts w:cs="Arial"/>
        </w:rPr>
        <w:t>3.7.1.5. Fomentar y facilitar con información y capacitación el emprendimiento de mujeres.</w:t>
      </w:r>
    </w:p>
    <w:p w14:paraId="6FB6D5B5" w14:textId="77777777" w:rsidR="008D52BB" w:rsidRPr="008D52BB" w:rsidRDefault="008D52BB" w:rsidP="00B205BA">
      <w:pPr>
        <w:spacing w:after="120" w:line="240" w:lineRule="auto"/>
        <w:rPr>
          <w:rFonts w:cs="Arial"/>
          <w:b/>
          <w:bCs/>
        </w:rPr>
      </w:pPr>
      <w:r w:rsidRPr="008D52BB">
        <w:rPr>
          <w:rFonts w:cs="Arial"/>
          <w:b/>
          <w:bCs/>
        </w:rPr>
        <w:t>Reto 3.8. Detonar el desarrollo económico y turístico de Hermosillo para posicionarlo nacional e internacionalmente como la mejor ciudad para visitar, vivir y trabajar del noroeste del país.</w:t>
      </w:r>
    </w:p>
    <w:p w14:paraId="54317CFC" w14:textId="77777777" w:rsidR="008D52BB" w:rsidRPr="008D52BB" w:rsidRDefault="008D52BB" w:rsidP="00B205BA">
      <w:pPr>
        <w:spacing w:after="120" w:line="240" w:lineRule="auto"/>
        <w:rPr>
          <w:rFonts w:cs="Arial"/>
          <w:b/>
          <w:bCs/>
        </w:rPr>
      </w:pPr>
      <w:r w:rsidRPr="008D52BB">
        <w:rPr>
          <w:rFonts w:cs="Arial"/>
          <w:b/>
          <w:bCs/>
        </w:rPr>
        <w:lastRenderedPageBreak/>
        <w:t>Estrategia 3.8.1. Promover las atracciones turísticas del municipio de Hermosillo y el turismo de negocios y de la salud para potenciar el impacto económico del sector.</w:t>
      </w:r>
    </w:p>
    <w:p w14:paraId="0994AFAF" w14:textId="77777777" w:rsidR="008D52BB" w:rsidRPr="00410DE9" w:rsidRDefault="008D52BB" w:rsidP="00B205BA">
      <w:pPr>
        <w:spacing w:after="120" w:line="240" w:lineRule="auto"/>
        <w:rPr>
          <w:rFonts w:cs="Arial"/>
        </w:rPr>
      </w:pPr>
      <w:r w:rsidRPr="00410DE9">
        <w:rPr>
          <w:rFonts w:cs="Arial"/>
        </w:rPr>
        <w:t>Líneas de acción:</w:t>
      </w:r>
    </w:p>
    <w:p w14:paraId="282481C6" w14:textId="77777777" w:rsidR="008D52BB" w:rsidRPr="00410DE9" w:rsidRDefault="008D52BB" w:rsidP="00B205BA">
      <w:pPr>
        <w:spacing w:after="120" w:line="240" w:lineRule="auto"/>
        <w:rPr>
          <w:rFonts w:cs="Arial"/>
        </w:rPr>
      </w:pPr>
      <w:r w:rsidRPr="00410DE9">
        <w:rPr>
          <w:rFonts w:cs="Arial"/>
        </w:rPr>
        <w:t>3.8.1.1. Llevar a cabo ediciones del Programa Viactiva, construyendo comunidad.</w:t>
      </w:r>
    </w:p>
    <w:p w14:paraId="1B93616C" w14:textId="77777777" w:rsidR="008D52BB" w:rsidRPr="00410DE9" w:rsidRDefault="008D52BB" w:rsidP="00B205BA">
      <w:pPr>
        <w:spacing w:after="120" w:line="240" w:lineRule="auto"/>
        <w:rPr>
          <w:rFonts w:cs="Arial"/>
        </w:rPr>
      </w:pPr>
      <w:r w:rsidRPr="00410DE9">
        <w:rPr>
          <w:rFonts w:cs="Arial"/>
        </w:rPr>
        <w:t>3.8.1.2. Realizar y difundir eventos turísticos para la atracción de visitantes, nacionales y extranjeros.</w:t>
      </w:r>
    </w:p>
    <w:p w14:paraId="000D3392" w14:textId="77777777" w:rsidR="008D52BB" w:rsidRPr="00410DE9" w:rsidRDefault="008D52BB" w:rsidP="00B205BA">
      <w:pPr>
        <w:spacing w:after="120" w:line="240" w:lineRule="auto"/>
        <w:rPr>
          <w:rFonts w:cs="Arial"/>
        </w:rPr>
      </w:pPr>
      <w:r w:rsidRPr="00410DE9">
        <w:rPr>
          <w:rFonts w:cs="Arial"/>
        </w:rPr>
        <w:t>3.8.1.3. Participar en eventos nacionales e internacionales de promoción del municipio de Hermosillo como destino turístico y de negocios para visitantes e inversionistas.</w:t>
      </w:r>
    </w:p>
    <w:p w14:paraId="15801885" w14:textId="77777777" w:rsidR="008D52BB" w:rsidRPr="00410DE9" w:rsidRDefault="008D52BB" w:rsidP="00B205BA">
      <w:pPr>
        <w:spacing w:after="120" w:line="240" w:lineRule="auto"/>
        <w:rPr>
          <w:rFonts w:cs="Arial"/>
        </w:rPr>
      </w:pPr>
      <w:r w:rsidRPr="00410DE9">
        <w:rPr>
          <w:rFonts w:cs="Arial"/>
        </w:rPr>
        <w:t>3.8.1.4. Promover y otorgar capacitación en materia de desarrollo turístico, a los prestadores de servicios, a organismos e instituciones públicas y privadas, y a servidores públicos, incluidos los elementos de la Policía Turística.</w:t>
      </w:r>
    </w:p>
    <w:p w14:paraId="6E396DCC" w14:textId="77777777" w:rsidR="008D52BB" w:rsidRPr="00410DE9" w:rsidRDefault="008D52BB" w:rsidP="00B205BA">
      <w:pPr>
        <w:spacing w:after="120" w:line="240" w:lineRule="auto"/>
        <w:rPr>
          <w:rFonts w:cs="Arial"/>
        </w:rPr>
      </w:pPr>
      <w:r w:rsidRPr="00410DE9">
        <w:rPr>
          <w:rFonts w:cs="Arial"/>
        </w:rPr>
        <w:t>3.8.1.5. Realizar de recorridos en el Trolebús Hermosillo.</w:t>
      </w:r>
    </w:p>
    <w:p w14:paraId="2C361D8C" w14:textId="77777777" w:rsidR="008D52BB" w:rsidRPr="008D52BB" w:rsidRDefault="008D52BB" w:rsidP="00B205BA">
      <w:pPr>
        <w:spacing w:after="120" w:line="240" w:lineRule="auto"/>
        <w:rPr>
          <w:rFonts w:cs="Arial"/>
          <w:b/>
          <w:bCs/>
        </w:rPr>
      </w:pPr>
      <w:r w:rsidRPr="008D52BB">
        <w:rPr>
          <w:rFonts w:cs="Arial"/>
          <w:b/>
          <w:bCs/>
        </w:rPr>
        <w:t>Estrategia 3.8.2. Promover la realización de eventos de análisis del sector económico y turístico del municipio de Hermosillo para diseñar estrategias efectivas para su despliegue a través de la realización de proyectos especiales y el desarrollo de capacidades de las empresas locales.</w:t>
      </w:r>
    </w:p>
    <w:p w14:paraId="33183DA1" w14:textId="77777777" w:rsidR="008D52BB" w:rsidRPr="00410DE9" w:rsidRDefault="008D52BB" w:rsidP="00B205BA">
      <w:pPr>
        <w:spacing w:after="120" w:line="240" w:lineRule="auto"/>
        <w:rPr>
          <w:rFonts w:cs="Arial"/>
        </w:rPr>
      </w:pPr>
      <w:r w:rsidRPr="00410DE9">
        <w:rPr>
          <w:rFonts w:cs="Arial"/>
        </w:rPr>
        <w:t>Líneas de acción:</w:t>
      </w:r>
      <w:r w:rsidRPr="00410DE9">
        <w:rPr>
          <w:rFonts w:cs="Arial"/>
        </w:rPr>
        <w:tab/>
      </w:r>
    </w:p>
    <w:p w14:paraId="4401250D" w14:textId="77777777" w:rsidR="008D52BB" w:rsidRPr="00410DE9" w:rsidRDefault="008D52BB" w:rsidP="00B205BA">
      <w:pPr>
        <w:spacing w:after="120" w:line="240" w:lineRule="auto"/>
        <w:rPr>
          <w:rFonts w:cs="Arial"/>
        </w:rPr>
      </w:pPr>
      <w:r w:rsidRPr="00410DE9">
        <w:rPr>
          <w:rFonts w:cs="Arial"/>
        </w:rPr>
        <w:t>3.8.2.1. Realizar reuniones con expertos nacionales e internacionales para el análisis de soluciones y generación de proyectos que potencien la economía de Hermosillo.</w:t>
      </w:r>
    </w:p>
    <w:p w14:paraId="7AF73C36" w14:textId="77777777" w:rsidR="008D52BB" w:rsidRPr="00410DE9" w:rsidRDefault="008D52BB" w:rsidP="00B205BA">
      <w:pPr>
        <w:spacing w:after="120" w:line="240" w:lineRule="auto"/>
        <w:rPr>
          <w:rFonts w:cs="Arial"/>
        </w:rPr>
      </w:pPr>
      <w:r w:rsidRPr="00410DE9">
        <w:rPr>
          <w:rFonts w:cs="Arial"/>
        </w:rPr>
        <w:t>3.8.2.2. Brindar capacitación y asesoría a las empresas que deseen incursionar en nuevas oportunidades de negocio.</w:t>
      </w:r>
    </w:p>
    <w:p w14:paraId="79CDD14F" w14:textId="77777777" w:rsidR="008D52BB" w:rsidRPr="00410DE9" w:rsidRDefault="008D52BB" w:rsidP="00B205BA">
      <w:pPr>
        <w:spacing w:after="120" w:line="240" w:lineRule="auto"/>
        <w:rPr>
          <w:rFonts w:cs="Arial"/>
        </w:rPr>
      </w:pPr>
      <w:r w:rsidRPr="00410DE9">
        <w:rPr>
          <w:rFonts w:cs="Arial"/>
        </w:rPr>
        <w:t>3.8.2.3. Proporcionar servicios de consultoría para la búsqueda de soluciones y la implementación de mejoras en los negocios.</w:t>
      </w:r>
    </w:p>
    <w:p w14:paraId="67E3C0E7" w14:textId="77777777" w:rsidR="008D52BB" w:rsidRPr="00410DE9" w:rsidRDefault="008D52BB" w:rsidP="00B205BA">
      <w:pPr>
        <w:spacing w:after="120" w:line="240" w:lineRule="auto"/>
        <w:rPr>
          <w:rFonts w:cs="Arial"/>
        </w:rPr>
      </w:pPr>
      <w:r w:rsidRPr="00410DE9">
        <w:rPr>
          <w:rFonts w:cs="Arial"/>
        </w:rPr>
        <w:t>3.8.2.4. Promover la participación de empresas locales en la realización de eventos de promoción económica y turística.</w:t>
      </w:r>
    </w:p>
    <w:p w14:paraId="276C4BD7" w14:textId="77777777" w:rsidR="008D52BB" w:rsidRPr="008D52BB" w:rsidRDefault="008D52BB" w:rsidP="00B205BA">
      <w:pPr>
        <w:spacing w:after="120" w:line="240" w:lineRule="auto"/>
        <w:rPr>
          <w:rFonts w:cs="Arial"/>
          <w:b/>
          <w:bCs/>
        </w:rPr>
      </w:pPr>
      <w:r w:rsidRPr="008D52BB">
        <w:rPr>
          <w:rFonts w:cs="Arial"/>
          <w:b/>
          <w:bCs/>
        </w:rPr>
        <w:t xml:space="preserve">Reto 3.9. Crear un ambiente de negocios que estimule la creación y desarrollo de empresas para la generación de empleos formales a través del fomento a la inversión, mejora regulatoria y estímulos empresariales. </w:t>
      </w:r>
    </w:p>
    <w:p w14:paraId="00A63C7E" w14:textId="77777777" w:rsidR="008D52BB" w:rsidRPr="008D52BB" w:rsidRDefault="008D52BB" w:rsidP="00B205BA">
      <w:pPr>
        <w:spacing w:after="120" w:line="240" w:lineRule="auto"/>
        <w:rPr>
          <w:rFonts w:cs="Arial"/>
          <w:b/>
          <w:bCs/>
        </w:rPr>
      </w:pPr>
      <w:r w:rsidRPr="008D52BB">
        <w:rPr>
          <w:rFonts w:cs="Arial"/>
          <w:b/>
          <w:bCs/>
        </w:rPr>
        <w:t>Estrategia 3.9.1. Otorgar seguridad jurídica a las personas y las empresas, dar transparencia y facilitar el cumplimiento regulatorio, a través del diseño de una política de mejora regulatoria que favorezca la reactivación económica y fortalezca el desarrollo y la competitividad del municipio, fomentando el uso de tecnologías de la información para agilizar la resolución de trámites para la apertura de empresas.</w:t>
      </w:r>
    </w:p>
    <w:p w14:paraId="046B68E5" w14:textId="77777777" w:rsidR="008D52BB" w:rsidRPr="00410DE9" w:rsidRDefault="008D52BB" w:rsidP="00B205BA">
      <w:pPr>
        <w:spacing w:after="120" w:line="240" w:lineRule="auto"/>
        <w:rPr>
          <w:rFonts w:cs="Arial"/>
        </w:rPr>
      </w:pPr>
      <w:r w:rsidRPr="00410DE9">
        <w:rPr>
          <w:rFonts w:cs="Arial"/>
        </w:rPr>
        <w:t>Líneas de acción:</w:t>
      </w:r>
      <w:r w:rsidRPr="00410DE9">
        <w:rPr>
          <w:rFonts w:cs="Arial"/>
        </w:rPr>
        <w:tab/>
      </w:r>
    </w:p>
    <w:p w14:paraId="27A3D8BC" w14:textId="77777777" w:rsidR="008D52BB" w:rsidRPr="00410DE9" w:rsidRDefault="008D52BB" w:rsidP="00B205BA">
      <w:pPr>
        <w:spacing w:after="120" w:line="240" w:lineRule="auto"/>
        <w:rPr>
          <w:rFonts w:cs="Arial"/>
        </w:rPr>
      </w:pPr>
      <w:r w:rsidRPr="00410DE9">
        <w:rPr>
          <w:rFonts w:cs="Arial"/>
        </w:rPr>
        <w:t>3.9.1.1. Actualizar y depurar el Registro Municipal de Trámites y Servicios.</w:t>
      </w:r>
    </w:p>
    <w:p w14:paraId="53BE6478" w14:textId="77777777" w:rsidR="008D52BB" w:rsidRPr="00410DE9" w:rsidRDefault="008D52BB" w:rsidP="00B205BA">
      <w:pPr>
        <w:spacing w:after="120" w:line="240" w:lineRule="auto"/>
        <w:rPr>
          <w:rFonts w:cs="Arial"/>
        </w:rPr>
      </w:pPr>
      <w:r w:rsidRPr="00410DE9">
        <w:rPr>
          <w:rFonts w:cs="Arial"/>
        </w:rPr>
        <w:t>3.9.1.2. Simplificar los procesos actuales de los trámites y servicios de mayor impacto para el municipio.</w:t>
      </w:r>
    </w:p>
    <w:p w14:paraId="4A2124AD" w14:textId="77777777" w:rsidR="008D52BB" w:rsidRPr="00410DE9" w:rsidRDefault="008D52BB" w:rsidP="00B205BA">
      <w:pPr>
        <w:spacing w:after="120" w:line="240" w:lineRule="auto"/>
        <w:rPr>
          <w:rFonts w:cs="Arial"/>
        </w:rPr>
      </w:pPr>
      <w:r w:rsidRPr="00410DE9">
        <w:rPr>
          <w:rFonts w:cs="Arial"/>
        </w:rPr>
        <w:t>3.9.1.3. Digitalizar y sistematizar los trámites de mayor impacto para el municipio.</w:t>
      </w:r>
    </w:p>
    <w:p w14:paraId="7488D12B" w14:textId="77777777" w:rsidR="008D52BB" w:rsidRPr="00410DE9" w:rsidRDefault="008D52BB" w:rsidP="00B205BA">
      <w:pPr>
        <w:spacing w:after="120" w:line="240" w:lineRule="auto"/>
        <w:rPr>
          <w:rFonts w:cs="Arial"/>
        </w:rPr>
      </w:pPr>
      <w:r w:rsidRPr="00410DE9">
        <w:rPr>
          <w:rFonts w:cs="Arial"/>
        </w:rPr>
        <w:t>3.9.1.4. Fortalecer la apertura rápida de empresas y la gestión de trámites empresariales.</w:t>
      </w:r>
    </w:p>
    <w:p w14:paraId="3FCD5409" w14:textId="77777777" w:rsidR="008D52BB" w:rsidRPr="00410DE9" w:rsidRDefault="008D52BB" w:rsidP="00B205BA">
      <w:pPr>
        <w:spacing w:after="120" w:line="240" w:lineRule="auto"/>
        <w:rPr>
          <w:rFonts w:cs="Arial"/>
        </w:rPr>
      </w:pPr>
      <w:r w:rsidRPr="00410DE9">
        <w:rPr>
          <w:rFonts w:cs="Arial"/>
        </w:rPr>
        <w:t>3.9.1.5. Dar seguimiento a la implementación de la agenda de Mejora Regulatoria Municipal.</w:t>
      </w:r>
    </w:p>
    <w:p w14:paraId="431DA906" w14:textId="77777777" w:rsidR="008D52BB" w:rsidRPr="00410DE9" w:rsidRDefault="008D52BB" w:rsidP="00B205BA">
      <w:pPr>
        <w:spacing w:after="120" w:line="240" w:lineRule="auto"/>
        <w:rPr>
          <w:rFonts w:cs="Arial"/>
        </w:rPr>
      </w:pPr>
      <w:r w:rsidRPr="00410DE9">
        <w:rPr>
          <w:rFonts w:cs="Arial"/>
        </w:rPr>
        <w:lastRenderedPageBreak/>
        <w:t>3.9.1.6. Fomentar la profesionalización en materia de Mejora Regulatoria a través de cursos y talleres.</w:t>
      </w:r>
    </w:p>
    <w:p w14:paraId="63EA1728" w14:textId="77777777" w:rsidR="008D52BB" w:rsidRPr="008D52BB" w:rsidRDefault="008D52BB" w:rsidP="00B205BA">
      <w:pPr>
        <w:spacing w:after="120" w:line="240" w:lineRule="auto"/>
        <w:rPr>
          <w:rFonts w:cs="Arial"/>
          <w:b/>
          <w:bCs/>
        </w:rPr>
      </w:pPr>
      <w:r w:rsidRPr="008D52BB">
        <w:rPr>
          <w:rFonts w:cs="Arial"/>
          <w:b/>
          <w:bCs/>
        </w:rPr>
        <w:t>Estrategia 3.9.2. Propiciar mejoras en la infraestructura básica y los servicios públicos del municipio que sean indispensables para la apertura y el adecuado funcionamiento de las empresas y generar proyectos de inversión productiva e inmobiliaria.</w:t>
      </w:r>
    </w:p>
    <w:p w14:paraId="26873A6A" w14:textId="77777777" w:rsidR="008D52BB" w:rsidRPr="00410DE9" w:rsidRDefault="008D52BB" w:rsidP="00B205BA">
      <w:pPr>
        <w:spacing w:after="120" w:line="240" w:lineRule="auto"/>
        <w:rPr>
          <w:rFonts w:cs="Arial"/>
        </w:rPr>
      </w:pPr>
      <w:r w:rsidRPr="00410DE9">
        <w:rPr>
          <w:rFonts w:cs="Arial"/>
        </w:rPr>
        <w:t>Líneas de acción:</w:t>
      </w:r>
      <w:r w:rsidRPr="00410DE9">
        <w:rPr>
          <w:rFonts w:cs="Arial"/>
        </w:rPr>
        <w:tab/>
      </w:r>
    </w:p>
    <w:p w14:paraId="2CD8C907" w14:textId="77777777" w:rsidR="008D52BB" w:rsidRPr="00410DE9" w:rsidRDefault="008D52BB" w:rsidP="00B205BA">
      <w:pPr>
        <w:spacing w:after="120" w:line="240" w:lineRule="auto"/>
        <w:rPr>
          <w:rFonts w:cs="Arial"/>
        </w:rPr>
      </w:pPr>
      <w:r w:rsidRPr="00410DE9">
        <w:rPr>
          <w:rFonts w:cs="Arial"/>
        </w:rPr>
        <w:t>3.9.2.1. Promover la inversión pública productiva aprovechando los ahorros en otros conceptos del gasto público para incentivar la reactivación económica del municipio.</w:t>
      </w:r>
    </w:p>
    <w:p w14:paraId="13A4E730" w14:textId="77777777" w:rsidR="008D52BB" w:rsidRPr="00410DE9" w:rsidRDefault="008D52BB" w:rsidP="00B205BA">
      <w:pPr>
        <w:spacing w:after="120" w:line="240" w:lineRule="auto"/>
        <w:rPr>
          <w:rFonts w:cs="Arial"/>
        </w:rPr>
      </w:pPr>
      <w:r w:rsidRPr="00410DE9">
        <w:rPr>
          <w:rFonts w:cs="Arial"/>
        </w:rPr>
        <w:t>3.9.2.2. Promover incentivos a la participación de empresas locales en los proyectos de inversión para que estas generen un impacto mayor en la economía del municipio y el estado.</w:t>
      </w:r>
    </w:p>
    <w:p w14:paraId="3845E784" w14:textId="77777777" w:rsidR="008D52BB" w:rsidRPr="00410DE9" w:rsidRDefault="008D52BB" w:rsidP="00B205BA">
      <w:pPr>
        <w:spacing w:after="120" w:line="240" w:lineRule="auto"/>
        <w:rPr>
          <w:rFonts w:cs="Arial"/>
        </w:rPr>
      </w:pPr>
      <w:r w:rsidRPr="00410DE9">
        <w:rPr>
          <w:rFonts w:cs="Arial"/>
        </w:rPr>
        <w:t>3.9.2.3. Promover la inversión pública productiva en las zonas rurales y urbanas del municipio que propicie un impacto positivo en todo el municipio.</w:t>
      </w:r>
    </w:p>
    <w:p w14:paraId="6CCF8CF1" w14:textId="77777777" w:rsidR="008D52BB" w:rsidRPr="00410DE9" w:rsidRDefault="008D52BB" w:rsidP="00B205BA">
      <w:pPr>
        <w:spacing w:after="120" w:line="240" w:lineRule="auto"/>
        <w:rPr>
          <w:rFonts w:cs="Arial"/>
        </w:rPr>
      </w:pPr>
      <w:r w:rsidRPr="00410DE9">
        <w:rPr>
          <w:rFonts w:cs="Arial"/>
        </w:rPr>
        <w:t>3.9.2.4. Promover la participación de empresas locales en las obras que se ejecuten con recursos a cargo del Ayuntamiento.</w:t>
      </w:r>
    </w:p>
    <w:p w14:paraId="5A00D79F" w14:textId="0F8A4465" w:rsidR="00DA27A7" w:rsidRPr="00D503D0" w:rsidRDefault="00DA27A7" w:rsidP="00B205BA">
      <w:pPr>
        <w:spacing w:after="120" w:line="240" w:lineRule="auto"/>
        <w:rPr>
          <w:rFonts w:cs="Arial"/>
          <w:sz w:val="24"/>
          <w:szCs w:val="24"/>
        </w:rPr>
      </w:pPr>
    </w:p>
    <w:p w14:paraId="466E8200" w14:textId="5AFD1D21" w:rsidR="00DA27A7" w:rsidRDefault="00DA27A7" w:rsidP="00B205BA">
      <w:pPr>
        <w:spacing w:after="120" w:line="240" w:lineRule="auto"/>
        <w:ind w:left="360"/>
        <w:rPr>
          <w:rFonts w:cs="Arial"/>
          <w:sz w:val="24"/>
          <w:szCs w:val="24"/>
        </w:rPr>
      </w:pPr>
    </w:p>
    <w:p w14:paraId="3B5363BD" w14:textId="092620F5" w:rsidR="00A8122C" w:rsidRDefault="00A8122C" w:rsidP="00B205BA">
      <w:pPr>
        <w:spacing w:after="120" w:line="240" w:lineRule="auto"/>
        <w:ind w:left="360"/>
        <w:rPr>
          <w:rFonts w:cs="Arial"/>
          <w:sz w:val="24"/>
          <w:szCs w:val="24"/>
        </w:rPr>
      </w:pPr>
    </w:p>
    <w:p w14:paraId="16CAFB92" w14:textId="0421DC18" w:rsidR="00A8122C" w:rsidRDefault="00A8122C" w:rsidP="00B205BA">
      <w:pPr>
        <w:spacing w:after="120" w:line="240" w:lineRule="auto"/>
        <w:ind w:left="360"/>
        <w:rPr>
          <w:rFonts w:cs="Arial"/>
          <w:sz w:val="24"/>
          <w:szCs w:val="24"/>
        </w:rPr>
      </w:pPr>
    </w:p>
    <w:p w14:paraId="22054635" w14:textId="3F632FA7" w:rsidR="00A8122C" w:rsidRDefault="00A8122C" w:rsidP="00B205BA">
      <w:pPr>
        <w:spacing w:after="120" w:line="240" w:lineRule="auto"/>
        <w:ind w:left="360"/>
        <w:rPr>
          <w:rFonts w:cs="Arial"/>
          <w:sz w:val="24"/>
          <w:szCs w:val="24"/>
        </w:rPr>
      </w:pPr>
    </w:p>
    <w:p w14:paraId="5B27EFAF" w14:textId="2622FA7F" w:rsidR="00A8122C" w:rsidRDefault="00A8122C" w:rsidP="00B205BA">
      <w:pPr>
        <w:spacing w:after="120" w:line="240" w:lineRule="auto"/>
        <w:ind w:left="360"/>
        <w:rPr>
          <w:rFonts w:cs="Arial"/>
          <w:sz w:val="24"/>
          <w:szCs w:val="24"/>
        </w:rPr>
      </w:pPr>
    </w:p>
    <w:p w14:paraId="3D4D3E87" w14:textId="77777777" w:rsidR="00A13BDA" w:rsidRDefault="00A13BDA" w:rsidP="00B205BA">
      <w:pPr>
        <w:spacing w:after="120" w:line="240" w:lineRule="auto"/>
        <w:ind w:left="360"/>
        <w:rPr>
          <w:rFonts w:cs="Arial"/>
          <w:sz w:val="24"/>
          <w:szCs w:val="24"/>
        </w:rPr>
      </w:pPr>
    </w:p>
    <w:p w14:paraId="4B3D2EC3" w14:textId="77777777" w:rsidR="00A13BDA" w:rsidRDefault="00A13BDA" w:rsidP="00B205BA">
      <w:pPr>
        <w:spacing w:after="120" w:line="240" w:lineRule="auto"/>
        <w:ind w:left="360"/>
        <w:rPr>
          <w:rFonts w:cs="Arial"/>
          <w:sz w:val="24"/>
          <w:szCs w:val="24"/>
        </w:rPr>
      </w:pPr>
    </w:p>
    <w:p w14:paraId="493CDFD2" w14:textId="77777777" w:rsidR="00A13BDA" w:rsidRDefault="00A13BDA" w:rsidP="00B205BA">
      <w:pPr>
        <w:spacing w:after="120" w:line="240" w:lineRule="auto"/>
        <w:ind w:left="360"/>
        <w:rPr>
          <w:rFonts w:cs="Arial"/>
          <w:sz w:val="24"/>
          <w:szCs w:val="24"/>
        </w:rPr>
      </w:pPr>
    </w:p>
    <w:p w14:paraId="6191BB7A" w14:textId="77777777" w:rsidR="00A13BDA" w:rsidRDefault="00A13BDA" w:rsidP="00B205BA">
      <w:pPr>
        <w:spacing w:after="120" w:line="240" w:lineRule="auto"/>
        <w:ind w:left="360"/>
        <w:rPr>
          <w:rFonts w:cs="Arial"/>
          <w:sz w:val="24"/>
          <w:szCs w:val="24"/>
        </w:rPr>
      </w:pPr>
    </w:p>
    <w:p w14:paraId="4DFCEBA4" w14:textId="77777777" w:rsidR="00A13BDA" w:rsidRDefault="00A13BDA" w:rsidP="00B205BA">
      <w:pPr>
        <w:spacing w:after="120" w:line="240" w:lineRule="auto"/>
        <w:ind w:left="360"/>
        <w:rPr>
          <w:rFonts w:cs="Arial"/>
          <w:sz w:val="24"/>
          <w:szCs w:val="24"/>
        </w:rPr>
      </w:pPr>
    </w:p>
    <w:p w14:paraId="50A08EE9" w14:textId="77777777" w:rsidR="00A13BDA" w:rsidRDefault="00A13BDA" w:rsidP="00B205BA">
      <w:pPr>
        <w:spacing w:after="120" w:line="240" w:lineRule="auto"/>
        <w:ind w:left="360"/>
        <w:rPr>
          <w:rFonts w:cs="Arial"/>
          <w:sz w:val="24"/>
          <w:szCs w:val="24"/>
        </w:rPr>
      </w:pPr>
    </w:p>
    <w:p w14:paraId="5F372D86" w14:textId="77777777" w:rsidR="00A13BDA" w:rsidRDefault="00A13BDA" w:rsidP="00B205BA">
      <w:pPr>
        <w:spacing w:after="120" w:line="240" w:lineRule="auto"/>
        <w:ind w:left="360"/>
        <w:rPr>
          <w:rFonts w:cs="Arial"/>
          <w:sz w:val="24"/>
          <w:szCs w:val="24"/>
        </w:rPr>
      </w:pPr>
    </w:p>
    <w:p w14:paraId="6B9783BE" w14:textId="77777777" w:rsidR="00A13BDA" w:rsidRDefault="00A13BDA" w:rsidP="00B205BA">
      <w:pPr>
        <w:spacing w:after="120" w:line="240" w:lineRule="auto"/>
        <w:ind w:left="360"/>
        <w:rPr>
          <w:rFonts w:cs="Arial"/>
          <w:sz w:val="24"/>
          <w:szCs w:val="24"/>
        </w:rPr>
      </w:pPr>
    </w:p>
    <w:p w14:paraId="33A114A1" w14:textId="77777777" w:rsidR="00A13BDA" w:rsidRDefault="00A13BDA" w:rsidP="00B205BA">
      <w:pPr>
        <w:spacing w:after="120" w:line="240" w:lineRule="auto"/>
        <w:ind w:left="360"/>
        <w:rPr>
          <w:rFonts w:cs="Arial"/>
          <w:sz w:val="24"/>
          <w:szCs w:val="24"/>
        </w:rPr>
      </w:pPr>
    </w:p>
    <w:p w14:paraId="5400E3C9" w14:textId="77777777" w:rsidR="00A13BDA" w:rsidRDefault="00A13BDA" w:rsidP="00B205BA">
      <w:pPr>
        <w:spacing w:after="120" w:line="240" w:lineRule="auto"/>
        <w:ind w:left="360"/>
        <w:rPr>
          <w:rFonts w:cs="Arial"/>
          <w:sz w:val="24"/>
          <w:szCs w:val="24"/>
        </w:rPr>
      </w:pPr>
    </w:p>
    <w:p w14:paraId="5378C161" w14:textId="77777777" w:rsidR="00A13BDA" w:rsidRDefault="00A13BDA" w:rsidP="00B205BA">
      <w:pPr>
        <w:spacing w:after="120" w:line="240" w:lineRule="auto"/>
        <w:ind w:left="360"/>
        <w:rPr>
          <w:rFonts w:cs="Arial"/>
          <w:sz w:val="24"/>
          <w:szCs w:val="24"/>
        </w:rPr>
      </w:pPr>
    </w:p>
    <w:p w14:paraId="7AB72932" w14:textId="60624CBA" w:rsidR="00A8122C" w:rsidRDefault="00A8122C" w:rsidP="00B205BA">
      <w:pPr>
        <w:spacing w:after="120" w:line="240" w:lineRule="auto"/>
        <w:rPr>
          <w:rFonts w:cs="Arial"/>
          <w:sz w:val="24"/>
          <w:szCs w:val="24"/>
        </w:rPr>
      </w:pPr>
    </w:p>
    <w:p w14:paraId="36266F69" w14:textId="7B8CE1F0" w:rsidR="00501484" w:rsidRDefault="00501484" w:rsidP="00B205BA">
      <w:pPr>
        <w:spacing w:after="120" w:line="240" w:lineRule="auto"/>
        <w:ind w:left="360"/>
        <w:rPr>
          <w:rFonts w:cs="Arial"/>
          <w:sz w:val="24"/>
          <w:szCs w:val="24"/>
        </w:rPr>
      </w:pPr>
    </w:p>
    <w:p w14:paraId="66C4A960" w14:textId="77777777" w:rsidR="00501484" w:rsidRDefault="00501484" w:rsidP="00B205BA">
      <w:pPr>
        <w:spacing w:after="120" w:line="240" w:lineRule="auto"/>
        <w:ind w:left="360"/>
        <w:rPr>
          <w:rFonts w:cs="Arial"/>
          <w:sz w:val="24"/>
          <w:szCs w:val="24"/>
        </w:rPr>
      </w:pPr>
    </w:p>
    <w:p w14:paraId="64C16FD9" w14:textId="6BECD15D" w:rsidR="00983F12" w:rsidRDefault="00983F12" w:rsidP="00B205BA">
      <w:pPr>
        <w:spacing w:after="120" w:line="240" w:lineRule="auto"/>
        <w:ind w:left="360"/>
        <w:rPr>
          <w:rFonts w:cs="Arial"/>
          <w:sz w:val="24"/>
          <w:szCs w:val="24"/>
        </w:rPr>
      </w:pPr>
    </w:p>
    <w:p w14:paraId="2504C2F0" w14:textId="77777777" w:rsidR="00013F4A" w:rsidRDefault="00013F4A" w:rsidP="00B205BA">
      <w:pPr>
        <w:spacing w:after="120" w:line="240" w:lineRule="auto"/>
        <w:ind w:left="360"/>
        <w:rPr>
          <w:rFonts w:cs="Arial"/>
          <w:sz w:val="32"/>
          <w:szCs w:val="32"/>
        </w:rPr>
      </w:pPr>
    </w:p>
    <w:p w14:paraId="7728DCD6" w14:textId="75ACE7EA" w:rsidR="00983F12" w:rsidRDefault="00983F12" w:rsidP="00B205BA">
      <w:pPr>
        <w:spacing w:after="120" w:line="240" w:lineRule="auto"/>
        <w:ind w:left="360"/>
        <w:rPr>
          <w:rFonts w:cs="Arial"/>
          <w:sz w:val="32"/>
          <w:szCs w:val="32"/>
        </w:rPr>
      </w:pPr>
    </w:p>
    <w:p w14:paraId="0549E4B0" w14:textId="7ED6DDF8" w:rsidR="00983F12" w:rsidRDefault="00983F12" w:rsidP="00B205BA">
      <w:pPr>
        <w:spacing w:after="120" w:line="240" w:lineRule="auto"/>
        <w:ind w:left="360"/>
        <w:rPr>
          <w:rFonts w:cs="Arial"/>
          <w:sz w:val="32"/>
          <w:szCs w:val="32"/>
        </w:rPr>
      </w:pPr>
    </w:p>
    <w:p w14:paraId="140E6F7A" w14:textId="08D762E1" w:rsidR="00983F12" w:rsidRDefault="00983F12" w:rsidP="00B205BA">
      <w:pPr>
        <w:spacing w:after="120" w:line="240" w:lineRule="auto"/>
        <w:ind w:left="360"/>
        <w:rPr>
          <w:rFonts w:cs="Arial"/>
          <w:sz w:val="32"/>
          <w:szCs w:val="32"/>
        </w:rPr>
      </w:pPr>
    </w:p>
    <w:p w14:paraId="5043C2CA" w14:textId="03ADB11A" w:rsidR="00983F12" w:rsidRDefault="00983F12" w:rsidP="00B205BA">
      <w:pPr>
        <w:spacing w:after="120" w:line="240" w:lineRule="auto"/>
        <w:rPr>
          <w:rFonts w:cs="Arial"/>
          <w:sz w:val="32"/>
          <w:szCs w:val="32"/>
        </w:rPr>
      </w:pPr>
    </w:p>
    <w:p w14:paraId="396FE7E8" w14:textId="15208CFB" w:rsidR="007503ED" w:rsidRDefault="007503ED" w:rsidP="00B205BA">
      <w:pPr>
        <w:spacing w:after="120" w:line="240" w:lineRule="auto"/>
        <w:rPr>
          <w:rFonts w:cs="Arial"/>
          <w:sz w:val="32"/>
          <w:szCs w:val="32"/>
        </w:rPr>
      </w:pPr>
    </w:p>
    <w:p w14:paraId="1CCD4550" w14:textId="77777777" w:rsidR="007503ED" w:rsidRDefault="007503ED" w:rsidP="00B205BA">
      <w:pPr>
        <w:spacing w:after="120" w:line="240" w:lineRule="auto"/>
        <w:rPr>
          <w:rFonts w:cs="Arial"/>
          <w:sz w:val="32"/>
          <w:szCs w:val="32"/>
        </w:rPr>
      </w:pPr>
    </w:p>
    <w:p w14:paraId="4156371D" w14:textId="238D3911" w:rsidR="00983F12" w:rsidRDefault="00983F12" w:rsidP="00B205BA">
      <w:pPr>
        <w:spacing w:after="120" w:line="240" w:lineRule="auto"/>
        <w:ind w:left="360"/>
        <w:rPr>
          <w:rFonts w:cs="Arial"/>
          <w:sz w:val="32"/>
          <w:szCs w:val="32"/>
        </w:rPr>
      </w:pPr>
    </w:p>
    <w:p w14:paraId="7BD2F95E" w14:textId="77777777" w:rsidR="00983F12" w:rsidRPr="00A8122C" w:rsidRDefault="00983F12" w:rsidP="00B205BA">
      <w:pPr>
        <w:spacing w:after="120" w:line="240" w:lineRule="auto"/>
        <w:ind w:left="360"/>
        <w:rPr>
          <w:rFonts w:cs="Arial"/>
          <w:sz w:val="32"/>
          <w:szCs w:val="32"/>
        </w:rPr>
      </w:pPr>
    </w:p>
    <w:p w14:paraId="1830B3C9" w14:textId="77777777" w:rsidR="00DA27A7" w:rsidRPr="00A8122C" w:rsidRDefault="00DA27A7" w:rsidP="00B205BA">
      <w:pPr>
        <w:spacing w:after="120" w:line="240" w:lineRule="auto"/>
        <w:ind w:left="360"/>
        <w:rPr>
          <w:rFonts w:cs="Arial"/>
          <w:sz w:val="32"/>
          <w:szCs w:val="32"/>
        </w:rPr>
      </w:pPr>
    </w:p>
    <w:p w14:paraId="0CDA7CE6" w14:textId="254964C3" w:rsidR="00DA27A7" w:rsidRPr="00A8122C" w:rsidRDefault="006A6722" w:rsidP="007503ED">
      <w:pPr>
        <w:pStyle w:val="Ttulo2"/>
        <w:jc w:val="center"/>
      </w:pPr>
      <w:bookmarkStart w:id="14" w:name="_Toc187396122"/>
      <w:bookmarkStart w:id="15" w:name="OLE_LINK19"/>
      <w:bookmarkStart w:id="16" w:name="OLE_LINK20"/>
      <w:r w:rsidRPr="00A8122C">
        <w:t>Frente 4. Hermosillo Vivo</w:t>
      </w:r>
      <w:r w:rsidR="006048AE">
        <w:t xml:space="preserve"> e Incluyente</w:t>
      </w:r>
      <w:bookmarkEnd w:id="14"/>
    </w:p>
    <w:p w14:paraId="34F63D07" w14:textId="06E20F8D" w:rsidR="00DA27A7" w:rsidRPr="00A8122C" w:rsidRDefault="006A6722" w:rsidP="007503ED">
      <w:pPr>
        <w:spacing w:after="120" w:line="240" w:lineRule="auto"/>
        <w:ind w:left="-142"/>
        <w:jc w:val="center"/>
        <w:rPr>
          <w:rFonts w:cs="Arial"/>
          <w:b/>
          <w:bCs/>
          <w:color w:val="000000" w:themeColor="text1"/>
          <w:sz w:val="32"/>
          <w:szCs w:val="32"/>
        </w:rPr>
      </w:pPr>
      <w:r>
        <w:rPr>
          <w:rFonts w:eastAsiaTheme="majorEastAsia" w:cs="Arial"/>
          <w:b/>
          <w:bCs/>
          <w:color w:val="000000" w:themeColor="text1"/>
          <w:sz w:val="32"/>
          <w:szCs w:val="32"/>
        </w:rPr>
        <w:t>“</w:t>
      </w:r>
      <w:r w:rsidRPr="00A8122C">
        <w:rPr>
          <w:rFonts w:eastAsiaTheme="majorEastAsia" w:cs="Arial"/>
          <w:b/>
          <w:bCs/>
          <w:color w:val="000000" w:themeColor="text1"/>
          <w:sz w:val="32"/>
          <w:szCs w:val="32"/>
        </w:rPr>
        <w:t xml:space="preserve">Sociedad </w:t>
      </w:r>
      <w:r w:rsidR="006048AE">
        <w:rPr>
          <w:rFonts w:eastAsiaTheme="majorEastAsia" w:cs="Arial"/>
          <w:b/>
          <w:bCs/>
          <w:color w:val="000000" w:themeColor="text1"/>
          <w:sz w:val="32"/>
          <w:szCs w:val="32"/>
        </w:rPr>
        <w:t xml:space="preserve">justa, inclusiva y participativa con empoderamiento social, desarrollo integral </w:t>
      </w:r>
      <w:r w:rsidR="008D52BB">
        <w:rPr>
          <w:rFonts w:eastAsiaTheme="majorEastAsia" w:cs="Arial"/>
          <w:b/>
          <w:bCs/>
          <w:color w:val="000000" w:themeColor="text1"/>
          <w:sz w:val="32"/>
          <w:szCs w:val="32"/>
        </w:rPr>
        <w:t>y comunidades</w:t>
      </w:r>
      <w:r w:rsidR="006048AE">
        <w:rPr>
          <w:rFonts w:eastAsiaTheme="majorEastAsia" w:cs="Arial"/>
          <w:b/>
          <w:bCs/>
          <w:color w:val="000000" w:themeColor="text1"/>
          <w:sz w:val="32"/>
          <w:szCs w:val="32"/>
        </w:rPr>
        <w:t xml:space="preserve"> saludables</w:t>
      </w:r>
      <w:r>
        <w:rPr>
          <w:rFonts w:eastAsiaTheme="majorEastAsia" w:cs="Arial"/>
          <w:b/>
          <w:bCs/>
          <w:color w:val="000000" w:themeColor="text1"/>
          <w:sz w:val="32"/>
          <w:szCs w:val="32"/>
        </w:rPr>
        <w:t>”</w:t>
      </w:r>
    </w:p>
    <w:p w14:paraId="1F6DE124" w14:textId="77777777" w:rsidR="00DA27A7" w:rsidRPr="00A8122C" w:rsidRDefault="00DA27A7" w:rsidP="00B205BA">
      <w:pPr>
        <w:spacing w:after="120" w:line="240" w:lineRule="auto"/>
        <w:rPr>
          <w:rFonts w:cs="Arial"/>
          <w:sz w:val="32"/>
          <w:szCs w:val="32"/>
        </w:rPr>
      </w:pPr>
    </w:p>
    <w:p w14:paraId="5562E19E" w14:textId="77777777" w:rsidR="00DA27A7" w:rsidRPr="00D503D0" w:rsidRDefault="00DA27A7" w:rsidP="00B205BA">
      <w:pPr>
        <w:spacing w:after="120" w:line="240" w:lineRule="auto"/>
        <w:ind w:left="360"/>
        <w:rPr>
          <w:rFonts w:cs="Arial"/>
          <w:sz w:val="24"/>
          <w:szCs w:val="24"/>
        </w:rPr>
      </w:pPr>
    </w:p>
    <w:p w14:paraId="7C3B9EC9" w14:textId="2B6A11DC" w:rsidR="00DA27A7" w:rsidRPr="00D503D0" w:rsidRDefault="00DA27A7" w:rsidP="00B205BA">
      <w:pPr>
        <w:spacing w:after="120" w:line="240" w:lineRule="auto"/>
        <w:rPr>
          <w:rFonts w:cs="Arial"/>
          <w:b/>
          <w:bCs/>
          <w:color w:val="A6A6A6" w:themeColor="background1" w:themeShade="A6"/>
          <w:sz w:val="24"/>
          <w:szCs w:val="24"/>
        </w:rPr>
      </w:pPr>
    </w:p>
    <w:p w14:paraId="1F3BE570" w14:textId="1558A8E0" w:rsidR="00DA27A7" w:rsidRPr="00D503D0" w:rsidRDefault="00DA27A7" w:rsidP="00B205BA">
      <w:pPr>
        <w:spacing w:after="120" w:line="240" w:lineRule="auto"/>
        <w:rPr>
          <w:rFonts w:cs="Arial"/>
          <w:b/>
          <w:bCs/>
          <w:color w:val="A6A6A6" w:themeColor="background1" w:themeShade="A6"/>
          <w:sz w:val="24"/>
          <w:szCs w:val="24"/>
        </w:rPr>
      </w:pPr>
    </w:p>
    <w:p w14:paraId="05536655" w14:textId="6B896CE5" w:rsidR="00DA27A7" w:rsidRPr="00D503D0" w:rsidRDefault="00DA27A7" w:rsidP="00B205BA">
      <w:pPr>
        <w:spacing w:after="120" w:line="240" w:lineRule="auto"/>
        <w:rPr>
          <w:rFonts w:cs="Arial"/>
          <w:b/>
          <w:bCs/>
          <w:color w:val="A6A6A6" w:themeColor="background1" w:themeShade="A6"/>
          <w:sz w:val="24"/>
          <w:szCs w:val="24"/>
        </w:rPr>
      </w:pPr>
    </w:p>
    <w:p w14:paraId="122378DE" w14:textId="242D78E8" w:rsidR="00DA27A7" w:rsidRPr="00D503D0" w:rsidRDefault="00DA27A7" w:rsidP="00B205BA">
      <w:pPr>
        <w:spacing w:after="120" w:line="240" w:lineRule="auto"/>
        <w:rPr>
          <w:rFonts w:cs="Arial"/>
          <w:b/>
          <w:bCs/>
          <w:color w:val="A6A6A6" w:themeColor="background1" w:themeShade="A6"/>
          <w:sz w:val="24"/>
          <w:szCs w:val="24"/>
        </w:rPr>
      </w:pPr>
    </w:p>
    <w:p w14:paraId="7F842E40" w14:textId="3AE88F73" w:rsidR="00DA27A7" w:rsidRDefault="00DA27A7" w:rsidP="00B205BA">
      <w:pPr>
        <w:spacing w:after="120" w:line="240" w:lineRule="auto"/>
        <w:rPr>
          <w:rFonts w:cs="Arial"/>
          <w:b/>
          <w:bCs/>
          <w:color w:val="A6A6A6" w:themeColor="background1" w:themeShade="A6"/>
          <w:sz w:val="24"/>
          <w:szCs w:val="24"/>
        </w:rPr>
      </w:pPr>
    </w:p>
    <w:p w14:paraId="06D4016D" w14:textId="356B20DA" w:rsidR="00A8122C" w:rsidRDefault="00A8122C" w:rsidP="00B205BA">
      <w:pPr>
        <w:spacing w:after="120" w:line="240" w:lineRule="auto"/>
        <w:rPr>
          <w:rFonts w:cs="Arial"/>
          <w:b/>
          <w:bCs/>
          <w:color w:val="A6A6A6" w:themeColor="background1" w:themeShade="A6"/>
          <w:sz w:val="24"/>
          <w:szCs w:val="24"/>
        </w:rPr>
      </w:pPr>
    </w:p>
    <w:p w14:paraId="69D820C3" w14:textId="236DC351" w:rsidR="006048AE" w:rsidRDefault="006048AE" w:rsidP="00B205BA">
      <w:pPr>
        <w:spacing w:after="120" w:line="240" w:lineRule="auto"/>
        <w:rPr>
          <w:rFonts w:cs="Arial"/>
          <w:b/>
          <w:bCs/>
          <w:color w:val="A6A6A6" w:themeColor="background1" w:themeShade="A6"/>
          <w:sz w:val="24"/>
          <w:szCs w:val="24"/>
        </w:rPr>
      </w:pPr>
    </w:p>
    <w:p w14:paraId="44EAB22C" w14:textId="7AC22137" w:rsidR="006048AE" w:rsidRDefault="006048AE" w:rsidP="00B205BA">
      <w:pPr>
        <w:spacing w:after="120" w:line="240" w:lineRule="auto"/>
        <w:rPr>
          <w:rFonts w:cs="Arial"/>
          <w:b/>
          <w:bCs/>
          <w:color w:val="A6A6A6" w:themeColor="background1" w:themeShade="A6"/>
          <w:sz w:val="24"/>
          <w:szCs w:val="24"/>
        </w:rPr>
      </w:pPr>
    </w:p>
    <w:p w14:paraId="04813604" w14:textId="5294A390" w:rsidR="006048AE" w:rsidRDefault="006048AE" w:rsidP="00B205BA">
      <w:pPr>
        <w:spacing w:after="120" w:line="240" w:lineRule="auto"/>
        <w:rPr>
          <w:rFonts w:cs="Arial"/>
          <w:b/>
          <w:bCs/>
          <w:color w:val="A6A6A6" w:themeColor="background1" w:themeShade="A6"/>
          <w:sz w:val="24"/>
          <w:szCs w:val="24"/>
        </w:rPr>
      </w:pPr>
    </w:p>
    <w:p w14:paraId="2B539F89" w14:textId="421C048A" w:rsidR="00983F12" w:rsidRDefault="00983F12" w:rsidP="00B205BA">
      <w:pPr>
        <w:spacing w:after="120" w:line="240" w:lineRule="auto"/>
        <w:rPr>
          <w:rFonts w:cs="Arial"/>
          <w:b/>
          <w:bCs/>
          <w:color w:val="A6A6A6" w:themeColor="background1" w:themeShade="A6"/>
          <w:sz w:val="24"/>
          <w:szCs w:val="24"/>
        </w:rPr>
      </w:pPr>
    </w:p>
    <w:p w14:paraId="47E6FDB2" w14:textId="124AC12E" w:rsidR="00983F12" w:rsidRDefault="00983F12" w:rsidP="00B205BA">
      <w:pPr>
        <w:spacing w:after="120" w:line="240" w:lineRule="auto"/>
        <w:rPr>
          <w:rFonts w:cs="Arial"/>
          <w:b/>
          <w:bCs/>
          <w:color w:val="A6A6A6" w:themeColor="background1" w:themeShade="A6"/>
          <w:sz w:val="24"/>
          <w:szCs w:val="24"/>
        </w:rPr>
      </w:pPr>
    </w:p>
    <w:p w14:paraId="1B2E6EBC" w14:textId="33DC82EA" w:rsidR="00DA27A7" w:rsidRPr="00D503D0" w:rsidRDefault="00DA27A7" w:rsidP="00B205BA">
      <w:pPr>
        <w:spacing w:after="120" w:line="240" w:lineRule="auto"/>
        <w:rPr>
          <w:rFonts w:cs="Arial"/>
          <w:b/>
          <w:bCs/>
          <w:color w:val="A6A6A6" w:themeColor="background1" w:themeShade="A6"/>
          <w:sz w:val="24"/>
          <w:szCs w:val="24"/>
        </w:rPr>
      </w:pPr>
    </w:p>
    <w:p w14:paraId="411FD01D" w14:textId="6275E07F" w:rsidR="00DA27A7" w:rsidRDefault="00DA27A7" w:rsidP="00B205BA">
      <w:pPr>
        <w:spacing w:after="120" w:line="240" w:lineRule="auto"/>
        <w:rPr>
          <w:rFonts w:cs="Arial"/>
          <w:b/>
          <w:bCs/>
          <w:sz w:val="28"/>
          <w:szCs w:val="28"/>
        </w:rPr>
      </w:pPr>
      <w:bookmarkStart w:id="17" w:name="OLE_LINK17"/>
      <w:bookmarkStart w:id="18" w:name="OLE_LINK18"/>
      <w:r w:rsidRPr="00A13BDA">
        <w:rPr>
          <w:rFonts w:cs="Arial"/>
          <w:b/>
          <w:bCs/>
          <w:sz w:val="28"/>
          <w:szCs w:val="28"/>
        </w:rPr>
        <w:lastRenderedPageBreak/>
        <w:t>Análisis Situacional</w:t>
      </w:r>
      <w:r w:rsidR="00013F4A">
        <w:rPr>
          <w:rFonts w:cs="Arial"/>
          <w:b/>
          <w:bCs/>
          <w:sz w:val="28"/>
          <w:szCs w:val="28"/>
        </w:rPr>
        <w:t>.</w:t>
      </w:r>
    </w:p>
    <w:p w14:paraId="08D0C32E"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 xml:space="preserve">El Frente Estratégico “Hermosillo Vivo e Incluyente” refleja la razón fundamental del gobierno, que se centra en un derecho esencial: la protección de la vida y el bienestar individual, familiar y social. Los frentes estratégicos del Plan Municipal de Desarrollo 2025-2027 están interconectados para formar una política de gobierno integral que aborde diversas temáticas, tales como la defensa de los derechos y libertades, el mantenimiento del orden y la seguridad, la provisión de servicios públicos, la regulación de actividades comerciales, la promoción del desarrollo económico, así como la creación de infraestructura productiva y de servicios. Además, se busca proteger el medio ambiente y los recursos naturales. Todo ello tiene como objetivo establecer condiciones que permitan a las personas vivir en una comunidad armónica e inclusiva, fomentando su participación activa en la búsqueda de equilibrios que contribuyan a reducir las brechas de desigualdad. </w:t>
      </w:r>
    </w:p>
    <w:p w14:paraId="4BDC7781"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En el ámbito de las atribuciones y capacidades locales, es fundamental promover la salud social desde un enfoque sistémico y humanista, que incluya el empoderamiento ciudadano en la toma de decisiones públicas. Asimismo, es esencial fomentar la cohesión social a través de actividades culturales y recreativas que unan a la comunidad, fortalezcan los lazos sociales y promuevan un sentido de pertenencia.</w:t>
      </w:r>
    </w:p>
    <w:p w14:paraId="63E167C1"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A nivel global, las naciones se esfuerzan por visibilizar las brechas de desarrollo para abordarlas de manera efectiva y así impulsar un crecimiento económico y social más equitativo. Estas brechas se refieren a las diferencias significativas en calidad de vida, acceso a oportunidades y niveles de bienestar ente distintos países, regiones y comunidades. Se pueden observar en diversas áreas, como la economía, la educación, la salud, la infraestructura y la protección del medio ambiente.</w:t>
      </w:r>
    </w:p>
    <w:p w14:paraId="5956336C"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Las brechas de desarrollo son complejas y multifacéticas. Algunas de sus causas más comunes incluyen: la falta de inversión en infraestructura, como carreteras, puertos y aeropuertos, que puede limitar el acceso a mercados y oportunidades económicas; la desigualdad en la distribución de la riqueza, la falta de acceso a la educación y la salud, que limitan las oportunidades para los individuos y las comunidades, así como los conflictos y la violencia, que devastan las economías y las comunidades.</w:t>
      </w:r>
    </w:p>
    <w:p w14:paraId="5AFFAE0B"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 xml:space="preserve">Existen varios organismos internacionales que trabajan para abordar las desigualdades en áreas como la economía, la educación, la salud y la protección del medio ambiente, entre los que se destacan el Programa de las Naciones Unidas para el Desarrollo (PNUD), que trabaja para reducir la pobreza y las desigualdades en más de 170 países; el Fondo de las Naciones Unidas para la Infancia (UNICEF), enfocado en la protección de los derechos de los niños y la reducción de las desigualdades en la educación y la salud, y la Organización Mundial de la Salud (OMS), que trabaja para mejorar la salud y el bienestar de las personas en todo el mundo. </w:t>
      </w:r>
    </w:p>
    <w:p w14:paraId="1DC4C6D9"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También algunos organismos financieros internacionales, como el Banco Mundial, que ofrece préstamos y asistencia técnica a países en desarrollo para apoyar la reducción de la pobreza y las desigualdades, y el Fondo Monetario Internacional (FMI), que promueve la estabilidad financiera y la reducción de las desigualdades económicas en todo el mundo.</w:t>
      </w:r>
    </w:p>
    <w:p w14:paraId="210D270F"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 xml:space="preserve">Existen además diversas organizaciones no gubernamentales internacionales, como Oxfam Internacional, que realiza programas para reducir la pobreza en el mundo, con un enfoque especial en la protección de los derechos humanos; la iniciativa </w:t>
      </w:r>
      <w:r w:rsidRPr="002B7A8E">
        <w:rPr>
          <w:rFonts w:eastAsia="Times New Roman" w:cs="Arial"/>
          <w:i/>
          <w:iCs/>
          <w:color w:val="242424"/>
          <w:shd w:val="clear" w:color="auto" w:fill="FFFFFF"/>
        </w:rPr>
        <w:t>Save the Children</w:t>
      </w:r>
      <w:r w:rsidRPr="002B7A8E">
        <w:rPr>
          <w:rFonts w:eastAsia="Times New Roman" w:cs="Arial"/>
          <w:color w:val="242424"/>
          <w:shd w:val="clear" w:color="auto" w:fill="FFFFFF"/>
        </w:rPr>
        <w:t xml:space="preserve">, enfocada en la protección de los derechos de los niños y la reducción de las desigualdades en la educación y la salud, así como muchas otras organizaciones gubernamentales, no </w:t>
      </w:r>
      <w:r w:rsidRPr="002B7A8E">
        <w:rPr>
          <w:rFonts w:eastAsia="Times New Roman" w:cs="Arial"/>
          <w:color w:val="242424"/>
          <w:shd w:val="clear" w:color="auto" w:fill="FFFFFF"/>
        </w:rPr>
        <w:lastRenderedPageBreak/>
        <w:t xml:space="preserve">gubernamentales y comunitarias en las naciones y localidades, que incluyen de fundaciones conformadas por ciudadanos solidarios. </w:t>
      </w:r>
    </w:p>
    <w:p w14:paraId="10A03515"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 xml:space="preserve">Desde 2008, México cuenta con un sistema de medición multidimensional de la pobreza que ha permitido analizar el desempeño de la política de desarrollo social a nivel federal, estatal y municipal, los avances y retrocesos en los diversos indicadores y realizar una comparación con otros países, además de medir las variaciones con respecto a los Objetivos del Desarrollo Sostenible establecidos por la Organización de las Naciones Unidas. Los resultados han mostrado los impactos en la desigualdad y la pobreza relacionadas con las políticas gubernamentales, las crisis económicas e incluso por la reciente pandemia que afectó a todas las naciones del mundo. </w:t>
      </w:r>
    </w:p>
    <w:p w14:paraId="6D2116CE"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El Sistema de Información de Derechos Sociales (SIDS)</w:t>
      </w:r>
      <w:r w:rsidRPr="002B7A8E">
        <w:rPr>
          <w:rFonts w:eastAsia="Times New Roman" w:cs="Arial"/>
          <w:color w:val="242424"/>
          <w:shd w:val="clear" w:color="auto" w:fill="FFFFFF"/>
          <w:vertAlign w:val="superscript"/>
        </w:rPr>
        <w:footnoteReference w:id="35"/>
      </w:r>
      <w:r w:rsidRPr="002B7A8E">
        <w:rPr>
          <w:rFonts w:eastAsia="Times New Roman" w:cs="Arial"/>
          <w:color w:val="242424"/>
          <w:shd w:val="clear" w:color="auto" w:fill="FFFFFF"/>
        </w:rPr>
        <w:t xml:space="preserve">, desarrollado por el Consejo Nacional de Evaluación de la Política de Desarrollo Social (CONEVAL), tiene por objetivo medir el acceso efectivo de la población a los derechos sociales en México. Este sistema complementa la medición multidimensional de la pobreza, que evalúa las carencias en áreas como salud, educación y vivienda. El SIDS es una herramienta fundamental para el desarrollo de políticas sociales más equitativas e inclusivas, proporciona información más detallada sobre la disponibilidad, accesibilidad y calidad de los servicios que el Estado ofrece para que las personas puedan ejercer sus derechos. </w:t>
      </w:r>
    </w:p>
    <w:p w14:paraId="2974D52C"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Cabe mencionar que la medición multidimensional de la pobreza ha logrado avances significativos en la reducción de carencias sociales; sin embargo, la evaluación de la política de desarrollo social va más allá de este enfoque, al incorporar también la medición del acceso efectivo a los derechos sociales, que permite identificar y abordar las desigualdades que afectan a diferentes grupos de población, resaltando las brechas en el ejercicio de estos derechos entre grupos específicos, como mujeres indígenas, jóvenes, personas con discapacidad y población infantil.</w:t>
      </w:r>
    </w:p>
    <w:p w14:paraId="0222C80A"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Este enfoque subraya la importancia de realizar un análisis más detallado, reconociendo que el acceso a los derechos sociales no debe limitarse a su simple disponibilidad, sino que debe ser efectivo. Según el CONEVAL, el acceso efectivo significa que las instituciones implementen acciones para asegurar que las personas realmente puedan ejercer sus derechos sociales, reflejados en mejoras concretas en su calidad de vida, es decir, en la creación de las condiciones necesarias para que esos derechos se materialicen de manera real y tangible.</w:t>
      </w:r>
    </w:p>
    <w:p w14:paraId="0B60CCF3"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A continuación, se proporciona información relevante de algunos resultados en áreas clave como: salud, seguridad social, alimentación y vivienda de las brechas de desigualdad por grupo de población, basándose en los Indicadores del Sistema de Información de Derechos Sociales (SIDS)</w:t>
      </w:r>
      <w:r w:rsidRPr="002B7A8E">
        <w:rPr>
          <w:rFonts w:eastAsia="Times New Roman" w:cs="Arial"/>
          <w:color w:val="242424"/>
          <w:shd w:val="clear" w:color="auto" w:fill="FFFFFF"/>
          <w:vertAlign w:val="superscript"/>
        </w:rPr>
        <w:footnoteReference w:id="36"/>
      </w:r>
      <w:r w:rsidRPr="002B7A8E">
        <w:rPr>
          <w:rFonts w:eastAsia="Times New Roman" w:cs="Arial"/>
          <w:color w:val="242424"/>
          <w:shd w:val="clear" w:color="auto" w:fill="FFFFFF"/>
        </w:rPr>
        <w:t xml:space="preserve">. </w:t>
      </w:r>
    </w:p>
    <w:p w14:paraId="1BA34B4B"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En materia de salud, las mujeres indígenas están en desventaja, con un menor acceso directo a servicios de salud, en comparación con las mujeres no indígenas. Esta brecha ha crecido ligeramente, alcanzando casi 12 puntos porcentuales en 2022. La falta de acceso autónomo y directo a servicios de salud las coloca en una situación de vulnerabilidad.</w:t>
      </w:r>
    </w:p>
    <w:p w14:paraId="628C2B84"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 xml:space="preserve">El análisis de brechas de desigualdad en la población infantil y adolescente en México revelan disparidades significativas en el acceso a derechos básicos como educación, salud, seguridad social, alimentación y vivienda. Estas brechas limitan su desarrollo pleno y </w:t>
      </w:r>
      <w:r w:rsidRPr="002B7A8E">
        <w:rPr>
          <w:rFonts w:eastAsia="Times New Roman" w:cs="Arial"/>
          <w:color w:val="242424"/>
          <w:shd w:val="clear" w:color="auto" w:fill="FFFFFF"/>
        </w:rPr>
        <w:lastRenderedPageBreak/>
        <w:t>perpetúan desigualdades económicas, sociales y de género, afectando el bienestar individual y colectivo.</w:t>
      </w:r>
    </w:p>
    <w:p w14:paraId="366E4926"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 xml:space="preserve">El trabajo infantil impacta negativamente la asistencia escolar y perpetúa patrones de género. Los niños suelen realizar actividades laborales fuera del hogar, mientras las niñas asumen más trabajo doméstico no remunerado. </w:t>
      </w:r>
    </w:p>
    <w:p w14:paraId="3FF8FF09"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El informe sobre desigualdades en la población adulta mayor resalta las profundas disparidades sociales, económicas y de acceso a servicios que afectan su bienestar y el pleno ejercicio de sus derechos. Estas desigualdades se manifiestan de manera más evidente en áreas como educación, salud, seguridad social, alimentación y vivienda, destacando la necesidad de políticas públicas enfocadas en reducir estas brechas.</w:t>
      </w:r>
    </w:p>
    <w:p w14:paraId="4E5CDA01"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Las desigualdades de género reflejan la asimetría histórica en la distribución de roles entre hombres y mujeres, donde las mujeres han sido relegadas a la esfera privada, limitando su acceso a recursos, empleo equitativo y toma de decisiones. Estas desigualdades se manifiestan en distintas dimensiones, como la educación, la salud, la seguridad social, la alimentación y los ingresos, evidenciando brechas significativas.</w:t>
      </w:r>
    </w:p>
    <w:p w14:paraId="5B243B1E"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Las personas con discapacidad en México evidencian barreras estructurales que limitan su inclusión plena en la sociedad, afectando su educación, salud, seguridad social, acceso a alimentación y participación económica.</w:t>
      </w:r>
    </w:p>
    <w:p w14:paraId="17FCD72D"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Si bien se observan avances en algunos indicadores, las disparidades persisten, lo que evidencia la necesidad de políticas públicas inclusivas e integrales, que reduzcan estas brechas y garanticen igualdad de oportunidades. Atender estas desigualdades desde el ámbito nacional, estatal y municipal es esencial para construir una sociedad más justa, equitativa y sostenible.</w:t>
      </w:r>
    </w:p>
    <w:p w14:paraId="59D794B1" w14:textId="77777777" w:rsidR="002B7A8E" w:rsidRPr="002B7A8E" w:rsidRDefault="002B7A8E" w:rsidP="00B205BA">
      <w:pPr>
        <w:spacing w:after="120" w:line="240" w:lineRule="auto"/>
        <w:rPr>
          <w:rFonts w:eastAsia="Times New Roman" w:cs="Arial"/>
          <w:color w:val="242424"/>
          <w:shd w:val="clear" w:color="auto" w:fill="FFFFFF"/>
        </w:rPr>
      </w:pPr>
      <w:r w:rsidRPr="002B7A8E">
        <w:rPr>
          <w:rFonts w:eastAsia="Times New Roman" w:cs="Arial"/>
          <w:color w:val="242424"/>
          <w:shd w:val="clear" w:color="auto" w:fill="FFFFFF"/>
        </w:rPr>
        <w:t>El CONEVAL realizó también un análisis que da a conocer los resultados de la Medición de pobreza a nivel estatal y municipal 2020 y su comparativo con los años 2010 y 2015. Esta información ha permitido, por primera vez, contar con tres estimaciones en el tiempo de los indicadores de la medición multidimensional de la pobreza a escala municipal, cuya comparabilidad permite observar la evolución de la pobreza a este nivel de desagregación.</w:t>
      </w:r>
    </w:p>
    <w:p w14:paraId="3E701EBF" w14:textId="77777777" w:rsidR="002B7A8E" w:rsidRPr="002B7A8E" w:rsidRDefault="002B7A8E" w:rsidP="00B205BA">
      <w:pPr>
        <w:spacing w:after="120" w:line="240" w:lineRule="auto"/>
        <w:rPr>
          <w:rFonts w:cs="Arial"/>
        </w:rPr>
      </w:pPr>
      <w:r w:rsidRPr="002B7A8E">
        <w:rPr>
          <w:rFonts w:cs="Arial"/>
        </w:rPr>
        <w:t>Los municipios con mayor población en situación de pobreza se localizaron en zonas metropolitanas y con alta densidad de población. En 2020, la mitad de la población en situación de pobreza se concentró en 173 municipios; en 2015 en 185 municipios y en 2010 en 199 municipios.</w:t>
      </w:r>
    </w:p>
    <w:p w14:paraId="6E58540F" w14:textId="77777777" w:rsidR="002B7A8E" w:rsidRPr="002B7A8E" w:rsidRDefault="002B7A8E" w:rsidP="00B205BA">
      <w:pPr>
        <w:spacing w:after="120" w:line="240" w:lineRule="auto"/>
        <w:rPr>
          <w:rFonts w:cs="Arial"/>
        </w:rPr>
      </w:pPr>
      <w:r w:rsidRPr="002B7A8E">
        <w:rPr>
          <w:rFonts w:cs="Arial"/>
        </w:rPr>
        <w:t>En 2020, los municipios con mayor porcentaje de población en situación de pobreza se localizaron en las entidades de Oaxaca, Chiapas y Guerrero. En contraste, los de menor porcentaje se ubicaron en Nuevo León, Ciudad de México, Sonora, Chihuahua y Coahuila.</w:t>
      </w:r>
      <w:r w:rsidRPr="002B7A8E">
        <w:rPr>
          <w:rStyle w:val="Refdenotaalpie"/>
          <w:rFonts w:cs="Arial"/>
        </w:rPr>
        <w:footnoteReference w:id="37"/>
      </w:r>
      <w:r w:rsidRPr="002B7A8E">
        <w:rPr>
          <w:rFonts w:cs="Arial"/>
        </w:rPr>
        <w:t xml:space="preserve"> </w:t>
      </w:r>
    </w:p>
    <w:p w14:paraId="4BB372F6" w14:textId="3F20B429" w:rsidR="002B7A8E" w:rsidRPr="002B7A8E" w:rsidRDefault="002B7A8E" w:rsidP="00B205BA">
      <w:pPr>
        <w:spacing w:after="120" w:line="240" w:lineRule="auto"/>
        <w:rPr>
          <w:rFonts w:cs="Arial"/>
        </w:rPr>
      </w:pPr>
      <w:r w:rsidRPr="002B7A8E">
        <w:t>De la población en Sonora el 29.9 %se encuentra en situación de pobreza, y un 3.5 % se encuentra en pobreza extrema. El 34.4 su residencia es rural y el 29.2 % urbana.</w:t>
      </w:r>
      <w:r w:rsidRPr="002B7A8E">
        <w:rPr>
          <w:rFonts w:cs="Arial"/>
        </w:rPr>
        <w:t xml:space="preserve"> A nivel nacional ocupa la posición 23 en el Diagnóstico de monitoreo y evaluación de las entidades federativas 2021, la entidad obtuvo una calificación final de 88/100 y se encuentra en el grupo de avance “medio”.</w:t>
      </w:r>
    </w:p>
    <w:p w14:paraId="3E4E14D8" w14:textId="77777777" w:rsidR="002B7A8E" w:rsidRPr="002B7A8E" w:rsidRDefault="002B7A8E" w:rsidP="00B205BA">
      <w:pPr>
        <w:spacing w:after="120" w:line="240" w:lineRule="auto"/>
        <w:rPr>
          <w:rFonts w:cs="Arial"/>
        </w:rPr>
      </w:pPr>
      <w:r w:rsidRPr="002B7A8E">
        <w:rPr>
          <w:rFonts w:cs="Arial"/>
        </w:rPr>
        <w:lastRenderedPageBreak/>
        <w:t>En el contexto local podemos mencionar que el municipio de Hermosillo con una población estimada de 980 977 habitantes</w:t>
      </w:r>
      <w:r w:rsidRPr="002B7A8E">
        <w:rPr>
          <w:rFonts w:cs="Arial"/>
          <w:vertAlign w:val="superscript"/>
        </w:rPr>
        <w:footnoteReference w:id="38"/>
      </w:r>
      <w:r w:rsidRPr="002B7A8E">
        <w:rPr>
          <w:vertAlign w:val="superscript"/>
        </w:rPr>
        <w:t xml:space="preserve">, </w:t>
      </w:r>
      <w:r w:rsidRPr="002B7A8E">
        <w:rPr>
          <w:rFonts w:cs="Arial"/>
        </w:rPr>
        <w:t>más de 79 500 personas</w:t>
      </w:r>
      <w:r w:rsidRPr="002B7A8E">
        <w:rPr>
          <w:rFonts w:cs="Arial"/>
          <w:vertAlign w:val="superscript"/>
        </w:rPr>
        <w:footnoteReference w:id="39"/>
      </w:r>
      <w:r w:rsidRPr="002B7A8E">
        <w:rPr>
          <w:rFonts w:cs="Arial"/>
        </w:rPr>
        <w:t xml:space="preserve"> tienen 65 y más años; más de 8300 personas son indígenas</w:t>
      </w:r>
      <w:r w:rsidRPr="002B7A8E">
        <w:rPr>
          <w:rFonts w:cs="Arial"/>
          <w:vertAlign w:val="superscript"/>
        </w:rPr>
        <w:footnoteReference w:id="40"/>
      </w:r>
      <w:r w:rsidRPr="002B7A8E">
        <w:rPr>
          <w:vertAlign w:val="superscript"/>
        </w:rPr>
        <w:t>,</w:t>
      </w:r>
      <w:r w:rsidRPr="002B7A8E">
        <w:rPr>
          <w:rFonts w:cs="Arial"/>
        </w:rPr>
        <w:t xml:space="preserve"> más de 20 500 personas se consideran afromexicanas o afrodescendientes y alrededor de 41 400 personas viven con alguna discapacidad</w:t>
      </w:r>
      <w:r w:rsidRPr="002B7A8E">
        <w:rPr>
          <w:rFonts w:cs="Arial"/>
          <w:vertAlign w:val="superscript"/>
        </w:rPr>
        <w:footnoteReference w:id="41"/>
      </w:r>
      <w:r w:rsidRPr="002B7A8E">
        <w:rPr>
          <w:vertAlign w:val="superscript"/>
        </w:rPr>
        <w:t>.</w:t>
      </w:r>
      <w:r w:rsidRPr="002B7A8E">
        <w:rPr>
          <w:rFonts w:cs="Arial"/>
        </w:rPr>
        <w:t xml:space="preserve"> </w:t>
      </w:r>
    </w:p>
    <w:p w14:paraId="54827543" w14:textId="77777777" w:rsidR="002B7A8E" w:rsidRPr="002B7A8E" w:rsidRDefault="002B7A8E" w:rsidP="00B205BA">
      <w:pPr>
        <w:spacing w:after="120" w:line="240" w:lineRule="auto"/>
        <w:rPr>
          <w:rFonts w:cs="Arial"/>
        </w:rPr>
      </w:pPr>
      <w:r w:rsidRPr="002B7A8E">
        <w:rPr>
          <w:rFonts w:cs="Arial"/>
        </w:rPr>
        <w:t>Con datos de 2020, el Informe Anual sobre la situación de pobreza y rezago social de las entidades, municipios y demarcaciones territoriales para el ejercicio fiscal 2024</w:t>
      </w:r>
      <w:r w:rsidRPr="002B7A8E">
        <w:rPr>
          <w:rFonts w:cs="Arial"/>
          <w:vertAlign w:val="superscript"/>
        </w:rPr>
        <w:footnoteReference w:id="42"/>
      </w:r>
      <w:r w:rsidRPr="002B7A8E">
        <w:rPr>
          <w:vertAlign w:val="superscript"/>
        </w:rPr>
        <w:t xml:space="preserve"> </w:t>
      </w:r>
      <w:r w:rsidRPr="002B7A8E">
        <w:rPr>
          <w:rFonts w:cs="Arial"/>
        </w:rPr>
        <w:t>publicado por la Secretaría de Bienestar en 2024, estima que 22.4 % de la población del municipio de Hermosillo está en la pobreza; 35.2 % vive con alguna vulnerabilidad por ingresos o por carencia social y 42.4 % vive libre de pobreza o vulnerabilidad.</w:t>
      </w:r>
    </w:p>
    <w:p w14:paraId="2BD98087" w14:textId="77777777" w:rsidR="002B7A8E" w:rsidRPr="002B7A8E" w:rsidRDefault="002B7A8E" w:rsidP="00B205BA">
      <w:pPr>
        <w:spacing w:after="120" w:line="240" w:lineRule="auto"/>
        <w:rPr>
          <w:rFonts w:cs="Arial"/>
        </w:rPr>
      </w:pPr>
      <w:r w:rsidRPr="002B7A8E">
        <w:rPr>
          <w:rFonts w:cs="Arial"/>
        </w:rPr>
        <w:t>Hermosillo cuenta con 170 zonas de atención prioritaria</w:t>
      </w:r>
      <w:r w:rsidRPr="002B7A8E">
        <w:rPr>
          <w:rFonts w:cs="Arial"/>
          <w:vertAlign w:val="superscript"/>
        </w:rPr>
        <w:footnoteReference w:id="43"/>
      </w:r>
      <w:r w:rsidRPr="002B7A8E">
        <w:t xml:space="preserve"> </w:t>
      </w:r>
      <w:r w:rsidRPr="002B7A8E">
        <w:rPr>
          <w:rFonts w:cs="Arial"/>
        </w:rPr>
        <w:t>y de acuerdo con el Consejo Nacional de Evaluación de la Política de Desarrollo Social (CONEVAL, 2020) un grado de marginación muy bajo, no obstante 29 localidades del municipio registran alto y muy alto rezago social. En lo que se refiere a carencias sociales, reporta que casi 96 000 personas viven en situación de rezago educativo en el municipio; alrededor de 208 000 viven con rezago en acceso a servicios de salud, y más de 337 000 con rezago en acceso a la seguridad social.</w:t>
      </w:r>
    </w:p>
    <w:p w14:paraId="5224982E" w14:textId="77777777" w:rsidR="002B7A8E" w:rsidRPr="002B7A8E" w:rsidRDefault="002B7A8E" w:rsidP="00B205BA">
      <w:pPr>
        <w:spacing w:after="120" w:line="240" w:lineRule="auto"/>
        <w:rPr>
          <w:rFonts w:cs="Arial"/>
        </w:rPr>
      </w:pPr>
      <w:r w:rsidRPr="002B7A8E">
        <w:rPr>
          <w:rFonts w:cs="Arial"/>
        </w:rPr>
        <w:t>En el rubro de carencias sociales, como indicadores de pobreza multidimensional en CONAPO 2020 (medición de la pobreza a nivel municipio 2020), entre los resultados notables en Hermosillo están que 34 % de la población cuenta con acceso a la seguridad social, 21 % con acceso a los servicios de salud y 17 % con acceso a la alimentación nutritiva y de calidad, lo que representa una ligera mejora respecto de 2015.</w:t>
      </w:r>
    </w:p>
    <w:p w14:paraId="60EEEE15" w14:textId="77777777" w:rsidR="002B7A8E" w:rsidRPr="002B7A8E" w:rsidRDefault="002B7A8E" w:rsidP="00B205BA">
      <w:pPr>
        <w:spacing w:after="120" w:line="240" w:lineRule="auto"/>
        <w:rPr>
          <w:rFonts w:cs="Arial"/>
        </w:rPr>
      </w:pPr>
      <w:r w:rsidRPr="002B7A8E">
        <w:rPr>
          <w:rFonts w:cs="Arial"/>
        </w:rPr>
        <w:t xml:space="preserve">En materia de discapacidad, el Censo de Población y Vivienda 2020 (INEGI) indica que 10.4 % de los hermosillenses presenta alguna limitación en la actividad cotidiana, sea por discapacidad (4.4 %) o algún problema o condición mental (1.5 %).   </w:t>
      </w:r>
    </w:p>
    <w:p w14:paraId="49307F82" w14:textId="77777777" w:rsidR="002B7A8E" w:rsidRPr="002B7A8E" w:rsidRDefault="002B7A8E" w:rsidP="00B205BA">
      <w:pPr>
        <w:spacing w:after="120" w:line="240" w:lineRule="auto"/>
        <w:rPr>
          <w:rFonts w:cs="Arial"/>
        </w:rPr>
      </w:pPr>
      <w:r w:rsidRPr="002B7A8E">
        <w:rPr>
          <w:rFonts w:cs="Arial"/>
        </w:rPr>
        <w:t>Con relación a la población adulta mayor, se estima que hay 105 771 personas de 60 y más años. También, que para 2050, el envejecimiento poblacional será más acentuado, pues la proporción de personas de 60 y más años en el país constituirá casi una cuarta parte (24.1 %) de la población total; es decir, 1 de cada 4 personas en México tendrá 60 años o más</w:t>
      </w:r>
      <w:r w:rsidRPr="002B7A8E">
        <w:rPr>
          <w:rFonts w:cs="Arial"/>
          <w:vertAlign w:val="superscript"/>
        </w:rPr>
        <w:footnoteReference w:id="44"/>
      </w:r>
      <w:r w:rsidRPr="002B7A8E">
        <w:rPr>
          <w:rFonts w:cs="Arial"/>
        </w:rPr>
        <w:t xml:space="preserve">. En este sentido, resultan necesarios entornos adecuados para garantizar un desarrollo individual y colectivo de esta población. </w:t>
      </w:r>
    </w:p>
    <w:p w14:paraId="64987CEF" w14:textId="77777777" w:rsidR="002B7A8E" w:rsidRPr="002B7A8E" w:rsidRDefault="002B7A8E" w:rsidP="00B205BA">
      <w:pPr>
        <w:spacing w:after="120" w:line="240" w:lineRule="auto"/>
        <w:rPr>
          <w:rFonts w:cs="Arial"/>
        </w:rPr>
      </w:pPr>
      <w:r w:rsidRPr="002B7A8E">
        <w:rPr>
          <w:rFonts w:cs="Arial"/>
        </w:rPr>
        <w:t>En otro aspecto, referente a las condiciones de vulneración de derechos a menores de edad en Hermosillo, tenemos que, de acuerdo con el Informe de Indicadores 2023</w:t>
      </w:r>
      <w:r w:rsidRPr="002B7A8E">
        <w:rPr>
          <w:rFonts w:cs="Arial"/>
          <w:vertAlign w:val="superscript"/>
        </w:rPr>
        <w:footnoteReference w:id="45"/>
      </w:r>
      <w:r w:rsidRPr="002B7A8E">
        <w:rPr>
          <w:rFonts w:cs="Arial"/>
        </w:rPr>
        <w:t xml:space="preserve"> que complementa la Encuesta de Percepción Ciudadana de Hermosillo ¿Cómo Vamos?,</w:t>
      </w:r>
      <w:r w:rsidRPr="002B7A8E">
        <w:rPr>
          <w:rFonts w:cs="Arial"/>
          <w:shd w:val="clear" w:color="auto" w:fill="FFFFFF"/>
        </w:rPr>
        <w:t xml:space="preserve"> </w:t>
      </w:r>
      <w:r w:rsidRPr="002B7A8E">
        <w:rPr>
          <w:rFonts w:cs="Arial"/>
        </w:rPr>
        <w:t xml:space="preserve">en 2022 </w:t>
      </w:r>
      <w:r w:rsidRPr="002B7A8E">
        <w:rPr>
          <w:rFonts w:cs="Arial"/>
          <w:shd w:val="clear" w:color="auto" w:fill="FFFFFF"/>
        </w:rPr>
        <w:t>se registraron </w:t>
      </w:r>
      <w:r w:rsidRPr="002B7A8E">
        <w:rPr>
          <w:rFonts w:cs="Arial"/>
        </w:rPr>
        <w:t xml:space="preserve">3472 denuncias por maltrato a menores. Durante este año, los casos </w:t>
      </w:r>
      <w:r w:rsidRPr="002B7A8E">
        <w:rPr>
          <w:rFonts w:cs="Arial"/>
        </w:rPr>
        <w:lastRenderedPageBreak/>
        <w:t>de maltrato en el municipio se incrementaron 33.5 % respecto de 2021</w:t>
      </w:r>
      <w:r w:rsidRPr="002B7A8E">
        <w:rPr>
          <w:rFonts w:cs="Arial"/>
          <w:shd w:val="clear" w:color="auto" w:fill="FFFFFF"/>
        </w:rPr>
        <w:t>. Este valor es el segundo más alto de los últimos cinco años, y representa 872 menores maltratados más que el año anterior.</w:t>
      </w:r>
      <w:r w:rsidRPr="002B7A8E">
        <w:rPr>
          <w:rFonts w:cs="Arial"/>
          <w:lang w:eastAsia="es-MX"/>
        </w:rPr>
        <w:t xml:space="preserve"> </w:t>
      </w:r>
      <w:r w:rsidRPr="002B7A8E">
        <w:rPr>
          <w:rFonts w:cs="Arial"/>
        </w:rPr>
        <w:t>Los principales delitos reportados se concentraron en omisión de cuidados (38.2 %), abandono (12.3 %) y abusos deshonestos (11 %).</w:t>
      </w:r>
    </w:p>
    <w:p w14:paraId="48FDCD71" w14:textId="77777777" w:rsidR="002B7A8E" w:rsidRPr="002B7A8E" w:rsidRDefault="002B7A8E" w:rsidP="00B205BA">
      <w:pPr>
        <w:spacing w:after="120" w:line="240" w:lineRule="auto"/>
        <w:ind w:right="49"/>
        <w:rPr>
          <w:rFonts w:cs="Arial"/>
        </w:rPr>
      </w:pPr>
      <w:r w:rsidRPr="002B7A8E">
        <w:rPr>
          <w:rFonts w:cs="Arial"/>
        </w:rPr>
        <w:t>La construcción de una sociedad justa, inclusiva y participativa es un objetivo fundamental para este gobierno, por lo que las políticas públicas implementadas en este frente han sido diseñadas para abordar de manera efectiva y sostenible algunas de las desigualdades estructurales que enfrentan los diversos grupos vulnerables, incluyendo mujeres, personas con discapacidad, comunidades indígenas, migrantes y otros colectivos históricamente marginados. La erradicación de la pobreza y la reducción del rezago social son desafíos fundamentales en el mundo, el gobierno desde lo local procurará aplicar políticas públicas y acciones concretas en la búsqueda del bienestar de la comunidad hermosillense.</w:t>
      </w:r>
    </w:p>
    <w:p w14:paraId="5322EF9C" w14:textId="0145C41B" w:rsidR="002B7A8E" w:rsidRPr="002B7A8E" w:rsidRDefault="002B7A8E" w:rsidP="00B205BA">
      <w:pPr>
        <w:spacing w:after="120" w:line="240" w:lineRule="auto"/>
        <w:ind w:right="49"/>
        <w:rPr>
          <w:rFonts w:cs="Arial"/>
        </w:rPr>
      </w:pPr>
      <w:r w:rsidRPr="002B7A8E">
        <w:rPr>
          <w:rFonts w:cs="Arial"/>
        </w:rPr>
        <w:t>Es nuestro imperativo poner a las personas en el centro del desarrollo y construir las condiciones para que todos los habitantes de Hermosillo (permanentes y temporales), ejerzan plenamente su derecho a la ciudad, disfrutando asentamientos urbanos justos, inclusivos, seguros, sostenibles y democráticos, definidos como bienes comunes para una vida digna</w:t>
      </w:r>
      <w:r w:rsidRPr="002B7A8E">
        <w:rPr>
          <w:rFonts w:cs="Arial"/>
          <w:vertAlign w:val="superscript"/>
        </w:rPr>
        <w:footnoteReference w:id="46"/>
      </w:r>
      <w:r w:rsidRPr="002B7A8E">
        <w:rPr>
          <w:rFonts w:cs="Arial"/>
        </w:rPr>
        <w:t>, donde todas y todos vivan libres de discriminación, con acceso equitativo a las oportunidades de participación política y ciudadana, en un entorno que promueve las expresiones socioculturales, abraza la diversidad y fomenta la cohesión social.</w:t>
      </w:r>
    </w:p>
    <w:p w14:paraId="72880634" w14:textId="4C82E4DB" w:rsidR="00163FF7" w:rsidRDefault="00163FF7" w:rsidP="00B205BA">
      <w:pPr>
        <w:spacing w:after="120" w:line="240" w:lineRule="auto"/>
        <w:rPr>
          <w:rFonts w:cs="Arial"/>
          <w:b/>
          <w:bCs/>
          <w:color w:val="242424"/>
          <w:shd w:val="clear" w:color="auto" w:fill="FFFFFF"/>
        </w:rPr>
      </w:pPr>
      <w:r>
        <w:rPr>
          <w:rFonts w:cs="Arial"/>
          <w:b/>
          <w:bCs/>
          <w:color w:val="242424"/>
          <w:shd w:val="clear" w:color="auto" w:fill="FFFFFF"/>
        </w:rPr>
        <w:t>Desarrollo social</w:t>
      </w:r>
      <w:r w:rsidR="00261A27">
        <w:rPr>
          <w:rFonts w:cs="Arial"/>
          <w:b/>
          <w:bCs/>
          <w:color w:val="242424"/>
          <w:shd w:val="clear" w:color="auto" w:fill="FFFFFF"/>
        </w:rPr>
        <w:t>.</w:t>
      </w:r>
    </w:p>
    <w:p w14:paraId="6762E96E" w14:textId="77777777" w:rsidR="00163FF7" w:rsidRDefault="00163FF7" w:rsidP="00B205BA">
      <w:pPr>
        <w:spacing w:after="120" w:line="240" w:lineRule="auto"/>
        <w:rPr>
          <w:rFonts w:cs="Arial"/>
          <w:color w:val="242424"/>
          <w:shd w:val="clear" w:color="auto" w:fill="FFFFFF"/>
        </w:rPr>
      </w:pPr>
      <w:r w:rsidRPr="00CE47A2">
        <w:rPr>
          <w:rFonts w:cs="Arial"/>
          <w:color w:val="242424"/>
          <w:shd w:val="clear" w:color="auto" w:fill="FFFFFF"/>
        </w:rPr>
        <w:t>Las acciones de desarrollo social tienen como principal objetivo reducir las brechas de desigualdad y mejorar las condiciones de vida de aquellos grupos de población que se encuentran en situaciones de vulnerabilidad o marginación. Estas políticas son fundamentales para abordar las desigualdades estructurales que afectan a sectores como las mujeres, los pueblos indígenas, las personas con discapacidades, los jóvenes, los adultos mayores, y aquellas personas en situación de pobreza, entre otros.</w:t>
      </w:r>
      <w:r>
        <w:rPr>
          <w:rFonts w:cs="Arial"/>
          <w:color w:val="242424"/>
          <w:shd w:val="clear" w:color="auto" w:fill="FFFFFF"/>
        </w:rPr>
        <w:t xml:space="preserve"> </w:t>
      </w:r>
      <w:r w:rsidRPr="00CE47A2">
        <w:rPr>
          <w:rFonts w:cs="Arial"/>
          <w:color w:val="242424"/>
          <w:shd w:val="clear" w:color="auto" w:fill="FFFFFF"/>
        </w:rPr>
        <w:t xml:space="preserve">La falta de acceso a servicios básicos como la salud, la educación, la vivienda digna, el empleo y la justicia social son algunas de las principales barreras que perpetúan la desigualdad. </w:t>
      </w:r>
    </w:p>
    <w:p w14:paraId="5DE2254F" w14:textId="77777777" w:rsidR="00163FF7" w:rsidRPr="00465138" w:rsidRDefault="00163FF7" w:rsidP="00B205BA">
      <w:pPr>
        <w:spacing w:after="120" w:line="240" w:lineRule="auto"/>
        <w:rPr>
          <w:rFonts w:cs="Arial"/>
          <w:color w:val="242424"/>
          <w:shd w:val="clear" w:color="auto" w:fill="FFFFFF"/>
        </w:rPr>
      </w:pPr>
      <w:r>
        <w:rPr>
          <w:rFonts w:cs="Arial"/>
          <w:color w:val="242424"/>
          <w:shd w:val="clear" w:color="auto" w:fill="FFFFFF"/>
        </w:rPr>
        <w:t>En respuesta a ello, a</w:t>
      </w:r>
      <w:r w:rsidRPr="00465138">
        <w:rPr>
          <w:rFonts w:cs="Arial"/>
          <w:color w:val="242424"/>
          <w:shd w:val="clear" w:color="auto" w:fill="FFFFFF"/>
        </w:rPr>
        <w:t xml:space="preserve"> través del </w:t>
      </w:r>
      <w:r w:rsidRPr="00E34A94">
        <w:rPr>
          <w:rFonts w:cs="Arial"/>
          <w:color w:val="242424"/>
          <w:shd w:val="clear" w:color="auto" w:fill="FFFFFF"/>
        </w:rPr>
        <w:t xml:space="preserve">Sistema DIF Hermosillo </w:t>
      </w:r>
      <w:r w:rsidRPr="00465138">
        <w:rPr>
          <w:rFonts w:cs="Arial"/>
          <w:color w:val="242424"/>
          <w:shd w:val="clear" w:color="auto" w:fill="FFFFFF"/>
        </w:rPr>
        <w:t>se atendió</w:t>
      </w:r>
      <w:r w:rsidRPr="00E34A94">
        <w:rPr>
          <w:rFonts w:cs="Arial"/>
          <w:color w:val="242424"/>
          <w:shd w:val="clear" w:color="auto" w:fill="FFFFFF"/>
        </w:rPr>
        <w:t xml:space="preserve"> de manera integral a la población marginada del municipio, ofreciendo servicios sociales alineados con los programas básicos del Sistema para el Desarrollo Integral de la Familia del Estado de Sonora y conforme a los lineamientos nacionales y estatales. Además, </w:t>
      </w:r>
      <w:r>
        <w:rPr>
          <w:rFonts w:cs="Arial"/>
          <w:color w:val="242424"/>
          <w:shd w:val="clear" w:color="auto" w:fill="FFFFFF"/>
        </w:rPr>
        <w:t xml:space="preserve">se </w:t>
      </w:r>
      <w:r w:rsidRPr="00E34A94">
        <w:rPr>
          <w:rFonts w:cs="Arial"/>
          <w:color w:val="242424"/>
          <w:shd w:val="clear" w:color="auto" w:fill="FFFFFF"/>
        </w:rPr>
        <w:t>contribuyó activamente a los Objetivos de Desarrollo Sostenible (ODS) de la Agenda 2030 de la ONU.</w:t>
      </w:r>
    </w:p>
    <w:p w14:paraId="66A31F93" w14:textId="77777777" w:rsidR="00163FF7" w:rsidRPr="00E34A94" w:rsidRDefault="00163FF7" w:rsidP="00B205BA">
      <w:pPr>
        <w:spacing w:after="120" w:line="240" w:lineRule="auto"/>
        <w:rPr>
          <w:rFonts w:cs="Arial"/>
          <w:color w:val="242424"/>
          <w:shd w:val="clear" w:color="auto" w:fill="FFFFFF"/>
        </w:rPr>
      </w:pPr>
      <w:r w:rsidRPr="00E34A94">
        <w:rPr>
          <w:rFonts w:cs="Arial"/>
          <w:color w:val="242424"/>
          <w:shd w:val="clear" w:color="auto" w:fill="FFFFFF"/>
        </w:rPr>
        <w:t xml:space="preserve">Durante el año 2023, </w:t>
      </w:r>
      <w:r>
        <w:rPr>
          <w:rFonts w:cs="Arial"/>
          <w:color w:val="242424"/>
          <w:shd w:val="clear" w:color="auto" w:fill="FFFFFF"/>
        </w:rPr>
        <w:t xml:space="preserve">se </w:t>
      </w:r>
      <w:r w:rsidRPr="00E34A94">
        <w:rPr>
          <w:rFonts w:cs="Arial"/>
          <w:color w:val="242424"/>
          <w:shd w:val="clear" w:color="auto" w:fill="FFFFFF"/>
        </w:rPr>
        <w:t xml:space="preserve">brindó atención a </w:t>
      </w:r>
      <w:r>
        <w:rPr>
          <w:rFonts w:cs="Arial"/>
          <w:color w:val="242424"/>
          <w:shd w:val="clear" w:color="auto" w:fill="FFFFFF"/>
        </w:rPr>
        <w:t>más de 77 800</w:t>
      </w:r>
      <w:r w:rsidRPr="00E34A94">
        <w:rPr>
          <w:rFonts w:cs="Arial"/>
          <w:color w:val="242424"/>
          <w:shd w:val="clear" w:color="auto" w:fill="FFFFFF"/>
        </w:rPr>
        <w:t xml:space="preserve"> personas, </w:t>
      </w:r>
      <w:r>
        <w:rPr>
          <w:rFonts w:cs="Arial"/>
          <w:color w:val="242424"/>
          <w:shd w:val="clear" w:color="auto" w:fill="FFFFFF"/>
        </w:rPr>
        <w:t>número equivalente a</w:t>
      </w:r>
      <w:r w:rsidRPr="00E34A94">
        <w:rPr>
          <w:rFonts w:cs="Arial"/>
          <w:color w:val="242424"/>
          <w:shd w:val="clear" w:color="auto" w:fill="FFFFFF"/>
        </w:rPr>
        <w:t xml:space="preserve"> 12</w:t>
      </w:r>
      <w:r>
        <w:rPr>
          <w:rFonts w:cs="Arial"/>
          <w:color w:val="242424"/>
          <w:shd w:val="clear" w:color="auto" w:fill="FFFFFF"/>
        </w:rPr>
        <w:t xml:space="preserve"> </w:t>
      </w:r>
      <w:r w:rsidRPr="00E34A94">
        <w:rPr>
          <w:rFonts w:cs="Arial"/>
          <w:color w:val="242424"/>
          <w:shd w:val="clear" w:color="auto" w:fill="FFFFFF"/>
        </w:rPr>
        <w:t xml:space="preserve">% de la población vulnerable del municipio, </w:t>
      </w:r>
      <w:r>
        <w:rPr>
          <w:rFonts w:cs="Arial"/>
          <w:color w:val="242424"/>
          <w:shd w:val="clear" w:color="auto" w:fill="FFFFFF"/>
        </w:rPr>
        <w:t>con lo que se superó</w:t>
      </w:r>
      <w:r w:rsidRPr="00E34A94">
        <w:rPr>
          <w:rFonts w:cs="Arial"/>
          <w:color w:val="242424"/>
          <w:shd w:val="clear" w:color="auto" w:fill="FFFFFF"/>
        </w:rPr>
        <w:t xml:space="preserve"> la línea base de 10</w:t>
      </w:r>
      <w:r>
        <w:rPr>
          <w:rFonts w:cs="Arial"/>
          <w:color w:val="242424"/>
          <w:shd w:val="clear" w:color="auto" w:fill="FFFFFF"/>
        </w:rPr>
        <w:t xml:space="preserve"> </w:t>
      </w:r>
      <w:r w:rsidRPr="00E34A94">
        <w:rPr>
          <w:rFonts w:cs="Arial"/>
          <w:color w:val="242424"/>
          <w:shd w:val="clear" w:color="auto" w:fill="FFFFFF"/>
        </w:rPr>
        <w:t xml:space="preserve">% registrada el año anterior. A través de diversos programas, </w:t>
      </w:r>
      <w:r>
        <w:rPr>
          <w:rFonts w:cs="Arial"/>
          <w:color w:val="242424"/>
          <w:shd w:val="clear" w:color="auto" w:fill="FFFFFF"/>
        </w:rPr>
        <w:t>se fortalecieron</w:t>
      </w:r>
      <w:r w:rsidRPr="00E34A94">
        <w:rPr>
          <w:rFonts w:cs="Arial"/>
          <w:color w:val="242424"/>
          <w:shd w:val="clear" w:color="auto" w:fill="FFFFFF"/>
        </w:rPr>
        <w:t xml:space="preserve"> áreas clave</w:t>
      </w:r>
      <w:r>
        <w:rPr>
          <w:rFonts w:cs="Arial"/>
          <w:color w:val="242424"/>
          <w:shd w:val="clear" w:color="auto" w:fill="FFFFFF"/>
        </w:rPr>
        <w:t>, tales</w:t>
      </w:r>
      <w:r w:rsidRPr="00E34A94">
        <w:rPr>
          <w:rFonts w:cs="Arial"/>
          <w:color w:val="242424"/>
          <w:shd w:val="clear" w:color="auto" w:fill="FFFFFF"/>
        </w:rPr>
        <w:t xml:space="preserve"> como la movilidad social, la rehabilitación, el apoyo alimentario y el desarrollo familiar.</w:t>
      </w:r>
    </w:p>
    <w:p w14:paraId="1AFF3F85" w14:textId="77777777" w:rsidR="00163FF7" w:rsidRPr="00E34A94" w:rsidRDefault="00163FF7" w:rsidP="00B205BA">
      <w:pPr>
        <w:spacing w:after="120" w:line="240" w:lineRule="auto"/>
        <w:rPr>
          <w:rFonts w:cs="Arial"/>
          <w:color w:val="242424"/>
          <w:shd w:val="clear" w:color="auto" w:fill="FFFFFF"/>
        </w:rPr>
      </w:pPr>
      <w:r w:rsidRPr="00CE47A2">
        <w:rPr>
          <w:rFonts w:cs="Arial"/>
          <w:color w:val="242424"/>
          <w:shd w:val="clear" w:color="auto" w:fill="FFFFFF"/>
        </w:rPr>
        <w:t xml:space="preserve">Uno de los enfoques más relevantes del desarrollo social es la implementación de programas focalizados. </w:t>
      </w:r>
      <w:r w:rsidRPr="00E34A94">
        <w:rPr>
          <w:rFonts w:cs="Arial"/>
          <w:color w:val="242424"/>
          <w:shd w:val="clear" w:color="auto" w:fill="FFFFFF"/>
        </w:rPr>
        <w:t xml:space="preserve">Entre </w:t>
      </w:r>
      <w:r w:rsidRPr="009E0DEE">
        <w:rPr>
          <w:rFonts w:cs="Arial"/>
          <w:color w:val="242424"/>
          <w:shd w:val="clear" w:color="auto" w:fill="FFFFFF"/>
        </w:rPr>
        <w:t>las</w:t>
      </w:r>
      <w:r w:rsidRPr="00E34A94">
        <w:rPr>
          <w:rFonts w:cs="Arial"/>
          <w:color w:val="242424"/>
          <w:shd w:val="clear" w:color="auto" w:fill="FFFFFF"/>
        </w:rPr>
        <w:t xml:space="preserve"> acciones más destacadas se incluyó la atención a personas en situación de vulnerabilidad mediante programas como Atención a personas en situación de calle, </w:t>
      </w:r>
      <w:r>
        <w:rPr>
          <w:rFonts w:cs="Arial"/>
          <w:color w:val="242424"/>
          <w:shd w:val="clear" w:color="auto" w:fill="FFFFFF"/>
        </w:rPr>
        <w:t>con el cual</w:t>
      </w:r>
      <w:r w:rsidRPr="00E34A94">
        <w:rPr>
          <w:rFonts w:cs="Arial"/>
          <w:color w:val="242424"/>
          <w:shd w:val="clear" w:color="auto" w:fill="FFFFFF"/>
        </w:rPr>
        <w:t xml:space="preserve"> </w:t>
      </w:r>
      <w:r>
        <w:rPr>
          <w:rFonts w:cs="Arial"/>
          <w:color w:val="242424"/>
          <w:shd w:val="clear" w:color="auto" w:fill="FFFFFF"/>
        </w:rPr>
        <w:t>se promovió</w:t>
      </w:r>
      <w:r w:rsidRPr="00E34A94">
        <w:rPr>
          <w:rFonts w:cs="Arial"/>
          <w:color w:val="242424"/>
          <w:shd w:val="clear" w:color="auto" w:fill="FFFFFF"/>
        </w:rPr>
        <w:t xml:space="preserve"> la reintegración social, laboral y familiar</w:t>
      </w:r>
      <w:r>
        <w:rPr>
          <w:rFonts w:cs="Arial"/>
          <w:color w:val="242424"/>
          <w:shd w:val="clear" w:color="auto" w:fill="FFFFFF"/>
        </w:rPr>
        <w:t>. También,</w:t>
      </w:r>
      <w:r w:rsidRPr="00E34A94">
        <w:rPr>
          <w:rFonts w:cs="Arial"/>
          <w:color w:val="242424"/>
          <w:shd w:val="clear" w:color="auto" w:fill="FFFFFF"/>
        </w:rPr>
        <w:t xml:space="preserve"> </w:t>
      </w:r>
      <w:r>
        <w:rPr>
          <w:rFonts w:cs="Arial"/>
          <w:color w:val="242424"/>
          <w:shd w:val="clear" w:color="auto" w:fill="FFFFFF"/>
        </w:rPr>
        <w:t xml:space="preserve">las actividades desarrolladas en </w:t>
      </w:r>
      <w:r w:rsidRPr="00E34A94">
        <w:rPr>
          <w:rFonts w:cs="Arial"/>
          <w:color w:val="242424"/>
          <w:shd w:val="clear" w:color="auto" w:fill="FFFFFF"/>
        </w:rPr>
        <w:t>el Centro de Capacitación Las Minitas, donde se ofrecieron talleres para desarrollar emprendimientos y fortalecer la economía familiar</w:t>
      </w:r>
      <w:r>
        <w:rPr>
          <w:rFonts w:cs="Arial"/>
          <w:color w:val="242424"/>
          <w:shd w:val="clear" w:color="auto" w:fill="FFFFFF"/>
        </w:rPr>
        <w:t xml:space="preserve">. Así </w:t>
      </w:r>
      <w:r>
        <w:rPr>
          <w:rFonts w:cs="Arial"/>
          <w:color w:val="242424"/>
          <w:shd w:val="clear" w:color="auto" w:fill="FFFFFF"/>
        </w:rPr>
        <w:lastRenderedPageBreak/>
        <w:t>mismo, el</w:t>
      </w:r>
      <w:r w:rsidRPr="00E34A94">
        <w:rPr>
          <w:rFonts w:cs="Arial"/>
          <w:color w:val="242424"/>
          <w:shd w:val="clear" w:color="auto" w:fill="FFFFFF"/>
        </w:rPr>
        <w:t xml:space="preserve"> programa Desafío Incluyente brindó apoyo económico a personas con discapacidad o a </w:t>
      </w:r>
      <w:r>
        <w:rPr>
          <w:rFonts w:cs="Arial"/>
          <w:color w:val="242424"/>
          <w:shd w:val="clear" w:color="auto" w:fill="FFFFFF"/>
        </w:rPr>
        <w:t xml:space="preserve">sus </w:t>
      </w:r>
      <w:r w:rsidRPr="00E34A94">
        <w:rPr>
          <w:rFonts w:cs="Arial"/>
          <w:color w:val="242424"/>
          <w:shd w:val="clear" w:color="auto" w:fill="FFFFFF"/>
        </w:rPr>
        <w:t>cuidadores.</w:t>
      </w:r>
    </w:p>
    <w:p w14:paraId="4D34811F" w14:textId="77777777" w:rsidR="00163FF7" w:rsidRPr="00CE47A2" w:rsidRDefault="00163FF7" w:rsidP="00B205BA">
      <w:pPr>
        <w:spacing w:after="120" w:line="240" w:lineRule="auto"/>
        <w:rPr>
          <w:rFonts w:cs="Arial"/>
          <w:color w:val="242424"/>
          <w:shd w:val="clear" w:color="auto" w:fill="FFFFFF"/>
        </w:rPr>
      </w:pPr>
      <w:r w:rsidRPr="00E34A94">
        <w:rPr>
          <w:rFonts w:cs="Arial"/>
          <w:color w:val="242424"/>
          <w:shd w:val="clear" w:color="auto" w:fill="FFFFFF"/>
        </w:rPr>
        <w:t xml:space="preserve">En materia de seguridad alimentaria, </w:t>
      </w:r>
      <w:r>
        <w:rPr>
          <w:rFonts w:cs="Arial"/>
          <w:color w:val="242424"/>
          <w:shd w:val="clear" w:color="auto" w:fill="FFFFFF"/>
        </w:rPr>
        <w:t xml:space="preserve">se </w:t>
      </w:r>
      <w:r w:rsidRPr="00E34A94">
        <w:rPr>
          <w:rFonts w:cs="Arial"/>
          <w:color w:val="242424"/>
          <w:shd w:val="clear" w:color="auto" w:fill="FFFFFF"/>
        </w:rPr>
        <w:t>implement</w:t>
      </w:r>
      <w:r>
        <w:rPr>
          <w:rFonts w:cs="Arial"/>
          <w:color w:val="242424"/>
          <w:shd w:val="clear" w:color="auto" w:fill="FFFFFF"/>
        </w:rPr>
        <w:t>aron</w:t>
      </w:r>
      <w:r w:rsidRPr="00E34A94">
        <w:rPr>
          <w:rFonts w:cs="Arial"/>
          <w:color w:val="242424"/>
          <w:shd w:val="clear" w:color="auto" w:fill="FFFFFF"/>
        </w:rPr>
        <w:t xml:space="preserve"> </w:t>
      </w:r>
      <w:r>
        <w:rPr>
          <w:rFonts w:cs="Arial"/>
          <w:color w:val="242424"/>
          <w:shd w:val="clear" w:color="auto" w:fill="FFFFFF"/>
        </w:rPr>
        <w:t xml:space="preserve">los </w:t>
      </w:r>
      <w:r w:rsidRPr="00E34A94">
        <w:rPr>
          <w:rFonts w:cs="Arial"/>
          <w:color w:val="242424"/>
          <w:shd w:val="clear" w:color="auto" w:fill="FFFFFF"/>
        </w:rPr>
        <w:t xml:space="preserve">programas Desayunos Escolares, Comedores Comunitarios y el de Asistencia Alimentaria, </w:t>
      </w:r>
      <w:r>
        <w:rPr>
          <w:rFonts w:cs="Arial"/>
          <w:color w:val="242424"/>
          <w:shd w:val="clear" w:color="auto" w:fill="FFFFFF"/>
        </w:rPr>
        <w:t>con los que se aseguró</w:t>
      </w:r>
      <w:r w:rsidRPr="00E34A94">
        <w:rPr>
          <w:rFonts w:cs="Arial"/>
          <w:color w:val="242424"/>
          <w:shd w:val="clear" w:color="auto" w:fill="FFFFFF"/>
        </w:rPr>
        <w:t xml:space="preserve"> el acceso a alimentos saludables y de calidad para niñas, niños, adultos mayores y personas con discapacidad.</w:t>
      </w:r>
      <w:r>
        <w:rPr>
          <w:rFonts w:cs="Arial"/>
          <w:color w:val="242424"/>
          <w:shd w:val="clear" w:color="auto" w:fill="FFFFFF"/>
        </w:rPr>
        <w:t xml:space="preserve"> </w:t>
      </w:r>
      <w:r w:rsidRPr="00CE47A2">
        <w:rPr>
          <w:rFonts w:cs="Arial"/>
          <w:color w:val="242424"/>
          <w:shd w:val="clear" w:color="auto" w:fill="FFFFFF"/>
        </w:rPr>
        <w:t xml:space="preserve">Estas políticas buscan mejorar las condiciones de vida de los beneficiarios </w:t>
      </w:r>
      <w:r>
        <w:rPr>
          <w:rFonts w:cs="Arial"/>
          <w:color w:val="242424"/>
          <w:shd w:val="clear" w:color="auto" w:fill="FFFFFF"/>
        </w:rPr>
        <w:t>y</w:t>
      </w:r>
      <w:r w:rsidRPr="00CE47A2">
        <w:rPr>
          <w:rFonts w:cs="Arial"/>
          <w:color w:val="242424"/>
          <w:shd w:val="clear" w:color="auto" w:fill="FFFFFF"/>
        </w:rPr>
        <w:t xml:space="preserve"> reducir las disparidades que los separan de otros grupos de la sociedad.</w:t>
      </w:r>
    </w:p>
    <w:p w14:paraId="724A57C1" w14:textId="77777777" w:rsidR="00163FF7" w:rsidRPr="00E34A94" w:rsidRDefault="00163FF7" w:rsidP="00B205BA">
      <w:pPr>
        <w:spacing w:after="120" w:line="240" w:lineRule="auto"/>
        <w:rPr>
          <w:rFonts w:cs="Arial"/>
          <w:color w:val="242424"/>
          <w:shd w:val="clear" w:color="auto" w:fill="FFFFFF"/>
        </w:rPr>
      </w:pPr>
      <w:r>
        <w:rPr>
          <w:rFonts w:cs="Arial"/>
          <w:color w:val="242424"/>
          <w:shd w:val="clear" w:color="auto" w:fill="FFFFFF"/>
        </w:rPr>
        <w:t>M</w:t>
      </w:r>
      <w:r w:rsidRPr="00CE47A2">
        <w:rPr>
          <w:rFonts w:cs="Arial"/>
          <w:color w:val="242424"/>
          <w:shd w:val="clear" w:color="auto" w:fill="FFFFFF"/>
        </w:rPr>
        <w:t>uchas brechas de desigualdad están relacionadas con el acceso limitado a la justicia</w:t>
      </w:r>
      <w:r>
        <w:rPr>
          <w:rFonts w:cs="Arial"/>
          <w:color w:val="242424"/>
          <w:shd w:val="clear" w:color="auto" w:fill="FFFFFF"/>
        </w:rPr>
        <w:t>;</w:t>
      </w:r>
      <w:r w:rsidRPr="00E34A94">
        <w:rPr>
          <w:rFonts w:cs="Arial"/>
          <w:color w:val="242424"/>
          <w:shd w:val="clear" w:color="auto" w:fill="FFFFFF"/>
        </w:rPr>
        <w:t xml:space="preserve"> </w:t>
      </w:r>
      <w:r>
        <w:rPr>
          <w:rFonts w:cs="Arial"/>
          <w:color w:val="242424"/>
          <w:shd w:val="clear" w:color="auto" w:fill="FFFFFF"/>
        </w:rPr>
        <w:t xml:space="preserve">por ello, </w:t>
      </w:r>
      <w:r w:rsidRPr="00E34A94">
        <w:rPr>
          <w:rFonts w:cs="Arial"/>
          <w:color w:val="242424"/>
          <w:shd w:val="clear" w:color="auto" w:fill="FFFFFF"/>
        </w:rPr>
        <w:t xml:space="preserve">el fortalecimiento familiar </w:t>
      </w:r>
      <w:r>
        <w:rPr>
          <w:rFonts w:cs="Arial"/>
          <w:color w:val="242424"/>
          <w:shd w:val="clear" w:color="auto" w:fill="FFFFFF"/>
        </w:rPr>
        <w:t>ha sido y seguirá siendo</w:t>
      </w:r>
      <w:r w:rsidRPr="00E34A94">
        <w:rPr>
          <w:rFonts w:cs="Arial"/>
          <w:color w:val="242424"/>
          <w:shd w:val="clear" w:color="auto" w:fill="FFFFFF"/>
        </w:rPr>
        <w:t xml:space="preserve"> una prioridad</w:t>
      </w:r>
      <w:r>
        <w:rPr>
          <w:rFonts w:cs="Arial"/>
          <w:color w:val="242424"/>
          <w:shd w:val="clear" w:color="auto" w:fill="FFFFFF"/>
        </w:rPr>
        <w:t xml:space="preserve"> en esta administración</w:t>
      </w:r>
      <w:r w:rsidRPr="00E34A94">
        <w:rPr>
          <w:rFonts w:cs="Arial"/>
          <w:color w:val="242424"/>
          <w:shd w:val="clear" w:color="auto" w:fill="FFFFFF"/>
        </w:rPr>
        <w:t xml:space="preserve">. A través de la Procuraduría para la Protección de Derechos, se impartieron talleres sobre autoestima, derechos infantiles, igualdad de género e inteligencia emocional, </w:t>
      </w:r>
      <w:r>
        <w:rPr>
          <w:rFonts w:cs="Arial"/>
          <w:color w:val="242424"/>
          <w:shd w:val="clear" w:color="auto" w:fill="FFFFFF"/>
        </w:rPr>
        <w:t>a fin de promover</w:t>
      </w:r>
      <w:r w:rsidRPr="00E34A94">
        <w:rPr>
          <w:rFonts w:cs="Arial"/>
          <w:color w:val="242424"/>
          <w:shd w:val="clear" w:color="auto" w:fill="FFFFFF"/>
        </w:rPr>
        <w:t xml:space="preserve"> entornos familiares estables y afectivos.</w:t>
      </w:r>
    </w:p>
    <w:p w14:paraId="29156A9F" w14:textId="77777777" w:rsidR="00163FF7" w:rsidRDefault="00163FF7" w:rsidP="00B205BA">
      <w:pPr>
        <w:spacing w:after="120" w:line="240" w:lineRule="auto"/>
        <w:rPr>
          <w:rFonts w:cs="Arial"/>
          <w:color w:val="242424"/>
          <w:shd w:val="clear" w:color="auto" w:fill="FFFFFF"/>
        </w:rPr>
      </w:pPr>
      <w:r w:rsidRPr="00CE47A2">
        <w:rPr>
          <w:rFonts w:cs="Arial"/>
          <w:color w:val="242424"/>
          <w:shd w:val="clear" w:color="auto" w:fill="FFFFFF"/>
        </w:rPr>
        <w:t xml:space="preserve">En el ámbito de la educación, los programas de desarrollo social </w:t>
      </w:r>
      <w:r>
        <w:rPr>
          <w:rFonts w:cs="Arial"/>
          <w:color w:val="242424"/>
          <w:shd w:val="clear" w:color="auto" w:fill="FFFFFF"/>
        </w:rPr>
        <w:t>son esenciales</w:t>
      </w:r>
      <w:r w:rsidRPr="00CE47A2">
        <w:rPr>
          <w:rFonts w:cs="Arial"/>
          <w:color w:val="242424"/>
          <w:shd w:val="clear" w:color="auto" w:fill="FFFFFF"/>
        </w:rPr>
        <w:t xml:space="preserve"> en la reducción de la desigualdad. La falta de acceso a una educación de calidad es una de las principales causas de la desigualdad, especialmente para los grupos más empobrecidos, las mujeres y las personas que viven en zonas rurales o marginadas. </w:t>
      </w:r>
    </w:p>
    <w:p w14:paraId="0BB92C5A" w14:textId="77777777" w:rsidR="00163FF7" w:rsidRDefault="00163FF7" w:rsidP="00B205BA">
      <w:pPr>
        <w:spacing w:after="120" w:line="240" w:lineRule="auto"/>
        <w:rPr>
          <w:rFonts w:cs="Arial"/>
          <w:color w:val="242424"/>
          <w:shd w:val="clear" w:color="auto" w:fill="FFFFFF"/>
        </w:rPr>
      </w:pPr>
      <w:r>
        <w:rPr>
          <w:rFonts w:cs="Arial"/>
          <w:color w:val="242424"/>
          <w:shd w:val="clear" w:color="auto" w:fill="FFFFFF"/>
        </w:rPr>
        <w:t xml:space="preserve">Reconociendo que ofrecer </w:t>
      </w:r>
      <w:r w:rsidRPr="00CE47A2">
        <w:rPr>
          <w:rFonts w:cs="Arial"/>
          <w:color w:val="242424"/>
          <w:shd w:val="clear" w:color="auto" w:fill="FFFFFF"/>
        </w:rPr>
        <w:t xml:space="preserve">oportunidades educativas contribuye a empoderar a estos grupos, </w:t>
      </w:r>
      <w:r w:rsidRPr="00E34A94">
        <w:rPr>
          <w:rFonts w:cs="Arial"/>
          <w:color w:val="242424"/>
          <w:shd w:val="clear" w:color="auto" w:fill="FFFFFF"/>
        </w:rPr>
        <w:t>se priorizó la atención a la infancia y el desarrollo integral mediante</w:t>
      </w:r>
      <w:r>
        <w:rPr>
          <w:rFonts w:cs="Arial"/>
          <w:color w:val="242424"/>
          <w:shd w:val="clear" w:color="auto" w:fill="FFFFFF"/>
        </w:rPr>
        <w:t xml:space="preserve"> las</w:t>
      </w:r>
      <w:r w:rsidRPr="00E34A94">
        <w:rPr>
          <w:rFonts w:cs="Arial"/>
          <w:color w:val="242424"/>
          <w:shd w:val="clear" w:color="auto" w:fill="FFFFFF"/>
        </w:rPr>
        <w:t xml:space="preserve"> Estancias Infantiles y el Centro de Desarrollo Infantil en el Poblado Miguel Alemán, </w:t>
      </w:r>
      <w:r>
        <w:rPr>
          <w:rFonts w:cs="Arial"/>
          <w:color w:val="242424"/>
          <w:shd w:val="clear" w:color="auto" w:fill="FFFFFF"/>
        </w:rPr>
        <w:t>a través de los cuales se brindaron</w:t>
      </w:r>
      <w:r w:rsidRPr="00E34A94">
        <w:rPr>
          <w:rFonts w:cs="Arial"/>
          <w:color w:val="242424"/>
          <w:shd w:val="clear" w:color="auto" w:fill="FFFFFF"/>
        </w:rPr>
        <w:t xml:space="preserve"> espacios seguros para el desarrollo educativo de niñas y niños en situación vulnerable.</w:t>
      </w:r>
    </w:p>
    <w:p w14:paraId="14572881" w14:textId="77777777" w:rsidR="00163FF7" w:rsidRPr="00E34A94" w:rsidRDefault="00163FF7" w:rsidP="00B205BA">
      <w:pPr>
        <w:spacing w:after="120" w:line="240" w:lineRule="auto"/>
        <w:rPr>
          <w:rFonts w:cs="Arial"/>
          <w:color w:val="242424"/>
          <w:shd w:val="clear" w:color="auto" w:fill="FFFFFF"/>
        </w:rPr>
      </w:pPr>
      <w:r w:rsidRPr="00E34A94">
        <w:rPr>
          <w:rFonts w:cs="Arial"/>
          <w:color w:val="242424"/>
          <w:shd w:val="clear" w:color="auto" w:fill="FFFFFF"/>
        </w:rPr>
        <w:t xml:space="preserve">En cuanto a sostenibilidad energética, el programa Peso Solar impulsó el uso de paneles solares y la eficiencia energética en organizaciones de la sociedad civil, permitiendo que estas instituciones </w:t>
      </w:r>
      <w:r>
        <w:rPr>
          <w:rFonts w:cs="Arial"/>
          <w:color w:val="242424"/>
          <w:shd w:val="clear" w:color="auto" w:fill="FFFFFF"/>
        </w:rPr>
        <w:t>tuvieran mayor disponibilidad de</w:t>
      </w:r>
      <w:r w:rsidRPr="00E34A94">
        <w:rPr>
          <w:rFonts w:cs="Arial"/>
          <w:color w:val="242424"/>
          <w:shd w:val="clear" w:color="auto" w:fill="FFFFFF"/>
        </w:rPr>
        <w:t xml:space="preserve"> recursos </w:t>
      </w:r>
      <w:r>
        <w:rPr>
          <w:rFonts w:cs="Arial"/>
          <w:color w:val="242424"/>
          <w:shd w:val="clear" w:color="auto" w:fill="FFFFFF"/>
        </w:rPr>
        <w:t>para</w:t>
      </w:r>
      <w:r w:rsidRPr="00E34A94">
        <w:rPr>
          <w:rFonts w:cs="Arial"/>
          <w:color w:val="242424"/>
          <w:shd w:val="clear" w:color="auto" w:fill="FFFFFF"/>
        </w:rPr>
        <w:t xml:space="preserve"> atender causas sociales prioritarias.</w:t>
      </w:r>
    </w:p>
    <w:p w14:paraId="6EB99DD3" w14:textId="77777777" w:rsidR="00163FF7" w:rsidRPr="00E34A94" w:rsidRDefault="00163FF7" w:rsidP="00B205BA">
      <w:pPr>
        <w:spacing w:after="120" w:line="240" w:lineRule="auto"/>
        <w:rPr>
          <w:rFonts w:cs="Arial"/>
          <w:color w:val="242424"/>
          <w:shd w:val="clear" w:color="auto" w:fill="FFFFFF"/>
        </w:rPr>
      </w:pPr>
      <w:r w:rsidRPr="00E34A94">
        <w:rPr>
          <w:rFonts w:cs="Arial"/>
          <w:color w:val="242424"/>
          <w:shd w:val="clear" w:color="auto" w:fill="FFFFFF"/>
        </w:rPr>
        <w:t xml:space="preserve">Asimismo, se promovió la inclusión de personas con discapacidad </w:t>
      </w:r>
      <w:r>
        <w:rPr>
          <w:rFonts w:cs="Arial"/>
          <w:color w:val="242424"/>
          <w:shd w:val="clear" w:color="auto" w:fill="FFFFFF"/>
        </w:rPr>
        <w:t>a través</w:t>
      </w:r>
      <w:r w:rsidRPr="00E34A94">
        <w:rPr>
          <w:rFonts w:cs="Arial"/>
          <w:color w:val="242424"/>
          <w:shd w:val="clear" w:color="auto" w:fill="FFFFFF"/>
        </w:rPr>
        <w:t xml:space="preserve"> </w:t>
      </w:r>
      <w:r>
        <w:rPr>
          <w:rFonts w:cs="Arial"/>
          <w:color w:val="242424"/>
          <w:shd w:val="clear" w:color="auto" w:fill="FFFFFF"/>
        </w:rPr>
        <w:t>d</w:t>
      </w:r>
      <w:r w:rsidRPr="00E34A94">
        <w:rPr>
          <w:rFonts w:cs="Arial"/>
          <w:color w:val="242424"/>
          <w:shd w:val="clear" w:color="auto" w:fill="FFFFFF"/>
        </w:rPr>
        <w:t>el Consejo Municipal para la Inclusión, que realizó campañas de sensibilización, gestionó trámites y fomentó la accesibilidad en instituciones públicas y privadas.</w:t>
      </w:r>
    </w:p>
    <w:p w14:paraId="61E893FF" w14:textId="77777777" w:rsidR="00163FF7" w:rsidRPr="00E34A94" w:rsidRDefault="00163FF7" w:rsidP="00B205BA">
      <w:pPr>
        <w:spacing w:after="120" w:line="240" w:lineRule="auto"/>
        <w:rPr>
          <w:rFonts w:cs="Arial"/>
          <w:color w:val="242424"/>
          <w:shd w:val="clear" w:color="auto" w:fill="FFFFFF"/>
        </w:rPr>
      </w:pPr>
      <w:r>
        <w:rPr>
          <w:rFonts w:cs="Arial"/>
          <w:color w:val="242424"/>
          <w:shd w:val="clear" w:color="auto" w:fill="FFFFFF"/>
        </w:rPr>
        <w:t>Por último</w:t>
      </w:r>
      <w:r w:rsidRPr="00E34A94">
        <w:rPr>
          <w:rFonts w:cs="Arial"/>
          <w:color w:val="242424"/>
          <w:shd w:val="clear" w:color="auto" w:fill="FFFFFF"/>
        </w:rPr>
        <w:t xml:space="preserve">, las Casas de Abuelos ofrecieron espacios seguros para </w:t>
      </w:r>
      <w:r>
        <w:rPr>
          <w:rFonts w:cs="Arial"/>
          <w:color w:val="242424"/>
          <w:shd w:val="clear" w:color="auto" w:fill="FFFFFF"/>
        </w:rPr>
        <w:t>personas</w:t>
      </w:r>
      <w:r w:rsidRPr="00E34A94">
        <w:rPr>
          <w:rFonts w:cs="Arial"/>
          <w:color w:val="242424"/>
          <w:shd w:val="clear" w:color="auto" w:fill="FFFFFF"/>
        </w:rPr>
        <w:t xml:space="preserve"> adult</w:t>
      </w:r>
      <w:r>
        <w:rPr>
          <w:rFonts w:cs="Arial"/>
          <w:color w:val="242424"/>
          <w:shd w:val="clear" w:color="auto" w:fill="FFFFFF"/>
        </w:rPr>
        <w:t>a</w:t>
      </w:r>
      <w:r w:rsidRPr="00E34A94">
        <w:rPr>
          <w:rFonts w:cs="Arial"/>
          <w:color w:val="242424"/>
          <w:shd w:val="clear" w:color="auto" w:fill="FFFFFF"/>
        </w:rPr>
        <w:t xml:space="preserve">s mayores, </w:t>
      </w:r>
      <w:r>
        <w:rPr>
          <w:rFonts w:cs="Arial"/>
          <w:color w:val="242424"/>
          <w:shd w:val="clear" w:color="auto" w:fill="FFFFFF"/>
        </w:rPr>
        <w:t>haciendo posible</w:t>
      </w:r>
      <w:r w:rsidRPr="00E34A94">
        <w:rPr>
          <w:rFonts w:cs="Arial"/>
          <w:color w:val="242424"/>
          <w:shd w:val="clear" w:color="auto" w:fill="FFFFFF"/>
        </w:rPr>
        <w:t xml:space="preserve"> un envejecimiento digno, manteniendo su autonomía y fortaleciendo su integración en la familia y la sociedad.</w:t>
      </w:r>
    </w:p>
    <w:p w14:paraId="328290A7" w14:textId="77777777" w:rsidR="00163FF7" w:rsidRPr="002B1A6B" w:rsidRDefault="00163FF7" w:rsidP="00B205BA">
      <w:pPr>
        <w:spacing w:after="120" w:line="240" w:lineRule="auto"/>
        <w:rPr>
          <w:rFonts w:cs="Arial"/>
          <w:color w:val="242424"/>
          <w:shd w:val="clear" w:color="auto" w:fill="FFFFFF"/>
        </w:rPr>
      </w:pPr>
      <w:r w:rsidRPr="00E34A94">
        <w:rPr>
          <w:rFonts w:cs="Arial"/>
          <w:color w:val="242424"/>
          <w:shd w:val="clear" w:color="auto" w:fill="FFFFFF"/>
        </w:rPr>
        <w:t xml:space="preserve">Durante los tres años de la administración municipal, </w:t>
      </w:r>
      <w:r w:rsidRPr="00465138">
        <w:rPr>
          <w:rFonts w:cs="Arial"/>
          <w:color w:val="242424"/>
          <w:shd w:val="clear" w:color="auto" w:fill="FFFFFF"/>
        </w:rPr>
        <w:t>se</w:t>
      </w:r>
      <w:r w:rsidRPr="00E34A94">
        <w:rPr>
          <w:rFonts w:cs="Arial"/>
          <w:color w:val="242424"/>
          <w:shd w:val="clear" w:color="auto" w:fill="FFFFFF"/>
        </w:rPr>
        <w:t xml:space="preserve"> fortaleci</w:t>
      </w:r>
      <w:r w:rsidRPr="00465138">
        <w:rPr>
          <w:rFonts w:cs="Arial"/>
          <w:color w:val="242424"/>
          <w:shd w:val="clear" w:color="auto" w:fill="FFFFFF"/>
        </w:rPr>
        <w:t>eron</w:t>
      </w:r>
      <w:r w:rsidRPr="00E34A94">
        <w:rPr>
          <w:rFonts w:cs="Arial"/>
          <w:color w:val="242424"/>
          <w:shd w:val="clear" w:color="auto" w:fill="FFFFFF"/>
        </w:rPr>
        <w:t xml:space="preserve"> </w:t>
      </w:r>
      <w:r>
        <w:rPr>
          <w:rFonts w:cs="Arial"/>
          <w:color w:val="242424"/>
          <w:shd w:val="clear" w:color="auto" w:fill="FFFFFF"/>
        </w:rPr>
        <w:t>los</w:t>
      </w:r>
      <w:r w:rsidRPr="00E34A94">
        <w:rPr>
          <w:rFonts w:cs="Arial"/>
          <w:color w:val="242424"/>
          <w:shd w:val="clear" w:color="auto" w:fill="FFFFFF"/>
        </w:rPr>
        <w:t xml:space="preserve"> programas </w:t>
      </w:r>
      <w:r>
        <w:rPr>
          <w:rFonts w:cs="Arial"/>
          <w:color w:val="242424"/>
          <w:shd w:val="clear" w:color="auto" w:fill="FFFFFF"/>
        </w:rPr>
        <w:t xml:space="preserve">para el desarrollo social y de capacidades, </w:t>
      </w:r>
      <w:r w:rsidRPr="00E34A94">
        <w:rPr>
          <w:rFonts w:cs="Arial"/>
          <w:color w:val="242424"/>
          <w:shd w:val="clear" w:color="auto" w:fill="FFFFFF"/>
        </w:rPr>
        <w:t xml:space="preserve">priorizando la atención a niñas, niños, adolescentes y adultos mayores. Este enfoque integral permitió atender las necesidades más apremiantes de la población vulnerable, con una visión centrada en la familia y el desarrollo sostenible, </w:t>
      </w:r>
      <w:r w:rsidRPr="002B1A6B">
        <w:rPr>
          <w:rFonts w:cs="Arial"/>
          <w:color w:val="242424"/>
          <w:shd w:val="clear" w:color="auto" w:fill="FFFFFF"/>
        </w:rPr>
        <w:t>dejando un impacto positivo y duradero en la comunidad.</w:t>
      </w:r>
    </w:p>
    <w:p w14:paraId="55F4298A" w14:textId="77777777" w:rsidR="00163FF7" w:rsidRDefault="00163FF7" w:rsidP="00B205BA">
      <w:pPr>
        <w:spacing w:after="120" w:line="240" w:lineRule="auto"/>
        <w:rPr>
          <w:rFonts w:cs="Arial"/>
          <w:color w:val="242424"/>
          <w:shd w:val="clear" w:color="auto" w:fill="FFFFFF"/>
        </w:rPr>
      </w:pPr>
      <w:r w:rsidRPr="002B1A6B">
        <w:rPr>
          <w:rFonts w:cs="Arial"/>
          <w:color w:val="242424"/>
          <w:shd w:val="clear" w:color="auto" w:fill="FFFFFF"/>
        </w:rPr>
        <w:t>A pesar de estos esfuerzos, como ya hemos mencionado, las persistentes brechas de desigualdad constituyen barreras estructurales en el acceso a derechos fundamentales, como la educación, la salud, la seguridad social, la alimentación y la vivienda, lo que afecta especialmente a los grupos vulnerables.</w:t>
      </w:r>
    </w:p>
    <w:p w14:paraId="6932D8BC" w14:textId="5EB19D74" w:rsidR="00013F4A" w:rsidRPr="00013F4A" w:rsidRDefault="00163FF7" w:rsidP="00B205BA">
      <w:pPr>
        <w:spacing w:after="120" w:line="240" w:lineRule="auto"/>
        <w:rPr>
          <w:rFonts w:cs="Arial"/>
          <w:color w:val="242424"/>
          <w:shd w:val="clear" w:color="auto" w:fill="FFFFFF"/>
        </w:rPr>
      </w:pPr>
      <w:r>
        <w:rPr>
          <w:rFonts w:cs="Arial"/>
          <w:color w:val="242424"/>
          <w:shd w:val="clear" w:color="auto" w:fill="FFFFFF"/>
        </w:rPr>
        <w:t xml:space="preserve">Sigue vigente el reto de </w:t>
      </w:r>
      <w:r w:rsidRPr="00CE47A2">
        <w:rPr>
          <w:rFonts w:cs="Arial"/>
          <w:color w:val="242424"/>
          <w:shd w:val="clear" w:color="auto" w:fill="FFFFFF"/>
        </w:rPr>
        <w:t>reducir las disparidades entre los distintos grupos, especialmente aquellos históricamente excluidos de los beneficios del progreso social y económico</w:t>
      </w:r>
      <w:r>
        <w:rPr>
          <w:rFonts w:cs="Arial"/>
          <w:color w:val="242424"/>
          <w:shd w:val="clear" w:color="auto" w:fill="FFFFFF"/>
        </w:rPr>
        <w:t>. El Ayuntamiento de Hermosillo continuará redoblando esfuerzos a través de la implementación de</w:t>
      </w:r>
      <w:r w:rsidRPr="00CE47A2">
        <w:rPr>
          <w:rFonts w:cs="Arial"/>
          <w:color w:val="242424"/>
          <w:shd w:val="clear" w:color="auto" w:fill="FFFFFF"/>
        </w:rPr>
        <w:t xml:space="preserve"> políticas de inclusión social</w:t>
      </w:r>
      <w:r>
        <w:rPr>
          <w:rFonts w:cs="Arial"/>
          <w:color w:val="242424"/>
          <w:shd w:val="clear" w:color="auto" w:fill="FFFFFF"/>
        </w:rPr>
        <w:t xml:space="preserve">, </w:t>
      </w:r>
      <w:r w:rsidRPr="00CE47A2">
        <w:rPr>
          <w:rFonts w:cs="Arial"/>
          <w:color w:val="242424"/>
          <w:shd w:val="clear" w:color="auto" w:fill="FFFFFF"/>
        </w:rPr>
        <w:t>abordan</w:t>
      </w:r>
      <w:r>
        <w:rPr>
          <w:rFonts w:cs="Arial"/>
          <w:color w:val="242424"/>
          <w:shd w:val="clear" w:color="auto" w:fill="FFFFFF"/>
        </w:rPr>
        <w:t>do las</w:t>
      </w:r>
      <w:r w:rsidRPr="00CE47A2">
        <w:rPr>
          <w:rFonts w:cs="Arial"/>
          <w:color w:val="242424"/>
          <w:shd w:val="clear" w:color="auto" w:fill="FFFFFF"/>
        </w:rPr>
        <w:t xml:space="preserve"> múltiples dimensiones que afectan a los grupos más vulnerables</w:t>
      </w:r>
      <w:r>
        <w:rPr>
          <w:rFonts w:cs="Arial"/>
          <w:color w:val="242424"/>
          <w:shd w:val="clear" w:color="auto" w:fill="FFFFFF"/>
        </w:rPr>
        <w:t xml:space="preserve"> </w:t>
      </w:r>
      <w:r w:rsidRPr="00CE47A2">
        <w:rPr>
          <w:rFonts w:cs="Arial"/>
          <w:color w:val="242424"/>
          <w:shd w:val="clear" w:color="auto" w:fill="FFFFFF"/>
        </w:rPr>
        <w:t>para fomentar la equidad y promover una sociedad más justa e inclusiva</w:t>
      </w:r>
      <w:r>
        <w:rPr>
          <w:rFonts w:cs="Arial"/>
          <w:color w:val="242424"/>
          <w:shd w:val="clear" w:color="auto" w:fill="FFFFFF"/>
        </w:rPr>
        <w:t>. Lucharemos por f</w:t>
      </w:r>
      <w:r w:rsidRPr="00572DAC">
        <w:rPr>
          <w:rFonts w:cs="Arial"/>
          <w:color w:val="242424"/>
          <w:shd w:val="clear" w:color="auto" w:fill="FFFFFF"/>
        </w:rPr>
        <w:t xml:space="preserve">ortalecer el desarrollo sostenible de las familias </w:t>
      </w:r>
      <w:r w:rsidRPr="00572DAC">
        <w:rPr>
          <w:rFonts w:cs="Arial"/>
          <w:color w:val="242424"/>
          <w:shd w:val="clear" w:color="auto" w:fill="FFFFFF"/>
        </w:rPr>
        <w:lastRenderedPageBreak/>
        <w:t>desde una perspectiva de género y con un enfoque en derechos humanos</w:t>
      </w:r>
      <w:r>
        <w:rPr>
          <w:rFonts w:cs="Arial"/>
          <w:color w:val="242424"/>
          <w:shd w:val="clear" w:color="auto" w:fill="FFFFFF"/>
        </w:rPr>
        <w:t>,</w:t>
      </w:r>
      <w:r w:rsidRPr="00572DAC">
        <w:rPr>
          <w:rFonts w:cs="Arial"/>
          <w:color w:val="242424"/>
          <w:shd w:val="clear" w:color="auto" w:fill="FFFFFF"/>
        </w:rPr>
        <w:t xml:space="preserve"> para mejorar </w:t>
      </w:r>
      <w:r>
        <w:rPr>
          <w:rFonts w:cs="Arial"/>
          <w:color w:val="242424"/>
          <w:shd w:val="clear" w:color="auto" w:fill="FFFFFF"/>
        </w:rPr>
        <w:t xml:space="preserve">su </w:t>
      </w:r>
      <w:r w:rsidRPr="00572DAC">
        <w:rPr>
          <w:rFonts w:cs="Arial"/>
          <w:color w:val="242424"/>
          <w:shd w:val="clear" w:color="auto" w:fill="FFFFFF"/>
        </w:rPr>
        <w:t>calidad de vida a través del ejercicio efectivo de derechos, la inclusión, la prevención y promoción de la salud y el acceso a condiciones de bienestar que promuevan su integración social.</w:t>
      </w:r>
    </w:p>
    <w:p w14:paraId="2A449B49" w14:textId="5492786E" w:rsidR="00163FF7" w:rsidRDefault="00163FF7" w:rsidP="00B205BA">
      <w:pPr>
        <w:spacing w:after="120" w:line="240" w:lineRule="auto"/>
        <w:rPr>
          <w:rFonts w:cs="Arial"/>
          <w:b/>
          <w:bCs/>
          <w:color w:val="242424"/>
          <w:shd w:val="clear" w:color="auto" w:fill="FFFFFF"/>
        </w:rPr>
      </w:pPr>
      <w:r w:rsidRPr="004742A3">
        <w:rPr>
          <w:rFonts w:cs="Arial"/>
          <w:b/>
          <w:bCs/>
          <w:color w:val="242424"/>
          <w:shd w:val="clear" w:color="auto" w:fill="FFFFFF"/>
        </w:rPr>
        <w:t xml:space="preserve">Salud </w:t>
      </w:r>
      <w:r>
        <w:rPr>
          <w:rFonts w:cs="Arial"/>
          <w:b/>
          <w:bCs/>
          <w:color w:val="242424"/>
          <w:shd w:val="clear" w:color="auto" w:fill="FFFFFF"/>
        </w:rPr>
        <w:t>p</w:t>
      </w:r>
      <w:r w:rsidRPr="004742A3">
        <w:rPr>
          <w:rFonts w:cs="Arial"/>
          <w:b/>
          <w:bCs/>
          <w:color w:val="242424"/>
          <w:shd w:val="clear" w:color="auto" w:fill="FFFFFF"/>
        </w:rPr>
        <w:t>ública</w:t>
      </w:r>
      <w:r w:rsidR="00261A27">
        <w:rPr>
          <w:rFonts w:cs="Arial"/>
          <w:b/>
          <w:bCs/>
          <w:color w:val="242424"/>
          <w:shd w:val="clear" w:color="auto" w:fill="FFFFFF"/>
        </w:rPr>
        <w:t>.</w:t>
      </w:r>
    </w:p>
    <w:p w14:paraId="2505F984" w14:textId="77777777" w:rsidR="00163FF7" w:rsidRDefault="00163FF7" w:rsidP="00B205BA">
      <w:pPr>
        <w:spacing w:after="120" w:line="240" w:lineRule="auto"/>
        <w:rPr>
          <w:rFonts w:cs="Arial"/>
          <w:color w:val="242424"/>
          <w:shd w:val="clear" w:color="auto" w:fill="FFFFFF"/>
        </w:rPr>
      </w:pPr>
      <w:r w:rsidRPr="005129EC">
        <w:rPr>
          <w:rFonts w:cs="Arial"/>
          <w:color w:val="242424"/>
          <w:shd w:val="clear" w:color="auto" w:fill="FFFFFF"/>
        </w:rPr>
        <w:t>Con el fin de promover la salud individual y comunitaria</w:t>
      </w:r>
      <w:r>
        <w:rPr>
          <w:rFonts w:cs="Arial"/>
          <w:color w:val="242424"/>
          <w:shd w:val="clear" w:color="auto" w:fill="FFFFFF"/>
        </w:rPr>
        <w:t xml:space="preserve"> de la población</w:t>
      </w:r>
      <w:r w:rsidRPr="005129EC">
        <w:rPr>
          <w:rFonts w:cs="Arial"/>
          <w:color w:val="242424"/>
          <w:shd w:val="clear" w:color="auto" w:fill="FFFFFF"/>
        </w:rPr>
        <w:t>, el Ayuntamiento de Hermosillo</w:t>
      </w:r>
      <w:r>
        <w:rPr>
          <w:rFonts w:cs="Arial"/>
          <w:color w:val="242424"/>
          <w:shd w:val="clear" w:color="auto" w:fill="FFFFFF"/>
        </w:rPr>
        <w:t xml:space="preserve"> ha impulsado para esta Administración la </w:t>
      </w:r>
      <w:r w:rsidRPr="005129EC">
        <w:rPr>
          <w:rFonts w:cs="Arial"/>
          <w:color w:val="242424"/>
          <w:shd w:val="clear" w:color="auto" w:fill="FFFFFF"/>
        </w:rPr>
        <w:t>creación de la Dirección de Salud</w:t>
      </w:r>
      <w:r>
        <w:rPr>
          <w:rFonts w:cs="Arial"/>
          <w:color w:val="242424"/>
          <w:shd w:val="clear" w:color="auto" w:fill="FFFFFF"/>
        </w:rPr>
        <w:t xml:space="preserve">, cuyo </w:t>
      </w:r>
      <w:r w:rsidRPr="005129EC">
        <w:rPr>
          <w:rFonts w:cs="Arial"/>
          <w:color w:val="242424"/>
          <w:shd w:val="clear" w:color="auto" w:fill="FFFFFF"/>
        </w:rPr>
        <w:t xml:space="preserve">objetivo </w:t>
      </w:r>
      <w:r>
        <w:rPr>
          <w:rFonts w:cs="Arial"/>
          <w:color w:val="242424"/>
          <w:shd w:val="clear" w:color="auto" w:fill="FFFFFF"/>
        </w:rPr>
        <w:t xml:space="preserve">es </w:t>
      </w:r>
      <w:r w:rsidRPr="005129EC">
        <w:rPr>
          <w:rFonts w:cs="Arial"/>
          <w:color w:val="242424"/>
          <w:shd w:val="clear" w:color="auto" w:fill="FFFFFF"/>
        </w:rPr>
        <w:t>reducir las desigualdades en el acceso y la calidad de los servicios de salud, especialmente para grupos vulnerables como mujeres indígenas, jóvenes y personas con discapacidad</w:t>
      </w:r>
      <w:r>
        <w:rPr>
          <w:rFonts w:cs="Arial"/>
          <w:color w:val="242424"/>
          <w:shd w:val="clear" w:color="auto" w:fill="FFFFFF"/>
        </w:rPr>
        <w:t>. Esto, con</w:t>
      </w:r>
      <w:r w:rsidRPr="005129EC">
        <w:rPr>
          <w:rFonts w:cs="Arial"/>
          <w:color w:val="242424"/>
          <w:shd w:val="clear" w:color="auto" w:fill="FFFFFF"/>
        </w:rPr>
        <w:t xml:space="preserve"> un enfoque particular en las zonas rurales</w:t>
      </w:r>
      <w:r>
        <w:rPr>
          <w:rFonts w:cs="Arial"/>
          <w:color w:val="242424"/>
          <w:shd w:val="clear" w:color="auto" w:fill="FFFFFF"/>
        </w:rPr>
        <w:t>, donde implementaremos</w:t>
      </w:r>
      <w:r w:rsidRPr="005129EC">
        <w:rPr>
          <w:rFonts w:cs="Arial"/>
          <w:color w:val="242424"/>
          <w:shd w:val="clear" w:color="auto" w:fill="FFFFFF"/>
        </w:rPr>
        <w:t xml:space="preserve"> diversas acciones estratégicas</w:t>
      </w:r>
      <w:r>
        <w:rPr>
          <w:rFonts w:cs="Arial"/>
          <w:color w:val="242424"/>
          <w:shd w:val="clear" w:color="auto" w:fill="FFFFFF"/>
        </w:rPr>
        <w:t xml:space="preserve">. </w:t>
      </w:r>
    </w:p>
    <w:p w14:paraId="0D159694" w14:textId="77777777" w:rsidR="00163FF7" w:rsidRPr="005129EC" w:rsidRDefault="00163FF7" w:rsidP="00B205BA">
      <w:pPr>
        <w:spacing w:after="120" w:line="240" w:lineRule="auto"/>
        <w:rPr>
          <w:rFonts w:cs="Arial"/>
          <w:color w:val="242424"/>
          <w:shd w:val="clear" w:color="auto" w:fill="FFFFFF"/>
        </w:rPr>
      </w:pPr>
      <w:r w:rsidRPr="005129EC">
        <w:rPr>
          <w:rFonts w:cs="Arial"/>
          <w:color w:val="242424"/>
          <w:shd w:val="clear" w:color="auto" w:fill="FFFFFF"/>
        </w:rPr>
        <w:t>Se llevarán a cabo jornadas de salud que incluirán actividades de educación, revisiones dentales, atención preventiva, curativa y rehabilitación, enfocadas en seleccionar a los ciudadanos en condiciones de vulnerabilidad para referirlos a consultorios fijos y mejorar su salud oral. Además, se garantizarán servicios orientados a los grupos étnicos, acercando la atención primaria, preventiva e integral en salud pública.</w:t>
      </w:r>
    </w:p>
    <w:p w14:paraId="46FD7AFC" w14:textId="77777777" w:rsidR="00163FF7" w:rsidRPr="005129EC" w:rsidRDefault="00163FF7" w:rsidP="00B205BA">
      <w:pPr>
        <w:spacing w:after="120" w:line="240" w:lineRule="auto"/>
        <w:rPr>
          <w:rFonts w:cs="Arial"/>
          <w:color w:val="242424"/>
          <w:shd w:val="clear" w:color="auto" w:fill="FFFFFF"/>
        </w:rPr>
      </w:pPr>
      <w:r w:rsidRPr="005129EC">
        <w:rPr>
          <w:rFonts w:cs="Arial"/>
          <w:color w:val="242424"/>
          <w:shd w:val="clear" w:color="auto" w:fill="FFFFFF"/>
        </w:rPr>
        <w:t>Otro componente clave será la ampliación del programa de Saneamiento Básico Municipal, cuyo objetivo es mantener una comunidad limpia y reducir el riesgo de enfermedades transmitidas por vectores. También se trabajará en el control y tratamiento de infecciones de transmisión sexual, implementando medidas para la identificación, seguimiento y regulación sanitaria de las personas dedicadas al sexo-servicio.</w:t>
      </w:r>
    </w:p>
    <w:p w14:paraId="655F4095" w14:textId="77777777" w:rsidR="00163FF7" w:rsidRPr="005129EC" w:rsidRDefault="00163FF7" w:rsidP="00B205BA">
      <w:pPr>
        <w:spacing w:after="120" w:line="240" w:lineRule="auto"/>
        <w:rPr>
          <w:rFonts w:cs="Arial"/>
          <w:color w:val="242424"/>
          <w:shd w:val="clear" w:color="auto" w:fill="FFFFFF"/>
        </w:rPr>
      </w:pPr>
      <w:r w:rsidRPr="005129EC">
        <w:rPr>
          <w:rFonts w:cs="Arial"/>
          <w:color w:val="242424"/>
          <w:shd w:val="clear" w:color="auto" w:fill="FFFFFF"/>
        </w:rPr>
        <w:t xml:space="preserve">Se realizarán acciones integrales de promoción y prevención de enfermedades mentales y adicciones, asegurando un enfoque inclusivo y evitando estigmatizaciones. </w:t>
      </w:r>
      <w:r>
        <w:rPr>
          <w:rFonts w:cs="Arial"/>
          <w:color w:val="242424"/>
          <w:shd w:val="clear" w:color="auto" w:fill="FFFFFF"/>
        </w:rPr>
        <w:t>Se</w:t>
      </w:r>
      <w:r w:rsidRPr="005129EC">
        <w:rPr>
          <w:rFonts w:cs="Arial"/>
          <w:color w:val="242424"/>
          <w:shd w:val="clear" w:color="auto" w:fill="FFFFFF"/>
        </w:rPr>
        <w:t xml:space="preserve"> fomentará la colaboración con otras dependencias gubernamentales y la sociedad civil para acercar los servicios de salud a la población vulnerable, con el fin de mejorar la calidad de vida de los hermosillenses y reducir las brechas de desigualdad en el acceso a los servicios médicos.</w:t>
      </w:r>
    </w:p>
    <w:p w14:paraId="5F08D734" w14:textId="7B2441DC" w:rsidR="00163FF7" w:rsidRPr="00F743E5" w:rsidRDefault="00163FF7" w:rsidP="00B205BA">
      <w:pPr>
        <w:spacing w:after="120" w:line="240" w:lineRule="auto"/>
        <w:rPr>
          <w:rFonts w:cs="Arial"/>
          <w:color w:val="242424"/>
          <w:shd w:val="clear" w:color="auto" w:fill="FFFFFF"/>
        </w:rPr>
      </w:pPr>
      <w:r>
        <w:rPr>
          <w:rFonts w:cs="Arial"/>
          <w:color w:val="242424"/>
          <w:shd w:val="clear" w:color="auto" w:fill="FFFFFF"/>
        </w:rPr>
        <w:t>Con ello</w:t>
      </w:r>
      <w:r w:rsidRPr="002B1A6B">
        <w:rPr>
          <w:rFonts w:cs="Arial"/>
          <w:color w:val="242424"/>
          <w:shd w:val="clear" w:color="auto" w:fill="FFFFFF"/>
        </w:rPr>
        <w:t>, no solo se abordarán los desafíos actuales, sino que también se abrirá el camino para el fortalecimiento y la expansión de los servicios de salud de calidad y oportunos</w:t>
      </w:r>
      <w:r w:rsidR="002B1A6B" w:rsidRPr="002B1A6B">
        <w:rPr>
          <w:rFonts w:cs="Arial"/>
          <w:color w:val="242424"/>
          <w:shd w:val="clear" w:color="auto" w:fill="FFFFFF"/>
        </w:rPr>
        <w:t xml:space="preserve">, </w:t>
      </w:r>
      <w:r w:rsidRPr="002B1A6B">
        <w:rPr>
          <w:rFonts w:cs="Arial"/>
          <w:color w:val="242424"/>
          <w:shd w:val="clear" w:color="auto" w:fill="FFFFFF"/>
        </w:rPr>
        <w:t>incluyendo aquellos de las zonas rurales y marginadas, tengan acceso a servicios médicos adecuados. Para ello, es necesario eliminar las barreras geográficas y socioeconómicas que limitan el acceso a la atención</w:t>
      </w:r>
      <w:r w:rsidRPr="00F743E5">
        <w:rPr>
          <w:rFonts w:cs="Arial"/>
          <w:color w:val="242424"/>
          <w:shd w:val="clear" w:color="auto" w:fill="FFFFFF"/>
        </w:rPr>
        <w:t xml:space="preserve"> sanitaria, mejorando la infraestructura y los servicios disponibles.</w:t>
      </w:r>
    </w:p>
    <w:p w14:paraId="149741F7" w14:textId="77777777" w:rsidR="00163FF7" w:rsidRDefault="00163FF7" w:rsidP="00B205BA">
      <w:pPr>
        <w:spacing w:after="120" w:line="240" w:lineRule="auto"/>
        <w:rPr>
          <w:rFonts w:cs="Arial"/>
          <w:color w:val="242424"/>
          <w:shd w:val="clear" w:color="auto" w:fill="FFFFFF"/>
        </w:rPr>
      </w:pPr>
      <w:r w:rsidRPr="00F743E5">
        <w:rPr>
          <w:rFonts w:cs="Arial"/>
          <w:color w:val="242424"/>
          <w:shd w:val="clear" w:color="auto" w:fill="FFFFFF"/>
        </w:rPr>
        <w:t xml:space="preserve">Otro importante </w:t>
      </w:r>
      <w:r w:rsidRPr="00350286">
        <w:rPr>
          <w:rFonts w:cs="Arial"/>
          <w:color w:val="242424"/>
          <w:shd w:val="clear" w:color="auto" w:fill="FFFFFF"/>
        </w:rPr>
        <w:t xml:space="preserve">desafío </w:t>
      </w:r>
      <w:r>
        <w:rPr>
          <w:rFonts w:cs="Arial"/>
          <w:color w:val="242424"/>
          <w:shd w:val="clear" w:color="auto" w:fill="FFFFFF"/>
        </w:rPr>
        <w:t>es el de</w:t>
      </w:r>
      <w:r w:rsidRPr="00F743E5">
        <w:rPr>
          <w:rFonts w:cs="Arial"/>
          <w:color w:val="242424"/>
          <w:shd w:val="clear" w:color="auto" w:fill="FFFFFF"/>
        </w:rPr>
        <w:t xml:space="preserve"> fomentar la participación comunitaria en las actividades de salud pública</w:t>
      </w:r>
      <w:r w:rsidRPr="00350286">
        <w:rPr>
          <w:rFonts w:cs="Arial"/>
          <w:color w:val="242424"/>
          <w:shd w:val="clear" w:color="auto" w:fill="FFFFFF"/>
        </w:rPr>
        <w:t>, ya que</w:t>
      </w:r>
      <w:r w:rsidRPr="00F743E5">
        <w:rPr>
          <w:rFonts w:cs="Arial"/>
          <w:color w:val="242424"/>
          <w:shd w:val="clear" w:color="auto" w:fill="FFFFFF"/>
        </w:rPr>
        <w:t xml:space="preserve"> </w:t>
      </w:r>
      <w:r w:rsidRPr="00350286">
        <w:rPr>
          <w:rFonts w:cs="Arial"/>
          <w:color w:val="242424"/>
          <w:shd w:val="clear" w:color="auto" w:fill="FFFFFF"/>
        </w:rPr>
        <w:t>i</w:t>
      </w:r>
      <w:r w:rsidRPr="00F743E5">
        <w:rPr>
          <w:rFonts w:cs="Arial"/>
          <w:color w:val="242424"/>
          <w:shd w:val="clear" w:color="auto" w:fill="FFFFFF"/>
        </w:rPr>
        <w:t>nvolucrar a la población en campañas de saneamiento básico, en la promoción de la salud mental y en la prevención de adicciones puede transformar la forma en que la comunidad se relaciona con su salud. De este modo, se construye una cultura colectiva de salud y bienestar, donde los ciudadanos tienen un papel activo en su propio cuidado.</w:t>
      </w:r>
    </w:p>
    <w:p w14:paraId="09CA51D0" w14:textId="77777777" w:rsidR="00163FF7" w:rsidRDefault="00163FF7" w:rsidP="00B205BA">
      <w:pPr>
        <w:spacing w:after="120" w:line="240" w:lineRule="auto"/>
        <w:rPr>
          <w:rFonts w:cs="Arial"/>
          <w:color w:val="242424"/>
          <w:shd w:val="clear" w:color="auto" w:fill="FFFFFF"/>
        </w:rPr>
      </w:pPr>
      <w:r w:rsidRPr="00F743E5">
        <w:rPr>
          <w:rFonts w:cs="Arial"/>
          <w:color w:val="242424"/>
          <w:shd w:val="clear" w:color="auto" w:fill="FFFFFF"/>
        </w:rPr>
        <w:t>A</w:t>
      </w:r>
      <w:r>
        <w:rPr>
          <w:rFonts w:cs="Arial"/>
          <w:color w:val="242424"/>
          <w:shd w:val="clear" w:color="auto" w:fill="FFFFFF"/>
        </w:rPr>
        <w:t xml:space="preserve"> través de </w:t>
      </w:r>
      <w:r w:rsidRPr="00F743E5">
        <w:rPr>
          <w:rFonts w:cs="Arial"/>
          <w:color w:val="242424"/>
          <w:shd w:val="clear" w:color="auto" w:fill="FFFFFF"/>
        </w:rPr>
        <w:t xml:space="preserve">programas específicos que garanticen </w:t>
      </w:r>
      <w:r>
        <w:rPr>
          <w:rFonts w:cs="Arial"/>
          <w:color w:val="242424"/>
          <w:shd w:val="clear" w:color="auto" w:fill="FFFFFF"/>
        </w:rPr>
        <w:t>el</w:t>
      </w:r>
      <w:r w:rsidRPr="00F743E5">
        <w:rPr>
          <w:rFonts w:cs="Arial"/>
          <w:color w:val="242424"/>
          <w:shd w:val="clear" w:color="auto" w:fill="FFFFFF"/>
        </w:rPr>
        <w:t xml:space="preserve"> acceso a servicios médicos, apoyo psicológico y programas de vacunación</w:t>
      </w:r>
      <w:r>
        <w:rPr>
          <w:rFonts w:cs="Arial"/>
          <w:color w:val="242424"/>
          <w:shd w:val="clear" w:color="auto" w:fill="FFFFFF"/>
        </w:rPr>
        <w:t xml:space="preserve">, los esfuerzos se focalizarán en </w:t>
      </w:r>
      <w:r w:rsidRPr="00F743E5">
        <w:rPr>
          <w:rFonts w:cs="Arial"/>
          <w:color w:val="242424"/>
          <w:shd w:val="clear" w:color="auto" w:fill="FFFFFF"/>
        </w:rPr>
        <w:t>la atención a grupos vulnerables</w:t>
      </w:r>
      <w:r>
        <w:rPr>
          <w:rFonts w:cs="Arial"/>
          <w:color w:val="242424"/>
          <w:shd w:val="clear" w:color="auto" w:fill="FFFFFF"/>
        </w:rPr>
        <w:t xml:space="preserve"> que </w:t>
      </w:r>
      <w:r w:rsidRPr="00F743E5">
        <w:rPr>
          <w:rFonts w:cs="Arial"/>
          <w:color w:val="242424"/>
          <w:shd w:val="clear" w:color="auto" w:fill="FFFFFF"/>
        </w:rPr>
        <w:t xml:space="preserve">requieren atención prioritaria, como niños, adultos mayores, personas con discapacidad y comunidades en situación de pobreza. </w:t>
      </w:r>
    </w:p>
    <w:p w14:paraId="31B14B11" w14:textId="77777777" w:rsidR="00163FF7" w:rsidRPr="00C56CF2" w:rsidRDefault="00163FF7" w:rsidP="00B205BA">
      <w:pPr>
        <w:spacing w:after="120" w:line="240" w:lineRule="auto"/>
        <w:rPr>
          <w:rFonts w:cs="Arial"/>
          <w:color w:val="242424"/>
          <w:shd w:val="clear" w:color="auto" w:fill="FFFFFF"/>
        </w:rPr>
      </w:pPr>
      <w:r>
        <w:rPr>
          <w:rFonts w:cs="Arial"/>
          <w:color w:val="242424"/>
          <w:shd w:val="clear" w:color="auto" w:fill="FFFFFF"/>
        </w:rPr>
        <w:t xml:space="preserve">Para </w:t>
      </w:r>
      <w:r w:rsidRPr="00F743E5">
        <w:rPr>
          <w:rFonts w:cs="Arial"/>
          <w:color w:val="242424"/>
          <w:shd w:val="clear" w:color="auto" w:fill="FFFFFF"/>
        </w:rPr>
        <w:t xml:space="preserve">promover una educación en salud integral y continua, </w:t>
      </w:r>
      <w:r>
        <w:rPr>
          <w:rFonts w:cs="Arial"/>
          <w:color w:val="242424"/>
          <w:shd w:val="clear" w:color="auto" w:fill="FFFFFF"/>
        </w:rPr>
        <w:t>la</w:t>
      </w:r>
      <w:r w:rsidRPr="00F743E5">
        <w:rPr>
          <w:rFonts w:cs="Arial"/>
          <w:color w:val="242424"/>
          <w:shd w:val="clear" w:color="auto" w:fill="FFFFFF"/>
        </w:rPr>
        <w:t xml:space="preserve"> Dirección </w:t>
      </w:r>
      <w:r>
        <w:rPr>
          <w:rFonts w:cs="Arial"/>
          <w:color w:val="242424"/>
          <w:shd w:val="clear" w:color="auto" w:fill="FFFFFF"/>
        </w:rPr>
        <w:t xml:space="preserve">de Salud </w:t>
      </w:r>
      <w:r w:rsidRPr="00F743E5">
        <w:rPr>
          <w:rFonts w:cs="Arial"/>
          <w:color w:val="242424"/>
          <w:shd w:val="clear" w:color="auto" w:fill="FFFFFF"/>
        </w:rPr>
        <w:t>brinda</w:t>
      </w:r>
      <w:r>
        <w:rPr>
          <w:rFonts w:cs="Arial"/>
          <w:color w:val="242424"/>
          <w:shd w:val="clear" w:color="auto" w:fill="FFFFFF"/>
        </w:rPr>
        <w:t>rá</w:t>
      </w:r>
      <w:r w:rsidRPr="00F743E5">
        <w:rPr>
          <w:rFonts w:cs="Arial"/>
          <w:color w:val="242424"/>
          <w:shd w:val="clear" w:color="auto" w:fill="FFFFFF"/>
        </w:rPr>
        <w:t xml:space="preserve"> a la población información relevante sobre cómo prevenir enfermedades, mantener hábitos </w:t>
      </w:r>
      <w:r w:rsidRPr="00F743E5">
        <w:rPr>
          <w:rFonts w:cs="Arial"/>
          <w:color w:val="242424"/>
          <w:shd w:val="clear" w:color="auto" w:fill="FFFFFF"/>
        </w:rPr>
        <w:lastRenderedPageBreak/>
        <w:t xml:space="preserve">saludables y cuidar su salud mental. Además, </w:t>
      </w:r>
      <w:r>
        <w:rPr>
          <w:rFonts w:cs="Arial"/>
          <w:color w:val="242424"/>
          <w:shd w:val="clear" w:color="auto" w:fill="FFFFFF"/>
        </w:rPr>
        <w:t xml:space="preserve">se </w:t>
      </w:r>
      <w:r w:rsidRPr="00F743E5">
        <w:rPr>
          <w:rFonts w:cs="Arial"/>
          <w:color w:val="242424"/>
          <w:shd w:val="clear" w:color="auto" w:fill="FFFFFF"/>
        </w:rPr>
        <w:t>capacitar</w:t>
      </w:r>
      <w:r>
        <w:rPr>
          <w:rFonts w:cs="Arial"/>
          <w:color w:val="242424"/>
          <w:shd w:val="clear" w:color="auto" w:fill="FFFFFF"/>
        </w:rPr>
        <w:t>á</w:t>
      </w:r>
      <w:r w:rsidRPr="00F743E5">
        <w:rPr>
          <w:rFonts w:cs="Arial"/>
          <w:color w:val="242424"/>
          <w:shd w:val="clear" w:color="auto" w:fill="FFFFFF"/>
        </w:rPr>
        <w:t xml:space="preserve"> al personal de salud municipal para mejorar la calidad de los servicios que se ofrecen.</w:t>
      </w:r>
    </w:p>
    <w:p w14:paraId="79998EFC" w14:textId="77777777" w:rsidR="00163FF7" w:rsidRPr="00F743E5" w:rsidRDefault="00163FF7" w:rsidP="00B205BA">
      <w:pPr>
        <w:spacing w:after="120" w:line="240" w:lineRule="auto"/>
        <w:rPr>
          <w:rFonts w:cs="Arial"/>
          <w:color w:val="242424"/>
          <w:shd w:val="clear" w:color="auto" w:fill="FFFFFF"/>
        </w:rPr>
      </w:pPr>
      <w:r w:rsidRPr="00F743E5">
        <w:rPr>
          <w:rFonts w:cs="Arial"/>
          <w:color w:val="242424"/>
          <w:shd w:val="clear" w:color="auto" w:fill="FFFFFF"/>
        </w:rPr>
        <w:t xml:space="preserve">El fortalecimiento del Sistema Municipal de Salud es una oportunidad clave para integrar todos los servicios médicos y preventivos bajo una misma estructura, alineándolos con las políticas nacionales y estatales </w:t>
      </w:r>
      <w:r>
        <w:rPr>
          <w:rFonts w:cs="Arial"/>
          <w:color w:val="242424"/>
          <w:shd w:val="clear" w:color="auto" w:fill="FFFFFF"/>
        </w:rPr>
        <w:t>en esta materia</w:t>
      </w:r>
      <w:r w:rsidRPr="00F743E5">
        <w:rPr>
          <w:rFonts w:cs="Arial"/>
          <w:color w:val="242424"/>
          <w:shd w:val="clear" w:color="auto" w:fill="FFFFFF"/>
        </w:rPr>
        <w:t xml:space="preserve">. </w:t>
      </w:r>
      <w:r>
        <w:rPr>
          <w:rFonts w:cs="Arial"/>
          <w:color w:val="242424"/>
          <w:shd w:val="clear" w:color="auto" w:fill="FFFFFF"/>
        </w:rPr>
        <w:t>Así</w:t>
      </w:r>
      <w:r w:rsidRPr="00F743E5">
        <w:rPr>
          <w:rFonts w:cs="Arial"/>
          <w:color w:val="242424"/>
          <w:shd w:val="clear" w:color="auto" w:fill="FFFFFF"/>
        </w:rPr>
        <w:t xml:space="preserve"> se asegurará una atención más organizada y accesible para todos los habitantes de Hermosillo.</w:t>
      </w:r>
    </w:p>
    <w:p w14:paraId="4B697529" w14:textId="5EF26054" w:rsidR="00163FF7" w:rsidRPr="00013F4A" w:rsidRDefault="00163FF7" w:rsidP="00B205BA">
      <w:pPr>
        <w:spacing w:after="120" w:line="240" w:lineRule="auto"/>
        <w:rPr>
          <w:rFonts w:cs="Arial"/>
          <w:color w:val="242424"/>
          <w:shd w:val="clear" w:color="auto" w:fill="FFFFFF"/>
        </w:rPr>
      </w:pPr>
      <w:r w:rsidRPr="00F743E5">
        <w:rPr>
          <w:rFonts w:cs="Arial"/>
          <w:color w:val="242424"/>
          <w:shd w:val="clear" w:color="auto" w:fill="FFFFFF"/>
        </w:rPr>
        <w:t>Al centrarse en mejorar el acceso y la calidad de los servicios de salud, prevenir enfermedades, fomentar la participación comunitaria y atender a los grupos vulnerables, la Dirección podrá transformar significativamente la salud pública en el municipio. Además, fortalecer el Sistema Municipal de Salud, establecer alianzas interinstitucionales y mejorar los mecanismos de control sanitario contribuirá a un modelo de salud integral y sostenible que beneficiará a toda la población.</w:t>
      </w:r>
    </w:p>
    <w:p w14:paraId="27C07911" w14:textId="1222E9C2" w:rsidR="00163FF7" w:rsidRDefault="00163FF7" w:rsidP="00B205BA">
      <w:pPr>
        <w:spacing w:after="120" w:line="240" w:lineRule="auto"/>
        <w:rPr>
          <w:rFonts w:cs="Arial"/>
          <w:b/>
          <w:bCs/>
        </w:rPr>
      </w:pPr>
      <w:r w:rsidRPr="00BB417A">
        <w:rPr>
          <w:rFonts w:cs="Arial"/>
          <w:b/>
          <w:bCs/>
        </w:rPr>
        <w:t xml:space="preserve">Arte y </w:t>
      </w:r>
      <w:r>
        <w:rPr>
          <w:rFonts w:cs="Arial"/>
          <w:b/>
          <w:bCs/>
        </w:rPr>
        <w:t>c</w:t>
      </w:r>
      <w:r w:rsidRPr="00BB417A">
        <w:rPr>
          <w:rFonts w:cs="Arial"/>
          <w:b/>
          <w:bCs/>
        </w:rPr>
        <w:t>ultura</w:t>
      </w:r>
      <w:r w:rsidR="00261A27">
        <w:rPr>
          <w:rFonts w:cs="Arial"/>
          <w:b/>
          <w:bCs/>
        </w:rPr>
        <w:t>.</w:t>
      </w:r>
    </w:p>
    <w:p w14:paraId="1DF14C7B" w14:textId="77777777" w:rsidR="00163FF7" w:rsidRDefault="00163FF7" w:rsidP="00B205BA">
      <w:pPr>
        <w:spacing w:after="120" w:line="240" w:lineRule="auto"/>
        <w:rPr>
          <w:rFonts w:cs="Arial"/>
          <w:color w:val="242424"/>
          <w:shd w:val="clear" w:color="auto" w:fill="FFFFFF"/>
        </w:rPr>
      </w:pPr>
      <w:r w:rsidRPr="00F51B4F">
        <w:rPr>
          <w:rFonts w:cs="Arial"/>
          <w:color w:val="242424"/>
          <w:shd w:val="clear" w:color="auto" w:fill="FFFFFF"/>
        </w:rPr>
        <w:t>Mediante programas alineados con el Plan Municipal de Desarrollo 2022-2024, se promovió el acceso a los servicios artísticos y culturales en Hermosillo, fomentando la creatividad y la identidad cultural en beneficio de toda la población.</w:t>
      </w:r>
      <w:r>
        <w:rPr>
          <w:rFonts w:cs="Arial"/>
          <w:color w:val="242424"/>
          <w:shd w:val="clear" w:color="auto" w:fill="FFFFFF"/>
        </w:rPr>
        <w:t xml:space="preserve"> Entre los programas y acciones más relevantes, están los siguientes:</w:t>
      </w:r>
    </w:p>
    <w:p w14:paraId="4D0FD337" w14:textId="77777777" w:rsidR="00163FF7" w:rsidRPr="00BB417A" w:rsidRDefault="00163FF7" w:rsidP="00B205BA">
      <w:pPr>
        <w:spacing w:after="120" w:line="240" w:lineRule="auto"/>
        <w:rPr>
          <w:rFonts w:cs="Arial"/>
        </w:rPr>
      </w:pPr>
      <w:r w:rsidRPr="00BB417A">
        <w:rPr>
          <w:rFonts w:cs="Arial"/>
        </w:rPr>
        <w:t>El programa BiblioRed</w:t>
      </w:r>
      <w:r>
        <w:rPr>
          <w:rFonts w:cs="Arial"/>
        </w:rPr>
        <w:t>, enfocado</w:t>
      </w:r>
      <w:r w:rsidRPr="00BB417A">
        <w:rPr>
          <w:rFonts w:cs="Arial"/>
        </w:rPr>
        <w:t xml:space="preserve"> en la reactivación de las bibliotecas municipales como centros culturales dinámicos, </w:t>
      </w:r>
      <w:r>
        <w:rPr>
          <w:rFonts w:cs="Arial"/>
        </w:rPr>
        <w:t>mediante la promoción de</w:t>
      </w:r>
      <w:r w:rsidRPr="00BB417A">
        <w:rPr>
          <w:rFonts w:cs="Arial"/>
        </w:rPr>
        <w:t xml:space="preserve"> la lectura, la escritura y el trabajo de autores sonorenses. </w:t>
      </w:r>
      <w:r>
        <w:rPr>
          <w:rFonts w:cs="Arial"/>
        </w:rPr>
        <w:t xml:space="preserve">Por su parte, el programa </w:t>
      </w:r>
      <w:r w:rsidRPr="00BB417A">
        <w:rPr>
          <w:rFonts w:cs="Arial"/>
        </w:rPr>
        <w:t>Pitic Creativo impulsó el emprendimiento cultural, ofreciendo capacitación a gestores y creadores para fortalecer el desarrollo cultural</w:t>
      </w:r>
      <w:r>
        <w:rPr>
          <w:rFonts w:cs="Arial"/>
        </w:rPr>
        <w:t>, mientras que</w:t>
      </w:r>
      <w:r w:rsidRPr="00BB417A">
        <w:rPr>
          <w:rFonts w:cs="Arial"/>
        </w:rPr>
        <w:t xml:space="preserve"> Parque al Arte utilizó espacios públicos para actividades artísticas y culturales, beneficiando a </w:t>
      </w:r>
      <w:r>
        <w:rPr>
          <w:rFonts w:cs="Arial"/>
        </w:rPr>
        <w:t>más de 16 000</w:t>
      </w:r>
      <w:r w:rsidRPr="00BB417A">
        <w:rPr>
          <w:rFonts w:cs="Arial"/>
        </w:rPr>
        <w:t xml:space="preserve"> personas en 109 colonias</w:t>
      </w:r>
      <w:r>
        <w:rPr>
          <w:rFonts w:cs="Arial"/>
        </w:rPr>
        <w:t>,</w:t>
      </w:r>
      <w:r w:rsidRPr="00BB417A">
        <w:rPr>
          <w:rFonts w:cs="Arial"/>
        </w:rPr>
        <w:t xml:space="preserve"> con </w:t>
      </w:r>
      <w:r>
        <w:rPr>
          <w:rFonts w:cs="Arial"/>
        </w:rPr>
        <w:t>más de 150</w:t>
      </w:r>
      <w:r w:rsidRPr="00BB417A">
        <w:rPr>
          <w:rFonts w:cs="Arial"/>
        </w:rPr>
        <w:t xml:space="preserve"> actividades y </w:t>
      </w:r>
      <w:r>
        <w:rPr>
          <w:rFonts w:cs="Arial"/>
        </w:rPr>
        <w:t>más de 500</w:t>
      </w:r>
      <w:r w:rsidRPr="00BB417A">
        <w:rPr>
          <w:rFonts w:cs="Arial"/>
        </w:rPr>
        <w:t xml:space="preserve"> artistas en escena.</w:t>
      </w:r>
    </w:p>
    <w:p w14:paraId="7326B839" w14:textId="77777777" w:rsidR="00163FF7" w:rsidRPr="00BB417A" w:rsidRDefault="00163FF7" w:rsidP="00B205BA">
      <w:pPr>
        <w:spacing w:after="120" w:line="240" w:lineRule="auto"/>
        <w:rPr>
          <w:rFonts w:cs="Arial"/>
        </w:rPr>
      </w:pPr>
      <w:r>
        <w:rPr>
          <w:rFonts w:cs="Arial"/>
        </w:rPr>
        <w:t xml:space="preserve">Otro destacado es el </w:t>
      </w:r>
      <w:r w:rsidRPr="00BB417A">
        <w:rPr>
          <w:rFonts w:cs="Arial"/>
        </w:rPr>
        <w:t>programa Cultura Incluyente</w:t>
      </w:r>
      <w:r>
        <w:rPr>
          <w:rFonts w:cs="Arial"/>
        </w:rPr>
        <w:t>, mediante el cual se</w:t>
      </w:r>
      <w:r w:rsidRPr="00BB417A">
        <w:rPr>
          <w:rFonts w:cs="Arial"/>
        </w:rPr>
        <w:t xml:space="preserve"> promovió la diversidad y el acceso equitativo a las expresiones artísticas, mientras que</w:t>
      </w:r>
      <w:r>
        <w:rPr>
          <w:rFonts w:cs="Arial"/>
        </w:rPr>
        <w:t xml:space="preserve"> el programa</w:t>
      </w:r>
      <w:r w:rsidRPr="00BB417A">
        <w:rPr>
          <w:rFonts w:cs="Arial"/>
        </w:rPr>
        <w:t xml:space="preserve"> Identidad + Patrimonio se centró en la preservación y difusión del patrimonio cultural de Hermosillo.</w:t>
      </w:r>
    </w:p>
    <w:p w14:paraId="2F765B58" w14:textId="77777777" w:rsidR="00163FF7" w:rsidRPr="00BB417A" w:rsidRDefault="00163FF7" w:rsidP="00B205BA">
      <w:pPr>
        <w:spacing w:after="120" w:line="240" w:lineRule="auto"/>
        <w:rPr>
          <w:rFonts w:cs="Arial"/>
        </w:rPr>
      </w:pPr>
      <w:r>
        <w:rPr>
          <w:rFonts w:cs="Arial"/>
        </w:rPr>
        <w:t>Desde luego, destacan las</w:t>
      </w:r>
      <w:r w:rsidRPr="00BB417A">
        <w:rPr>
          <w:rFonts w:cs="Arial"/>
        </w:rPr>
        <w:t xml:space="preserve"> Fiestas del Pitic, que, en </w:t>
      </w:r>
      <w:r>
        <w:rPr>
          <w:rFonts w:cs="Arial"/>
        </w:rPr>
        <w:t xml:space="preserve">sus </w:t>
      </w:r>
      <w:r w:rsidRPr="00BB417A">
        <w:rPr>
          <w:rFonts w:cs="Arial"/>
        </w:rPr>
        <w:t>tres ediciones</w:t>
      </w:r>
      <w:r>
        <w:rPr>
          <w:rFonts w:cs="Arial"/>
        </w:rPr>
        <w:t xml:space="preserve"> en el trienio</w:t>
      </w:r>
      <w:r w:rsidRPr="00BB417A">
        <w:rPr>
          <w:rFonts w:cs="Arial"/>
        </w:rPr>
        <w:t>, reunieron a más de 600</w:t>
      </w:r>
      <w:r>
        <w:rPr>
          <w:rFonts w:cs="Arial"/>
        </w:rPr>
        <w:t xml:space="preserve"> </w:t>
      </w:r>
      <w:r w:rsidRPr="00BB417A">
        <w:rPr>
          <w:rFonts w:cs="Arial"/>
        </w:rPr>
        <w:t>000 personas y a 3600 artistas</w:t>
      </w:r>
      <w:r>
        <w:rPr>
          <w:rFonts w:cs="Arial"/>
        </w:rPr>
        <w:t>, con lo que se</w:t>
      </w:r>
      <w:r w:rsidRPr="00BB417A">
        <w:rPr>
          <w:rFonts w:cs="Arial"/>
        </w:rPr>
        <w:t xml:space="preserve"> generó una derrama económica estimada en 148.8 millones de pesos, </w:t>
      </w:r>
      <w:r>
        <w:rPr>
          <w:rFonts w:cs="Arial"/>
        </w:rPr>
        <w:t xml:space="preserve">y se consolidaron </w:t>
      </w:r>
      <w:r w:rsidRPr="00BB417A">
        <w:rPr>
          <w:rFonts w:cs="Arial"/>
        </w:rPr>
        <w:t>como uno de los principales eventos culturales de la ciudad.</w:t>
      </w:r>
    </w:p>
    <w:p w14:paraId="6A9B0387" w14:textId="77777777" w:rsidR="00163FF7" w:rsidRDefault="00163FF7" w:rsidP="00B205BA">
      <w:pPr>
        <w:spacing w:after="120" w:line="240" w:lineRule="auto"/>
        <w:rPr>
          <w:rFonts w:cs="Arial"/>
        </w:rPr>
      </w:pPr>
      <w:r>
        <w:rPr>
          <w:rFonts w:cs="Arial"/>
        </w:rPr>
        <w:t>Aunado a lo anterior, se</w:t>
      </w:r>
      <w:r w:rsidRPr="00BB417A">
        <w:rPr>
          <w:rFonts w:cs="Arial"/>
        </w:rPr>
        <w:t xml:space="preserve"> planea expandir el programa Parque al Arte para llegar a más comunidades vulnerables, </w:t>
      </w:r>
      <w:r>
        <w:rPr>
          <w:rFonts w:cs="Arial"/>
        </w:rPr>
        <w:t xml:space="preserve">y </w:t>
      </w:r>
      <w:r w:rsidRPr="00BB417A">
        <w:rPr>
          <w:rFonts w:cs="Arial"/>
        </w:rPr>
        <w:t xml:space="preserve">fortalecer la Red de Bibliotecas Públicas con actividades inclusivas y digitales, </w:t>
      </w:r>
      <w:r>
        <w:rPr>
          <w:rFonts w:cs="Arial"/>
        </w:rPr>
        <w:t xml:space="preserve">además de </w:t>
      </w:r>
      <w:r w:rsidRPr="00BB417A">
        <w:rPr>
          <w:rFonts w:cs="Arial"/>
        </w:rPr>
        <w:t xml:space="preserve">activar el Centro Cultural Ágora como un espacio de desarrollo comunitario para jóvenes. </w:t>
      </w:r>
    </w:p>
    <w:p w14:paraId="57E33399" w14:textId="77777777" w:rsidR="00163FF7" w:rsidRPr="00BB417A" w:rsidRDefault="00163FF7" w:rsidP="00B205BA">
      <w:pPr>
        <w:spacing w:after="120" w:line="240" w:lineRule="auto"/>
        <w:rPr>
          <w:rFonts w:cs="Arial"/>
        </w:rPr>
      </w:pPr>
      <w:r>
        <w:rPr>
          <w:rFonts w:cs="Arial"/>
        </w:rPr>
        <w:t>También</w:t>
      </w:r>
      <w:r w:rsidRPr="00BB417A">
        <w:rPr>
          <w:rFonts w:cs="Arial"/>
        </w:rPr>
        <w:t xml:space="preserve"> se implementará el programa Lectura en Tránsito en lugares como el Aeropuerto de Hermosillo y el Hospital Cima, </w:t>
      </w:r>
      <w:r>
        <w:rPr>
          <w:rFonts w:cs="Arial"/>
        </w:rPr>
        <w:t>en promoción de</w:t>
      </w:r>
      <w:r w:rsidRPr="00BB417A">
        <w:rPr>
          <w:rFonts w:cs="Arial"/>
        </w:rPr>
        <w:t xml:space="preserve"> la lectura y la cultura local. También se llevará a cabo un proyecto para conservar los acervos históricos de exgobernadores y se sentarán las bases para un museo que preserve la memoria histórica del municipio.</w:t>
      </w:r>
    </w:p>
    <w:p w14:paraId="423F6174" w14:textId="77777777" w:rsidR="00163FF7" w:rsidRDefault="00163FF7" w:rsidP="00B205BA">
      <w:pPr>
        <w:spacing w:after="120" w:line="240" w:lineRule="auto"/>
        <w:rPr>
          <w:rFonts w:cs="Arial"/>
        </w:rPr>
      </w:pPr>
      <w:r w:rsidRPr="00BB417A">
        <w:rPr>
          <w:rFonts w:cs="Arial"/>
        </w:rPr>
        <w:t xml:space="preserve">El </w:t>
      </w:r>
      <w:r>
        <w:rPr>
          <w:rFonts w:cs="Arial"/>
        </w:rPr>
        <w:t xml:space="preserve">Ayuntamiento </w:t>
      </w:r>
      <w:r w:rsidRPr="00BB417A">
        <w:rPr>
          <w:rFonts w:cs="Arial"/>
        </w:rPr>
        <w:t>continúa desarrollando estrategias innovadoras para fomentar el acceso inclusivo a la cultura, fortalecer el tejido social y preservar el patrimonio cultural de Hermosillo, consolidándose como un actor clave en el desarrollo artístico y social de la ciudad.</w:t>
      </w:r>
    </w:p>
    <w:p w14:paraId="57A3FF0A" w14:textId="77777777" w:rsidR="00013F4A" w:rsidRPr="00BB417A" w:rsidRDefault="00013F4A" w:rsidP="00B205BA">
      <w:pPr>
        <w:spacing w:after="120" w:line="240" w:lineRule="auto"/>
        <w:rPr>
          <w:rFonts w:cs="Arial"/>
        </w:rPr>
      </w:pPr>
    </w:p>
    <w:p w14:paraId="148A760F" w14:textId="606E6A20" w:rsidR="00163FF7" w:rsidRDefault="00163FF7" w:rsidP="00B205BA">
      <w:pPr>
        <w:spacing w:after="120" w:line="240" w:lineRule="auto"/>
        <w:rPr>
          <w:rFonts w:cs="Arial"/>
          <w:b/>
          <w:bCs/>
          <w:color w:val="242424"/>
          <w:shd w:val="clear" w:color="auto" w:fill="FFFFFF"/>
        </w:rPr>
      </w:pPr>
      <w:r w:rsidRPr="00A60368">
        <w:rPr>
          <w:rFonts w:cs="Arial"/>
          <w:b/>
          <w:bCs/>
          <w:color w:val="242424"/>
          <w:shd w:val="clear" w:color="auto" w:fill="FFFFFF"/>
        </w:rPr>
        <w:lastRenderedPageBreak/>
        <w:t xml:space="preserve">Participación </w:t>
      </w:r>
      <w:r>
        <w:rPr>
          <w:rFonts w:cs="Arial"/>
          <w:b/>
          <w:bCs/>
          <w:color w:val="242424"/>
          <w:shd w:val="clear" w:color="auto" w:fill="FFFFFF"/>
        </w:rPr>
        <w:t>c</w:t>
      </w:r>
      <w:r w:rsidRPr="00A60368">
        <w:rPr>
          <w:rFonts w:cs="Arial"/>
          <w:b/>
          <w:bCs/>
          <w:color w:val="242424"/>
          <w:shd w:val="clear" w:color="auto" w:fill="FFFFFF"/>
        </w:rPr>
        <w:t>iudadana</w:t>
      </w:r>
      <w:r w:rsidR="00261A27">
        <w:rPr>
          <w:rFonts w:cs="Arial"/>
          <w:b/>
          <w:bCs/>
          <w:color w:val="242424"/>
          <w:shd w:val="clear" w:color="auto" w:fill="FFFFFF"/>
        </w:rPr>
        <w:t>.</w:t>
      </w:r>
    </w:p>
    <w:p w14:paraId="1EDFEBE7" w14:textId="77777777" w:rsidR="00163FF7" w:rsidRDefault="00163FF7" w:rsidP="00B205BA">
      <w:pPr>
        <w:spacing w:after="120" w:line="240" w:lineRule="auto"/>
        <w:rPr>
          <w:rFonts w:cs="Arial"/>
          <w:color w:val="242424"/>
          <w:shd w:val="clear" w:color="auto" w:fill="FFFFFF"/>
        </w:rPr>
      </w:pPr>
      <w:r w:rsidRPr="00A60368">
        <w:rPr>
          <w:rFonts w:cs="Arial"/>
          <w:color w:val="242424"/>
          <w:shd w:val="clear" w:color="auto" w:fill="FFFFFF"/>
        </w:rPr>
        <w:t xml:space="preserve">El Gobierno Municipal </w:t>
      </w:r>
      <w:r>
        <w:rPr>
          <w:rFonts w:cs="Arial"/>
          <w:color w:val="242424"/>
          <w:shd w:val="clear" w:color="auto" w:fill="FFFFFF"/>
        </w:rPr>
        <w:t xml:space="preserve">de Hermosillo </w:t>
      </w:r>
      <w:r w:rsidRPr="00A60368">
        <w:rPr>
          <w:rFonts w:cs="Arial"/>
          <w:color w:val="242424"/>
          <w:shd w:val="clear" w:color="auto" w:fill="FFFFFF"/>
        </w:rPr>
        <w:t xml:space="preserve">ha trabajado intensamente para fomentar una mayor participación ciudadana, </w:t>
      </w:r>
      <w:r>
        <w:rPr>
          <w:rFonts w:cs="Arial"/>
          <w:color w:val="242424"/>
          <w:shd w:val="clear" w:color="auto" w:fill="FFFFFF"/>
        </w:rPr>
        <w:t>basada</w:t>
      </w:r>
      <w:r w:rsidRPr="00A60368">
        <w:rPr>
          <w:rFonts w:cs="Arial"/>
          <w:color w:val="242424"/>
          <w:shd w:val="clear" w:color="auto" w:fill="FFFFFF"/>
        </w:rPr>
        <w:t xml:space="preserve"> en la cercanía, la comunicación y la escucha activa de los funcionarios públicos hacia la población. Entre las acciones implementadas </w:t>
      </w:r>
      <w:r>
        <w:rPr>
          <w:rFonts w:cs="Arial"/>
          <w:color w:val="242424"/>
          <w:shd w:val="clear" w:color="auto" w:fill="FFFFFF"/>
        </w:rPr>
        <w:t xml:space="preserve">en este marco, </w:t>
      </w:r>
      <w:r w:rsidRPr="00A60368">
        <w:rPr>
          <w:rFonts w:cs="Arial"/>
          <w:color w:val="242424"/>
          <w:shd w:val="clear" w:color="auto" w:fill="FFFFFF"/>
        </w:rPr>
        <w:t xml:space="preserve">destacan programas como Miércoles Ciudadano, la integración de los Comités CRECES (Corresponsabilidad </w:t>
      </w:r>
      <w:r>
        <w:rPr>
          <w:rFonts w:cs="Arial"/>
          <w:color w:val="242424"/>
          <w:shd w:val="clear" w:color="auto" w:fill="FFFFFF"/>
        </w:rPr>
        <w:t xml:space="preserve">Ciudadana </w:t>
      </w:r>
      <w:r w:rsidRPr="00A60368">
        <w:rPr>
          <w:rFonts w:cs="Arial"/>
          <w:color w:val="242424"/>
          <w:shd w:val="clear" w:color="auto" w:fill="FFFFFF"/>
        </w:rPr>
        <w:t>para la Equidad Social) y el Presupuesto Participativo.</w:t>
      </w:r>
    </w:p>
    <w:p w14:paraId="65A67898" w14:textId="77777777" w:rsidR="00163FF7" w:rsidRPr="000A0EF6" w:rsidRDefault="00163FF7" w:rsidP="00B205BA">
      <w:pPr>
        <w:spacing w:after="120" w:line="240" w:lineRule="auto"/>
        <w:rPr>
          <w:rFonts w:cs="Arial"/>
          <w:color w:val="242424"/>
          <w:shd w:val="clear" w:color="auto" w:fill="FFFFFF"/>
        </w:rPr>
      </w:pPr>
      <w:r w:rsidRPr="004B3B68">
        <w:rPr>
          <w:rFonts w:cs="Arial"/>
          <w:color w:val="242424"/>
          <w:shd w:val="clear" w:color="auto" w:fill="FFFFFF"/>
        </w:rPr>
        <w:t>C</w:t>
      </w:r>
      <w:r w:rsidRPr="000A0EF6">
        <w:rPr>
          <w:rFonts w:cs="Arial"/>
          <w:color w:val="242424"/>
          <w:shd w:val="clear" w:color="auto" w:fill="FFFFFF"/>
        </w:rPr>
        <w:t>reado por esta administración</w:t>
      </w:r>
      <w:r>
        <w:rPr>
          <w:rFonts w:cs="Arial"/>
          <w:color w:val="242424"/>
          <w:shd w:val="clear" w:color="auto" w:fill="FFFFFF"/>
        </w:rPr>
        <w:t>,</w:t>
      </w:r>
      <w:r w:rsidRPr="004B3B68">
        <w:rPr>
          <w:rFonts w:cs="Arial"/>
          <w:color w:val="242424"/>
          <w:shd w:val="clear" w:color="auto" w:fill="FFFFFF"/>
        </w:rPr>
        <w:t xml:space="preserve"> e</w:t>
      </w:r>
      <w:r w:rsidRPr="000A0EF6">
        <w:rPr>
          <w:rFonts w:cs="Arial"/>
          <w:color w:val="242424"/>
          <w:shd w:val="clear" w:color="auto" w:fill="FFFFFF"/>
        </w:rPr>
        <w:t>l programa Presupuesto CRECES, promueve la colaboración entre las dependencias municipales, los Comités CRECES y los ciudadanos de Hermosillo para identificar prioridades en sus comunidades y decidir en conjunto el destino de los recursos destinados a mejoras locales.</w:t>
      </w:r>
    </w:p>
    <w:p w14:paraId="3E6D413A" w14:textId="77777777" w:rsidR="00163FF7" w:rsidRDefault="00163FF7" w:rsidP="00B205BA">
      <w:pPr>
        <w:spacing w:after="120" w:line="240" w:lineRule="auto"/>
        <w:rPr>
          <w:rFonts w:cs="Arial"/>
          <w:color w:val="242424"/>
          <w:shd w:val="clear" w:color="auto" w:fill="FFFFFF"/>
        </w:rPr>
      </w:pPr>
      <w:r w:rsidRPr="004B3B68">
        <w:rPr>
          <w:rFonts w:cs="Arial"/>
          <w:color w:val="242424"/>
          <w:shd w:val="clear" w:color="auto" w:fill="FFFFFF"/>
        </w:rPr>
        <w:t>En 2022</w:t>
      </w:r>
      <w:r>
        <w:rPr>
          <w:rFonts w:cs="Arial"/>
          <w:color w:val="242424"/>
          <w:shd w:val="clear" w:color="auto" w:fill="FFFFFF"/>
        </w:rPr>
        <w:t>, participaron en este</w:t>
      </w:r>
      <w:r w:rsidRPr="004B3B68">
        <w:rPr>
          <w:rFonts w:cs="Arial"/>
          <w:color w:val="242424"/>
          <w:shd w:val="clear" w:color="auto" w:fill="FFFFFF"/>
        </w:rPr>
        <w:t xml:space="preserve"> programa </w:t>
      </w:r>
      <w:r>
        <w:rPr>
          <w:rFonts w:cs="Arial"/>
          <w:color w:val="242424"/>
          <w:shd w:val="clear" w:color="auto" w:fill="FFFFFF"/>
        </w:rPr>
        <w:t>más de 24 500</w:t>
      </w:r>
      <w:r w:rsidRPr="004B3B68">
        <w:rPr>
          <w:rFonts w:cs="Arial"/>
          <w:color w:val="242424"/>
          <w:shd w:val="clear" w:color="auto" w:fill="FFFFFF"/>
        </w:rPr>
        <w:t xml:space="preserve"> ciudadanos con 461 proyectos propuestos</w:t>
      </w:r>
      <w:r>
        <w:rPr>
          <w:rFonts w:cs="Arial"/>
          <w:color w:val="242424"/>
          <w:shd w:val="clear" w:color="auto" w:fill="FFFFFF"/>
        </w:rPr>
        <w:t>. S</w:t>
      </w:r>
      <w:r w:rsidRPr="004B3B68">
        <w:rPr>
          <w:rFonts w:cs="Arial"/>
          <w:color w:val="242424"/>
          <w:shd w:val="clear" w:color="auto" w:fill="FFFFFF"/>
        </w:rPr>
        <w:t>e destinaron 40 millones de pesos para financiar 66 iniciativas</w:t>
      </w:r>
      <w:r>
        <w:rPr>
          <w:rFonts w:cs="Arial"/>
          <w:color w:val="242424"/>
          <w:shd w:val="clear" w:color="auto" w:fill="FFFFFF"/>
        </w:rPr>
        <w:t xml:space="preserve"> ciudadanas</w:t>
      </w:r>
      <w:r w:rsidRPr="004B3B68">
        <w:rPr>
          <w:rFonts w:cs="Arial"/>
          <w:color w:val="242424"/>
          <w:shd w:val="clear" w:color="auto" w:fill="FFFFFF"/>
        </w:rPr>
        <w:t xml:space="preserve">, </w:t>
      </w:r>
      <w:r>
        <w:rPr>
          <w:rFonts w:cs="Arial"/>
          <w:color w:val="242424"/>
          <w:shd w:val="clear" w:color="auto" w:fill="FFFFFF"/>
        </w:rPr>
        <w:t>en beneficio de</w:t>
      </w:r>
      <w:r w:rsidRPr="004B3B68">
        <w:rPr>
          <w:rFonts w:cs="Arial"/>
          <w:color w:val="242424"/>
          <w:shd w:val="clear" w:color="auto" w:fill="FFFFFF"/>
        </w:rPr>
        <w:t xml:space="preserve"> cerca de 400 </w:t>
      </w:r>
      <w:r>
        <w:rPr>
          <w:rFonts w:cs="Arial"/>
          <w:color w:val="242424"/>
          <w:shd w:val="clear" w:color="auto" w:fill="FFFFFF"/>
        </w:rPr>
        <w:t>000</w:t>
      </w:r>
      <w:r w:rsidRPr="004B3B68">
        <w:rPr>
          <w:rFonts w:cs="Arial"/>
          <w:color w:val="242424"/>
          <w:shd w:val="clear" w:color="auto" w:fill="FFFFFF"/>
        </w:rPr>
        <w:t xml:space="preserve"> personas. En 2023, el presupuesto aumentó a 60 millones de pesos, </w:t>
      </w:r>
      <w:r>
        <w:rPr>
          <w:rFonts w:cs="Arial"/>
          <w:color w:val="242424"/>
          <w:shd w:val="clear" w:color="auto" w:fill="FFFFFF"/>
        </w:rPr>
        <w:t>lo que permitió la</w:t>
      </w:r>
      <w:r w:rsidRPr="004B3B68">
        <w:rPr>
          <w:rFonts w:cs="Arial"/>
          <w:color w:val="242424"/>
          <w:shd w:val="clear" w:color="auto" w:fill="FFFFFF"/>
        </w:rPr>
        <w:t xml:space="preserve"> recepción de 520 proyectos y la participación de </w:t>
      </w:r>
      <w:r>
        <w:rPr>
          <w:rFonts w:cs="Arial"/>
          <w:color w:val="242424"/>
          <w:shd w:val="clear" w:color="auto" w:fill="FFFFFF"/>
        </w:rPr>
        <w:t>casi 43 000 personas</w:t>
      </w:r>
      <w:r w:rsidRPr="004B3B68">
        <w:rPr>
          <w:rFonts w:cs="Arial"/>
          <w:color w:val="242424"/>
          <w:shd w:val="clear" w:color="auto" w:fill="FFFFFF"/>
        </w:rPr>
        <w:t>, lo que representó un incremento de 70</w:t>
      </w:r>
      <w:r>
        <w:rPr>
          <w:rFonts w:cs="Arial"/>
          <w:color w:val="242424"/>
          <w:shd w:val="clear" w:color="auto" w:fill="FFFFFF"/>
        </w:rPr>
        <w:t xml:space="preserve"> </w:t>
      </w:r>
      <w:r w:rsidRPr="004B3B68">
        <w:rPr>
          <w:rFonts w:cs="Arial"/>
          <w:color w:val="242424"/>
          <w:shd w:val="clear" w:color="auto" w:fill="FFFFFF"/>
        </w:rPr>
        <w:t>% en la participación</w:t>
      </w:r>
      <w:r>
        <w:rPr>
          <w:rFonts w:cs="Arial"/>
          <w:color w:val="242424"/>
          <w:shd w:val="clear" w:color="auto" w:fill="FFFFFF"/>
        </w:rPr>
        <w:t xml:space="preserve"> ciudadana</w:t>
      </w:r>
      <w:r w:rsidRPr="004B3B68">
        <w:rPr>
          <w:rFonts w:cs="Arial"/>
          <w:color w:val="242424"/>
          <w:shd w:val="clear" w:color="auto" w:fill="FFFFFF"/>
        </w:rPr>
        <w:t>. En la última edición, el presupuesto alcanzó los 80 millones de pesos, reafirmando el compromiso con el desarrollo comunitario y la participación activa de los hermosillenses.</w:t>
      </w:r>
    </w:p>
    <w:p w14:paraId="006C1807" w14:textId="77777777" w:rsidR="00163FF7" w:rsidRPr="004B3B68" w:rsidRDefault="00163FF7" w:rsidP="00B205BA">
      <w:pPr>
        <w:spacing w:after="120" w:line="240" w:lineRule="auto"/>
        <w:rPr>
          <w:rFonts w:cs="Arial"/>
          <w:color w:val="242424"/>
          <w:shd w:val="clear" w:color="auto" w:fill="FFFFFF"/>
        </w:rPr>
      </w:pPr>
      <w:r>
        <w:rPr>
          <w:rFonts w:cs="Arial"/>
          <w:color w:val="242424"/>
          <w:shd w:val="clear" w:color="auto" w:fill="FFFFFF"/>
        </w:rPr>
        <w:t xml:space="preserve">Estos logros </w:t>
      </w:r>
      <w:r w:rsidRPr="00A60368">
        <w:rPr>
          <w:rFonts w:cs="Arial"/>
          <w:color w:val="242424"/>
          <w:shd w:val="clear" w:color="auto" w:fill="FFFFFF"/>
        </w:rPr>
        <w:t>abre</w:t>
      </w:r>
      <w:r>
        <w:rPr>
          <w:rFonts w:cs="Arial"/>
          <w:color w:val="242424"/>
          <w:shd w:val="clear" w:color="auto" w:fill="FFFFFF"/>
        </w:rPr>
        <w:t>n</w:t>
      </w:r>
      <w:r w:rsidRPr="00A60368">
        <w:rPr>
          <w:rFonts w:cs="Arial"/>
          <w:color w:val="242424"/>
          <w:shd w:val="clear" w:color="auto" w:fill="FFFFFF"/>
        </w:rPr>
        <w:t xml:space="preserve"> nuevas oportunidades para fortalecer la confianza y promover un diálogo activo entre el gobierno municipal y los ciudadanos, consolidando un modelo de gobernanza más inclusivo y participativo.</w:t>
      </w:r>
    </w:p>
    <w:p w14:paraId="4DE282BC" w14:textId="04C54C8F" w:rsidR="00163FF7" w:rsidRDefault="00163FF7" w:rsidP="00B205BA">
      <w:pPr>
        <w:spacing w:after="120" w:line="240" w:lineRule="auto"/>
        <w:rPr>
          <w:rFonts w:cs="Arial"/>
          <w:b/>
          <w:bCs/>
        </w:rPr>
      </w:pPr>
      <w:r w:rsidRPr="00AC71B3">
        <w:rPr>
          <w:rFonts w:cs="Arial"/>
          <w:b/>
          <w:bCs/>
        </w:rPr>
        <w:t>Fondo de Aportaciones para la Infraestructura Social</w:t>
      </w:r>
      <w:r w:rsidR="001A07B5">
        <w:rPr>
          <w:rFonts w:cs="Arial"/>
          <w:b/>
          <w:bCs/>
        </w:rPr>
        <w:t>.</w:t>
      </w:r>
    </w:p>
    <w:p w14:paraId="05BE3700" w14:textId="77777777" w:rsidR="00163FF7" w:rsidRPr="00DE2E73" w:rsidRDefault="00163FF7" w:rsidP="00B205BA">
      <w:pPr>
        <w:spacing w:after="120" w:line="240" w:lineRule="auto"/>
        <w:rPr>
          <w:rFonts w:cs="Arial"/>
        </w:rPr>
      </w:pPr>
      <w:r w:rsidRPr="00DE2E73">
        <w:rPr>
          <w:rFonts w:cs="Arial"/>
        </w:rPr>
        <w:t>El Fondo de Aportaciones para la Infraestructura Social (FAIS) es un instrumento presupuestario clave para financiar obras y acciones sociales que beneficien a comunidades en pobreza extrema y con alto rezago social. Su objetivo es reducir la desigualdad mediante inversiones en infraestructura básica que promueva el desarrollo sostenible, la cohesión social y el bienestar comunitario, tanto en zonas urbanas como rurales prioritarias.</w:t>
      </w:r>
    </w:p>
    <w:p w14:paraId="6D50ABA0" w14:textId="77777777" w:rsidR="00163FF7" w:rsidRPr="00DE2E73" w:rsidRDefault="00163FF7" w:rsidP="00B205BA">
      <w:pPr>
        <w:spacing w:after="120" w:line="240" w:lineRule="auto"/>
        <w:rPr>
          <w:rFonts w:cs="Arial"/>
        </w:rPr>
      </w:pPr>
      <w:r w:rsidRPr="00DE2E73">
        <w:rPr>
          <w:rFonts w:cs="Arial"/>
        </w:rPr>
        <w:t xml:space="preserve">La planeación y ejecución de los proyectos financiados por el FAIS requieren la participación activa de las comunidades beneficiarias a través de comités sociales, garantizando la inclusión de mujeres, población indígena y afromexicana. </w:t>
      </w:r>
    </w:p>
    <w:p w14:paraId="4AD514E8" w14:textId="77777777" w:rsidR="00163FF7" w:rsidRPr="00DE2E73" w:rsidRDefault="00163FF7" w:rsidP="00B205BA">
      <w:pPr>
        <w:spacing w:after="120" w:line="240" w:lineRule="auto"/>
        <w:rPr>
          <w:rFonts w:cs="Arial"/>
        </w:rPr>
      </w:pPr>
      <w:r w:rsidRPr="00DE2E73">
        <w:rPr>
          <w:rFonts w:cs="Arial"/>
        </w:rPr>
        <w:t xml:space="preserve">Los recursos del fondo están destinados exclusivamente a obras y acciones enfocadas en atender carencias identificadas en el Informe Anual de Pobreza y Rezago Social. Estas inversiones </w:t>
      </w:r>
      <w:r>
        <w:rPr>
          <w:rFonts w:cs="Arial"/>
        </w:rPr>
        <w:t>priorizan</w:t>
      </w:r>
      <w:r w:rsidRPr="00DE2E73">
        <w:rPr>
          <w:rFonts w:cs="Arial"/>
        </w:rPr>
        <w:t xml:space="preserve"> la inclusión social, el respeto a los derechos humanos, la sostenibilidad ambiental y las necesidades específicas de las comunidades.</w:t>
      </w:r>
    </w:p>
    <w:p w14:paraId="568A889C" w14:textId="3EE77FDF" w:rsidR="002B7A8E" w:rsidRDefault="00163FF7" w:rsidP="00B205BA">
      <w:pPr>
        <w:spacing w:after="120" w:line="240" w:lineRule="auto"/>
        <w:rPr>
          <w:rFonts w:cs="Arial"/>
        </w:rPr>
      </w:pPr>
      <w:r w:rsidRPr="00DE2E73">
        <w:rPr>
          <w:rFonts w:cs="Arial"/>
        </w:rPr>
        <w:t>Los proyectos del FAIS se dividen en directos y complementarios. Los proyectos directos responden a necesidades inmediatas de infraestructura básica con impacto directo en la pobreza multidimensional</w:t>
      </w:r>
      <w:r>
        <w:rPr>
          <w:rFonts w:cs="Arial"/>
        </w:rPr>
        <w:t>. Los</w:t>
      </w:r>
      <w:r w:rsidRPr="00DE2E73">
        <w:rPr>
          <w:rFonts w:cs="Arial"/>
        </w:rPr>
        <w:t xml:space="preserve"> complementarios apoyan a los primeros con obras asociadas. </w:t>
      </w:r>
      <w:r>
        <w:rPr>
          <w:rFonts w:cs="Arial"/>
        </w:rPr>
        <w:t>Cabe destacar que t</w:t>
      </w:r>
      <w:r w:rsidRPr="00DE2E73">
        <w:rPr>
          <w:rFonts w:cs="Arial"/>
        </w:rPr>
        <w:t xml:space="preserve">odas las acciones </w:t>
      </w:r>
      <w:r>
        <w:rPr>
          <w:rFonts w:cs="Arial"/>
        </w:rPr>
        <w:t>deben alinearse</w:t>
      </w:r>
      <w:r w:rsidRPr="00DE2E73">
        <w:rPr>
          <w:rFonts w:cs="Arial"/>
        </w:rPr>
        <w:t xml:space="preserve"> con los planes de desarrollo estatal o municipal. </w:t>
      </w:r>
    </w:p>
    <w:tbl>
      <w:tblPr>
        <w:tblStyle w:val="Tablaconcuadrcula"/>
        <w:tblW w:w="8723" w:type="dxa"/>
        <w:jc w:val="center"/>
        <w:tblLook w:val="04A0" w:firstRow="1" w:lastRow="0" w:firstColumn="1" w:lastColumn="0" w:noHBand="0" w:noVBand="1"/>
      </w:tblPr>
      <w:tblGrid>
        <w:gridCol w:w="920"/>
        <w:gridCol w:w="1871"/>
        <w:gridCol w:w="1731"/>
        <w:gridCol w:w="1843"/>
        <w:gridCol w:w="2358"/>
      </w:tblGrid>
      <w:tr w:rsidR="00163FF7" w14:paraId="22F2E540" w14:textId="77777777" w:rsidTr="000635AB">
        <w:trPr>
          <w:trHeight w:val="194"/>
          <w:jc w:val="center"/>
        </w:trPr>
        <w:tc>
          <w:tcPr>
            <w:tcW w:w="8723" w:type="dxa"/>
            <w:gridSpan w:val="5"/>
            <w:shd w:val="clear" w:color="auto" w:fill="ED7D31" w:themeFill="accent2"/>
            <w:vAlign w:val="center"/>
          </w:tcPr>
          <w:p w14:paraId="55C5DE6D" w14:textId="6C80F694" w:rsidR="00163FF7" w:rsidRPr="00656B14" w:rsidRDefault="00163FF7" w:rsidP="00B205BA">
            <w:pPr>
              <w:spacing w:after="120" w:line="240" w:lineRule="auto"/>
              <w:jc w:val="center"/>
              <w:rPr>
                <w:rFonts w:cs="Arial"/>
                <w:b/>
                <w:bCs/>
              </w:rPr>
            </w:pPr>
            <w:r>
              <w:rPr>
                <w:rFonts w:cs="Arial"/>
                <w:b/>
                <w:bCs/>
                <w:color w:val="FFFFFF" w:themeColor="background1"/>
                <w:sz w:val="20"/>
                <w:szCs w:val="20"/>
              </w:rPr>
              <w:t xml:space="preserve">TABLA 1. </w:t>
            </w:r>
            <w:r w:rsidRPr="00656B14">
              <w:rPr>
                <w:rFonts w:cs="Arial"/>
                <w:b/>
                <w:bCs/>
                <w:color w:val="FFFFFF" w:themeColor="background1"/>
                <w:sz w:val="20"/>
                <w:szCs w:val="20"/>
              </w:rPr>
              <w:t>PROYECTOS POR TIPO DE INCIDENCIA SEGÚN AÑO</w:t>
            </w:r>
            <w:r w:rsidR="0086730D">
              <w:rPr>
                <w:rFonts w:cs="Arial"/>
                <w:b/>
                <w:bCs/>
                <w:color w:val="FFFFFF" w:themeColor="background1"/>
                <w:sz w:val="20"/>
                <w:szCs w:val="20"/>
              </w:rPr>
              <w:t>.</w:t>
            </w:r>
          </w:p>
        </w:tc>
      </w:tr>
      <w:tr w:rsidR="00163FF7" w14:paraId="3B52F2F4" w14:textId="77777777" w:rsidTr="000635AB">
        <w:trPr>
          <w:trHeight w:val="194"/>
          <w:jc w:val="center"/>
        </w:trPr>
        <w:tc>
          <w:tcPr>
            <w:tcW w:w="920" w:type="dxa"/>
            <w:vMerge w:val="restart"/>
            <w:vAlign w:val="center"/>
          </w:tcPr>
          <w:p w14:paraId="5B518012" w14:textId="77777777" w:rsidR="00163FF7" w:rsidRPr="00F304B3" w:rsidRDefault="00163FF7" w:rsidP="00B205BA">
            <w:pPr>
              <w:spacing w:after="120" w:line="240" w:lineRule="auto"/>
              <w:jc w:val="center"/>
              <w:rPr>
                <w:rFonts w:cs="Arial"/>
                <w:b/>
                <w:bCs/>
                <w:sz w:val="18"/>
                <w:szCs w:val="18"/>
              </w:rPr>
            </w:pPr>
            <w:r w:rsidRPr="00F304B3">
              <w:rPr>
                <w:rFonts w:cs="Arial"/>
                <w:b/>
                <w:bCs/>
                <w:sz w:val="18"/>
                <w:szCs w:val="18"/>
              </w:rPr>
              <w:t>Año</w:t>
            </w:r>
          </w:p>
        </w:tc>
        <w:tc>
          <w:tcPr>
            <w:tcW w:w="1871" w:type="dxa"/>
            <w:vMerge w:val="restart"/>
            <w:vAlign w:val="center"/>
          </w:tcPr>
          <w:p w14:paraId="60AB18BD" w14:textId="77777777" w:rsidR="00163FF7" w:rsidRPr="00F304B3" w:rsidRDefault="00163FF7" w:rsidP="00B205BA">
            <w:pPr>
              <w:spacing w:after="120" w:line="240" w:lineRule="auto"/>
              <w:jc w:val="center"/>
              <w:rPr>
                <w:rFonts w:cs="Arial"/>
                <w:b/>
                <w:bCs/>
                <w:sz w:val="18"/>
                <w:szCs w:val="18"/>
              </w:rPr>
            </w:pPr>
            <w:r w:rsidRPr="00F304B3">
              <w:rPr>
                <w:rFonts w:cs="Arial"/>
                <w:b/>
                <w:bCs/>
                <w:sz w:val="18"/>
                <w:szCs w:val="18"/>
              </w:rPr>
              <w:t>Total Proyectos</w:t>
            </w:r>
          </w:p>
        </w:tc>
        <w:tc>
          <w:tcPr>
            <w:tcW w:w="3574" w:type="dxa"/>
            <w:gridSpan w:val="2"/>
            <w:shd w:val="clear" w:color="auto" w:fill="7F7F7F" w:themeFill="text1" w:themeFillTint="80"/>
            <w:vAlign w:val="center"/>
          </w:tcPr>
          <w:p w14:paraId="1EE10193" w14:textId="77777777" w:rsidR="00163FF7" w:rsidRPr="00674BF3" w:rsidRDefault="00163FF7" w:rsidP="00B205BA">
            <w:pPr>
              <w:spacing w:after="120" w:line="240" w:lineRule="auto"/>
              <w:jc w:val="center"/>
              <w:rPr>
                <w:rFonts w:cs="Arial"/>
                <w:b/>
                <w:bCs/>
                <w:color w:val="FFFFFF" w:themeColor="background1"/>
                <w:sz w:val="18"/>
                <w:szCs w:val="18"/>
              </w:rPr>
            </w:pPr>
            <w:r w:rsidRPr="00674BF3">
              <w:rPr>
                <w:rFonts w:cs="Arial"/>
                <w:b/>
                <w:bCs/>
                <w:color w:val="FFFFFF" w:themeColor="background1"/>
                <w:sz w:val="18"/>
                <w:szCs w:val="18"/>
              </w:rPr>
              <w:t>Tipo de incidencia</w:t>
            </w:r>
          </w:p>
        </w:tc>
        <w:tc>
          <w:tcPr>
            <w:tcW w:w="2358" w:type="dxa"/>
            <w:vMerge w:val="restart"/>
            <w:vAlign w:val="center"/>
          </w:tcPr>
          <w:p w14:paraId="390621FF" w14:textId="77777777" w:rsidR="00163FF7" w:rsidRPr="00F304B3" w:rsidRDefault="00163FF7" w:rsidP="00B205BA">
            <w:pPr>
              <w:spacing w:after="120" w:line="240" w:lineRule="auto"/>
              <w:jc w:val="center"/>
              <w:rPr>
                <w:rFonts w:cs="Arial"/>
                <w:b/>
                <w:bCs/>
                <w:sz w:val="18"/>
                <w:szCs w:val="18"/>
              </w:rPr>
            </w:pPr>
            <w:r w:rsidRPr="00F304B3">
              <w:rPr>
                <w:rFonts w:cs="Arial"/>
                <w:b/>
                <w:bCs/>
                <w:sz w:val="18"/>
                <w:szCs w:val="18"/>
              </w:rPr>
              <w:t>Monto (Mdp)</w:t>
            </w:r>
            <w:r>
              <w:rPr>
                <w:rFonts w:cs="Arial"/>
                <w:b/>
                <w:bCs/>
                <w:sz w:val="18"/>
                <w:szCs w:val="18"/>
              </w:rPr>
              <w:t>*</w:t>
            </w:r>
          </w:p>
        </w:tc>
      </w:tr>
      <w:tr w:rsidR="00163FF7" w14:paraId="7ADF12AE" w14:textId="77777777" w:rsidTr="000635AB">
        <w:trPr>
          <w:trHeight w:val="194"/>
          <w:jc w:val="center"/>
        </w:trPr>
        <w:tc>
          <w:tcPr>
            <w:tcW w:w="920" w:type="dxa"/>
            <w:vMerge/>
            <w:vAlign w:val="center"/>
          </w:tcPr>
          <w:p w14:paraId="783F40C5" w14:textId="77777777" w:rsidR="00163FF7" w:rsidRPr="00F304B3" w:rsidRDefault="00163FF7" w:rsidP="00B205BA">
            <w:pPr>
              <w:spacing w:after="120" w:line="240" w:lineRule="auto"/>
              <w:jc w:val="center"/>
              <w:rPr>
                <w:rFonts w:cs="Arial"/>
                <w:b/>
                <w:bCs/>
                <w:sz w:val="18"/>
                <w:szCs w:val="18"/>
              </w:rPr>
            </w:pPr>
          </w:p>
        </w:tc>
        <w:tc>
          <w:tcPr>
            <w:tcW w:w="1871" w:type="dxa"/>
            <w:vMerge/>
            <w:vAlign w:val="center"/>
          </w:tcPr>
          <w:p w14:paraId="2DA4C65F" w14:textId="77777777" w:rsidR="00163FF7" w:rsidRPr="00F304B3" w:rsidRDefault="00163FF7" w:rsidP="00B205BA">
            <w:pPr>
              <w:spacing w:after="120" w:line="240" w:lineRule="auto"/>
              <w:jc w:val="center"/>
              <w:rPr>
                <w:rFonts w:cs="Arial"/>
                <w:b/>
                <w:bCs/>
                <w:sz w:val="18"/>
                <w:szCs w:val="18"/>
              </w:rPr>
            </w:pPr>
          </w:p>
        </w:tc>
        <w:tc>
          <w:tcPr>
            <w:tcW w:w="1731" w:type="dxa"/>
            <w:vAlign w:val="center"/>
          </w:tcPr>
          <w:p w14:paraId="255AE748" w14:textId="77777777" w:rsidR="00163FF7" w:rsidRPr="00F304B3" w:rsidRDefault="00163FF7" w:rsidP="00B205BA">
            <w:pPr>
              <w:spacing w:after="120" w:line="240" w:lineRule="auto"/>
              <w:jc w:val="center"/>
              <w:rPr>
                <w:rFonts w:cs="Arial"/>
                <w:b/>
                <w:bCs/>
                <w:sz w:val="18"/>
                <w:szCs w:val="18"/>
              </w:rPr>
            </w:pPr>
            <w:r w:rsidRPr="00F304B3">
              <w:rPr>
                <w:rFonts w:cs="Arial"/>
                <w:b/>
                <w:bCs/>
                <w:sz w:val="18"/>
                <w:szCs w:val="18"/>
              </w:rPr>
              <w:t>Direct</w:t>
            </w:r>
            <w:r>
              <w:rPr>
                <w:rFonts w:cs="Arial"/>
                <w:b/>
                <w:bCs/>
                <w:sz w:val="18"/>
                <w:szCs w:val="18"/>
              </w:rPr>
              <w:t>a</w:t>
            </w:r>
          </w:p>
        </w:tc>
        <w:tc>
          <w:tcPr>
            <w:tcW w:w="1843" w:type="dxa"/>
            <w:vAlign w:val="center"/>
          </w:tcPr>
          <w:p w14:paraId="2B67748C" w14:textId="77777777" w:rsidR="00163FF7" w:rsidRPr="00F304B3" w:rsidRDefault="00163FF7" w:rsidP="00B205BA">
            <w:pPr>
              <w:spacing w:after="120" w:line="240" w:lineRule="auto"/>
              <w:jc w:val="center"/>
              <w:rPr>
                <w:rFonts w:cs="Arial"/>
                <w:b/>
                <w:bCs/>
                <w:sz w:val="18"/>
                <w:szCs w:val="18"/>
              </w:rPr>
            </w:pPr>
            <w:r w:rsidRPr="00F304B3">
              <w:rPr>
                <w:rFonts w:cs="Arial"/>
                <w:b/>
                <w:bCs/>
                <w:sz w:val="18"/>
                <w:szCs w:val="18"/>
              </w:rPr>
              <w:t>Complementari</w:t>
            </w:r>
            <w:r>
              <w:rPr>
                <w:rFonts w:cs="Arial"/>
                <w:b/>
                <w:bCs/>
                <w:sz w:val="18"/>
                <w:szCs w:val="18"/>
              </w:rPr>
              <w:t>a</w:t>
            </w:r>
          </w:p>
        </w:tc>
        <w:tc>
          <w:tcPr>
            <w:tcW w:w="2358" w:type="dxa"/>
            <w:vMerge/>
            <w:vAlign w:val="center"/>
          </w:tcPr>
          <w:p w14:paraId="3AEEEBF6" w14:textId="77777777" w:rsidR="00163FF7" w:rsidRPr="00F304B3" w:rsidRDefault="00163FF7" w:rsidP="00B205BA">
            <w:pPr>
              <w:spacing w:after="120" w:line="240" w:lineRule="auto"/>
              <w:jc w:val="center"/>
              <w:rPr>
                <w:rFonts w:cs="Arial"/>
                <w:b/>
                <w:bCs/>
                <w:sz w:val="18"/>
                <w:szCs w:val="18"/>
              </w:rPr>
            </w:pPr>
          </w:p>
        </w:tc>
      </w:tr>
      <w:tr w:rsidR="00163FF7" w14:paraId="2101D388" w14:textId="77777777" w:rsidTr="000635AB">
        <w:trPr>
          <w:trHeight w:val="267"/>
          <w:jc w:val="center"/>
        </w:trPr>
        <w:tc>
          <w:tcPr>
            <w:tcW w:w="920" w:type="dxa"/>
            <w:shd w:val="clear" w:color="auto" w:fill="F2F2F2" w:themeFill="background1" w:themeFillShade="F2"/>
            <w:vAlign w:val="center"/>
          </w:tcPr>
          <w:p w14:paraId="5ADCA701" w14:textId="77777777" w:rsidR="00163FF7" w:rsidRPr="00F304B3" w:rsidRDefault="00163FF7" w:rsidP="00B205BA">
            <w:pPr>
              <w:spacing w:after="120" w:line="240" w:lineRule="auto"/>
              <w:jc w:val="center"/>
              <w:rPr>
                <w:rFonts w:cs="Arial"/>
                <w:sz w:val="18"/>
                <w:szCs w:val="18"/>
              </w:rPr>
            </w:pPr>
            <w:r w:rsidRPr="00F304B3">
              <w:rPr>
                <w:rFonts w:cs="Arial"/>
                <w:sz w:val="18"/>
                <w:szCs w:val="18"/>
              </w:rPr>
              <w:t>2021</w:t>
            </w:r>
          </w:p>
        </w:tc>
        <w:tc>
          <w:tcPr>
            <w:tcW w:w="1871" w:type="dxa"/>
            <w:vAlign w:val="center"/>
          </w:tcPr>
          <w:p w14:paraId="5DFFACB3" w14:textId="77777777" w:rsidR="00163FF7" w:rsidRPr="00F304B3" w:rsidRDefault="00163FF7" w:rsidP="00B205BA">
            <w:pPr>
              <w:spacing w:after="120" w:line="240" w:lineRule="auto"/>
              <w:jc w:val="center"/>
              <w:rPr>
                <w:rFonts w:cs="Arial"/>
                <w:sz w:val="18"/>
                <w:szCs w:val="18"/>
              </w:rPr>
            </w:pPr>
            <w:r w:rsidRPr="00F304B3">
              <w:rPr>
                <w:rFonts w:cs="Arial"/>
                <w:sz w:val="18"/>
                <w:szCs w:val="18"/>
              </w:rPr>
              <w:t>29</w:t>
            </w:r>
          </w:p>
        </w:tc>
        <w:tc>
          <w:tcPr>
            <w:tcW w:w="1731" w:type="dxa"/>
            <w:vAlign w:val="center"/>
          </w:tcPr>
          <w:p w14:paraId="349138FA" w14:textId="77777777" w:rsidR="00163FF7" w:rsidRPr="00F304B3" w:rsidRDefault="00163FF7" w:rsidP="00B205BA">
            <w:pPr>
              <w:spacing w:after="120" w:line="240" w:lineRule="auto"/>
              <w:jc w:val="center"/>
              <w:rPr>
                <w:rFonts w:cs="Arial"/>
                <w:color w:val="000000"/>
                <w:sz w:val="18"/>
                <w:szCs w:val="18"/>
              </w:rPr>
            </w:pPr>
            <w:r>
              <w:rPr>
                <w:rFonts w:cs="Arial"/>
                <w:color w:val="000000"/>
                <w:sz w:val="18"/>
                <w:szCs w:val="18"/>
              </w:rPr>
              <w:t>17</w:t>
            </w:r>
          </w:p>
        </w:tc>
        <w:tc>
          <w:tcPr>
            <w:tcW w:w="1843" w:type="dxa"/>
            <w:vAlign w:val="center"/>
          </w:tcPr>
          <w:p w14:paraId="4243A284" w14:textId="77777777" w:rsidR="00163FF7" w:rsidRPr="00F304B3" w:rsidRDefault="00163FF7" w:rsidP="00B205BA">
            <w:pPr>
              <w:spacing w:after="120" w:line="240" w:lineRule="auto"/>
              <w:jc w:val="center"/>
              <w:rPr>
                <w:rFonts w:cs="Arial"/>
                <w:color w:val="000000"/>
                <w:sz w:val="18"/>
                <w:szCs w:val="18"/>
              </w:rPr>
            </w:pPr>
            <w:r>
              <w:rPr>
                <w:rFonts w:cs="Arial"/>
                <w:color w:val="000000"/>
                <w:sz w:val="18"/>
                <w:szCs w:val="18"/>
              </w:rPr>
              <w:t>12</w:t>
            </w:r>
          </w:p>
        </w:tc>
        <w:tc>
          <w:tcPr>
            <w:tcW w:w="2358" w:type="dxa"/>
            <w:vAlign w:val="center"/>
          </w:tcPr>
          <w:p w14:paraId="37BE77AC" w14:textId="77777777" w:rsidR="00163FF7" w:rsidRPr="00F304B3" w:rsidRDefault="00163FF7" w:rsidP="00B205BA">
            <w:pPr>
              <w:spacing w:after="120" w:line="240" w:lineRule="auto"/>
              <w:jc w:val="center"/>
              <w:rPr>
                <w:rFonts w:cs="Arial"/>
                <w:sz w:val="18"/>
                <w:szCs w:val="18"/>
              </w:rPr>
            </w:pPr>
            <w:r w:rsidRPr="00F304B3">
              <w:rPr>
                <w:rFonts w:cs="Arial"/>
                <w:color w:val="000000"/>
                <w:sz w:val="18"/>
                <w:szCs w:val="18"/>
              </w:rPr>
              <w:t>75,535,717.03</w:t>
            </w:r>
          </w:p>
        </w:tc>
      </w:tr>
      <w:tr w:rsidR="00163FF7" w14:paraId="7CE5D36F" w14:textId="77777777" w:rsidTr="000635AB">
        <w:trPr>
          <w:trHeight w:val="352"/>
          <w:jc w:val="center"/>
        </w:trPr>
        <w:tc>
          <w:tcPr>
            <w:tcW w:w="920" w:type="dxa"/>
            <w:shd w:val="clear" w:color="auto" w:fill="F2F2F2" w:themeFill="background1" w:themeFillShade="F2"/>
            <w:vAlign w:val="center"/>
          </w:tcPr>
          <w:p w14:paraId="5E1CDE46" w14:textId="77777777" w:rsidR="00163FF7" w:rsidRPr="00F304B3" w:rsidRDefault="00163FF7" w:rsidP="00B205BA">
            <w:pPr>
              <w:spacing w:after="120" w:line="240" w:lineRule="auto"/>
              <w:jc w:val="center"/>
              <w:rPr>
                <w:rFonts w:cs="Arial"/>
                <w:sz w:val="18"/>
                <w:szCs w:val="18"/>
              </w:rPr>
            </w:pPr>
            <w:r w:rsidRPr="00F304B3">
              <w:rPr>
                <w:rFonts w:cs="Arial"/>
                <w:sz w:val="18"/>
                <w:szCs w:val="18"/>
              </w:rPr>
              <w:t>2022</w:t>
            </w:r>
          </w:p>
        </w:tc>
        <w:tc>
          <w:tcPr>
            <w:tcW w:w="1871" w:type="dxa"/>
            <w:vAlign w:val="center"/>
          </w:tcPr>
          <w:p w14:paraId="1488036A" w14:textId="77777777" w:rsidR="00163FF7" w:rsidRPr="00F304B3" w:rsidRDefault="00163FF7" w:rsidP="00B205BA">
            <w:pPr>
              <w:spacing w:after="120" w:line="240" w:lineRule="auto"/>
              <w:jc w:val="center"/>
              <w:rPr>
                <w:rFonts w:cs="Arial"/>
                <w:sz w:val="18"/>
                <w:szCs w:val="18"/>
              </w:rPr>
            </w:pPr>
            <w:r w:rsidRPr="00F304B3">
              <w:rPr>
                <w:rFonts w:cs="Arial"/>
                <w:sz w:val="18"/>
                <w:szCs w:val="18"/>
              </w:rPr>
              <w:t>134</w:t>
            </w:r>
          </w:p>
        </w:tc>
        <w:tc>
          <w:tcPr>
            <w:tcW w:w="1731" w:type="dxa"/>
            <w:vAlign w:val="center"/>
          </w:tcPr>
          <w:p w14:paraId="40F7C722" w14:textId="77777777" w:rsidR="00163FF7" w:rsidRPr="00F304B3" w:rsidRDefault="00163FF7" w:rsidP="00B205BA">
            <w:pPr>
              <w:spacing w:after="120" w:line="240" w:lineRule="auto"/>
              <w:jc w:val="center"/>
              <w:rPr>
                <w:rFonts w:cs="Arial"/>
                <w:color w:val="000000"/>
                <w:sz w:val="18"/>
                <w:szCs w:val="18"/>
              </w:rPr>
            </w:pPr>
            <w:r>
              <w:rPr>
                <w:rFonts w:cs="Arial"/>
                <w:color w:val="000000"/>
                <w:sz w:val="18"/>
                <w:szCs w:val="18"/>
              </w:rPr>
              <w:t>119</w:t>
            </w:r>
          </w:p>
        </w:tc>
        <w:tc>
          <w:tcPr>
            <w:tcW w:w="1843" w:type="dxa"/>
            <w:vAlign w:val="center"/>
          </w:tcPr>
          <w:p w14:paraId="7C9F4415" w14:textId="77777777" w:rsidR="00163FF7" w:rsidRPr="00F304B3" w:rsidRDefault="00163FF7" w:rsidP="00B205BA">
            <w:pPr>
              <w:spacing w:after="120" w:line="240" w:lineRule="auto"/>
              <w:jc w:val="center"/>
              <w:rPr>
                <w:rFonts w:cs="Arial"/>
                <w:color w:val="000000"/>
                <w:sz w:val="18"/>
                <w:szCs w:val="18"/>
              </w:rPr>
            </w:pPr>
            <w:r>
              <w:rPr>
                <w:rFonts w:cs="Arial"/>
                <w:color w:val="000000"/>
                <w:sz w:val="18"/>
                <w:szCs w:val="18"/>
              </w:rPr>
              <w:t>15</w:t>
            </w:r>
          </w:p>
        </w:tc>
        <w:tc>
          <w:tcPr>
            <w:tcW w:w="2358" w:type="dxa"/>
            <w:vAlign w:val="center"/>
          </w:tcPr>
          <w:p w14:paraId="0503C694" w14:textId="77777777" w:rsidR="00163FF7" w:rsidRPr="00F304B3" w:rsidRDefault="00163FF7" w:rsidP="00B205BA">
            <w:pPr>
              <w:spacing w:after="120" w:line="240" w:lineRule="auto"/>
              <w:jc w:val="center"/>
              <w:rPr>
                <w:rFonts w:cs="Arial"/>
                <w:sz w:val="18"/>
                <w:szCs w:val="18"/>
              </w:rPr>
            </w:pPr>
            <w:r w:rsidRPr="00F304B3">
              <w:rPr>
                <w:rFonts w:cs="Arial"/>
                <w:color w:val="000000"/>
                <w:sz w:val="18"/>
                <w:szCs w:val="18"/>
              </w:rPr>
              <w:t>71,481,381.79</w:t>
            </w:r>
          </w:p>
        </w:tc>
      </w:tr>
      <w:tr w:rsidR="00163FF7" w14:paraId="23A85CB1" w14:textId="77777777" w:rsidTr="000635AB">
        <w:trPr>
          <w:trHeight w:val="379"/>
          <w:jc w:val="center"/>
        </w:trPr>
        <w:tc>
          <w:tcPr>
            <w:tcW w:w="920" w:type="dxa"/>
            <w:shd w:val="clear" w:color="auto" w:fill="F2F2F2" w:themeFill="background1" w:themeFillShade="F2"/>
            <w:vAlign w:val="center"/>
          </w:tcPr>
          <w:p w14:paraId="17ED47F5" w14:textId="77777777" w:rsidR="00163FF7" w:rsidRPr="00F304B3" w:rsidRDefault="00163FF7" w:rsidP="00B205BA">
            <w:pPr>
              <w:spacing w:after="120" w:line="240" w:lineRule="auto"/>
              <w:jc w:val="center"/>
              <w:rPr>
                <w:rFonts w:cs="Arial"/>
                <w:sz w:val="18"/>
                <w:szCs w:val="18"/>
              </w:rPr>
            </w:pPr>
            <w:r w:rsidRPr="00F304B3">
              <w:rPr>
                <w:rFonts w:cs="Arial"/>
                <w:sz w:val="18"/>
                <w:szCs w:val="18"/>
              </w:rPr>
              <w:lastRenderedPageBreak/>
              <w:t>2023</w:t>
            </w:r>
          </w:p>
        </w:tc>
        <w:tc>
          <w:tcPr>
            <w:tcW w:w="1871" w:type="dxa"/>
            <w:vAlign w:val="center"/>
          </w:tcPr>
          <w:p w14:paraId="04EE3496" w14:textId="77777777" w:rsidR="00163FF7" w:rsidRPr="00F304B3" w:rsidRDefault="00163FF7" w:rsidP="00B205BA">
            <w:pPr>
              <w:spacing w:after="120" w:line="240" w:lineRule="auto"/>
              <w:jc w:val="center"/>
              <w:rPr>
                <w:rFonts w:cs="Arial"/>
                <w:sz w:val="18"/>
                <w:szCs w:val="18"/>
              </w:rPr>
            </w:pPr>
            <w:r w:rsidRPr="00F304B3">
              <w:rPr>
                <w:rFonts w:cs="Arial"/>
                <w:sz w:val="18"/>
                <w:szCs w:val="18"/>
              </w:rPr>
              <w:t>78</w:t>
            </w:r>
          </w:p>
        </w:tc>
        <w:tc>
          <w:tcPr>
            <w:tcW w:w="1731" w:type="dxa"/>
            <w:vAlign w:val="center"/>
          </w:tcPr>
          <w:p w14:paraId="416402E8" w14:textId="77777777" w:rsidR="00163FF7" w:rsidRPr="00F304B3" w:rsidRDefault="00163FF7" w:rsidP="00B205BA">
            <w:pPr>
              <w:spacing w:after="120" w:line="240" w:lineRule="auto"/>
              <w:jc w:val="center"/>
              <w:rPr>
                <w:rFonts w:cs="Arial"/>
                <w:color w:val="000000"/>
                <w:sz w:val="18"/>
                <w:szCs w:val="18"/>
              </w:rPr>
            </w:pPr>
            <w:r>
              <w:rPr>
                <w:rFonts w:cs="Arial"/>
                <w:color w:val="000000"/>
                <w:sz w:val="18"/>
                <w:szCs w:val="18"/>
              </w:rPr>
              <w:t>72</w:t>
            </w:r>
          </w:p>
        </w:tc>
        <w:tc>
          <w:tcPr>
            <w:tcW w:w="1843" w:type="dxa"/>
            <w:vAlign w:val="center"/>
          </w:tcPr>
          <w:p w14:paraId="34D062C3" w14:textId="77777777" w:rsidR="00163FF7" w:rsidRPr="00F304B3" w:rsidRDefault="00163FF7" w:rsidP="00B205BA">
            <w:pPr>
              <w:spacing w:after="120" w:line="240" w:lineRule="auto"/>
              <w:jc w:val="center"/>
              <w:rPr>
                <w:rFonts w:cs="Arial"/>
                <w:color w:val="000000"/>
                <w:sz w:val="18"/>
                <w:szCs w:val="18"/>
              </w:rPr>
            </w:pPr>
            <w:r>
              <w:rPr>
                <w:rFonts w:cs="Arial"/>
                <w:color w:val="000000"/>
                <w:sz w:val="18"/>
                <w:szCs w:val="18"/>
              </w:rPr>
              <w:t>6</w:t>
            </w:r>
          </w:p>
        </w:tc>
        <w:tc>
          <w:tcPr>
            <w:tcW w:w="2358" w:type="dxa"/>
            <w:vAlign w:val="center"/>
          </w:tcPr>
          <w:p w14:paraId="39699C92" w14:textId="77777777" w:rsidR="00163FF7" w:rsidRPr="00F304B3" w:rsidRDefault="00163FF7" w:rsidP="00B205BA">
            <w:pPr>
              <w:spacing w:after="120" w:line="240" w:lineRule="auto"/>
              <w:jc w:val="center"/>
              <w:rPr>
                <w:rFonts w:cs="Arial"/>
                <w:sz w:val="18"/>
                <w:szCs w:val="18"/>
              </w:rPr>
            </w:pPr>
            <w:r w:rsidRPr="00F304B3">
              <w:rPr>
                <w:rFonts w:cs="Arial"/>
                <w:color w:val="000000"/>
                <w:sz w:val="18"/>
                <w:szCs w:val="18"/>
              </w:rPr>
              <w:t>309,121,605.31</w:t>
            </w:r>
          </w:p>
        </w:tc>
      </w:tr>
      <w:tr w:rsidR="00163FF7" w14:paraId="56BACF36" w14:textId="77777777" w:rsidTr="000635AB">
        <w:trPr>
          <w:trHeight w:val="336"/>
          <w:jc w:val="center"/>
        </w:trPr>
        <w:tc>
          <w:tcPr>
            <w:tcW w:w="920" w:type="dxa"/>
            <w:shd w:val="clear" w:color="auto" w:fill="F2F2F2" w:themeFill="background1" w:themeFillShade="F2"/>
            <w:vAlign w:val="center"/>
          </w:tcPr>
          <w:p w14:paraId="0CF8A900" w14:textId="77777777" w:rsidR="00163FF7" w:rsidRPr="00F304B3" w:rsidRDefault="00163FF7" w:rsidP="00B205BA">
            <w:pPr>
              <w:spacing w:after="120" w:line="240" w:lineRule="auto"/>
              <w:jc w:val="center"/>
              <w:rPr>
                <w:rFonts w:cs="Arial"/>
                <w:sz w:val="18"/>
                <w:szCs w:val="18"/>
              </w:rPr>
            </w:pPr>
            <w:r w:rsidRPr="00F304B3">
              <w:rPr>
                <w:rFonts w:cs="Arial"/>
                <w:sz w:val="18"/>
                <w:szCs w:val="18"/>
              </w:rPr>
              <w:t>2024</w:t>
            </w:r>
          </w:p>
        </w:tc>
        <w:tc>
          <w:tcPr>
            <w:tcW w:w="1871" w:type="dxa"/>
            <w:vAlign w:val="center"/>
          </w:tcPr>
          <w:p w14:paraId="3A782F68" w14:textId="77777777" w:rsidR="00163FF7" w:rsidRPr="00F304B3" w:rsidRDefault="00163FF7" w:rsidP="00B205BA">
            <w:pPr>
              <w:spacing w:after="120" w:line="240" w:lineRule="auto"/>
              <w:jc w:val="center"/>
              <w:rPr>
                <w:rFonts w:cs="Arial"/>
                <w:sz w:val="18"/>
                <w:szCs w:val="18"/>
              </w:rPr>
            </w:pPr>
            <w:r w:rsidRPr="00F304B3">
              <w:rPr>
                <w:rFonts w:cs="Arial"/>
                <w:sz w:val="18"/>
                <w:szCs w:val="18"/>
              </w:rPr>
              <w:t>65</w:t>
            </w:r>
          </w:p>
        </w:tc>
        <w:tc>
          <w:tcPr>
            <w:tcW w:w="1731" w:type="dxa"/>
            <w:vAlign w:val="center"/>
          </w:tcPr>
          <w:p w14:paraId="2FBF6A6B" w14:textId="77777777" w:rsidR="00163FF7" w:rsidRPr="00F304B3" w:rsidRDefault="00163FF7" w:rsidP="00B205BA">
            <w:pPr>
              <w:spacing w:after="120" w:line="240" w:lineRule="auto"/>
              <w:jc w:val="center"/>
              <w:rPr>
                <w:rFonts w:cs="Arial"/>
                <w:color w:val="000000"/>
                <w:sz w:val="18"/>
                <w:szCs w:val="18"/>
              </w:rPr>
            </w:pPr>
            <w:r>
              <w:rPr>
                <w:rFonts w:cs="Arial"/>
                <w:color w:val="000000"/>
                <w:sz w:val="18"/>
                <w:szCs w:val="18"/>
              </w:rPr>
              <w:t>52</w:t>
            </w:r>
          </w:p>
        </w:tc>
        <w:tc>
          <w:tcPr>
            <w:tcW w:w="1843" w:type="dxa"/>
            <w:vAlign w:val="center"/>
          </w:tcPr>
          <w:p w14:paraId="5D626934" w14:textId="77777777" w:rsidR="00163FF7" w:rsidRPr="00F304B3" w:rsidRDefault="00163FF7" w:rsidP="00B205BA">
            <w:pPr>
              <w:spacing w:after="120" w:line="240" w:lineRule="auto"/>
              <w:jc w:val="center"/>
              <w:rPr>
                <w:rFonts w:cs="Arial"/>
                <w:color w:val="000000"/>
                <w:sz w:val="18"/>
                <w:szCs w:val="18"/>
              </w:rPr>
            </w:pPr>
            <w:r>
              <w:rPr>
                <w:rFonts w:cs="Arial"/>
                <w:color w:val="000000"/>
                <w:sz w:val="18"/>
                <w:szCs w:val="18"/>
              </w:rPr>
              <w:t>13</w:t>
            </w:r>
          </w:p>
        </w:tc>
        <w:tc>
          <w:tcPr>
            <w:tcW w:w="2358" w:type="dxa"/>
            <w:vAlign w:val="center"/>
          </w:tcPr>
          <w:p w14:paraId="236AE408" w14:textId="77777777" w:rsidR="00163FF7" w:rsidRPr="00F304B3" w:rsidRDefault="00163FF7" w:rsidP="00B205BA">
            <w:pPr>
              <w:spacing w:after="120" w:line="240" w:lineRule="auto"/>
              <w:jc w:val="center"/>
              <w:rPr>
                <w:rFonts w:cs="Arial"/>
                <w:sz w:val="18"/>
                <w:szCs w:val="18"/>
              </w:rPr>
            </w:pPr>
            <w:r w:rsidRPr="00F304B3">
              <w:rPr>
                <w:rFonts w:cs="Arial"/>
                <w:color w:val="000000"/>
                <w:sz w:val="18"/>
                <w:szCs w:val="18"/>
              </w:rPr>
              <w:t>169,577,827.44</w:t>
            </w:r>
          </w:p>
        </w:tc>
      </w:tr>
    </w:tbl>
    <w:p w14:paraId="57AC2F52" w14:textId="77777777" w:rsidR="00163FF7" w:rsidRDefault="00163FF7" w:rsidP="00B205BA">
      <w:pPr>
        <w:spacing w:after="120" w:line="240" w:lineRule="auto"/>
        <w:rPr>
          <w:rFonts w:cs="Arial"/>
          <w:sz w:val="16"/>
          <w:szCs w:val="16"/>
        </w:rPr>
      </w:pPr>
      <w:r>
        <w:rPr>
          <w:rFonts w:cs="Arial"/>
          <w:sz w:val="16"/>
          <w:szCs w:val="16"/>
        </w:rPr>
        <w:t>*Millones de pesos</w:t>
      </w:r>
    </w:p>
    <w:p w14:paraId="351487E2" w14:textId="52216C7F" w:rsidR="00163FF7" w:rsidRPr="00013F4A" w:rsidRDefault="00163FF7" w:rsidP="00B205BA">
      <w:pPr>
        <w:spacing w:after="120" w:line="240" w:lineRule="auto"/>
        <w:rPr>
          <w:rFonts w:cs="Arial"/>
          <w:sz w:val="16"/>
          <w:szCs w:val="16"/>
        </w:rPr>
      </w:pPr>
      <w:r w:rsidRPr="00EC118C">
        <w:rPr>
          <w:rFonts w:cs="Arial"/>
          <w:sz w:val="16"/>
          <w:szCs w:val="16"/>
        </w:rPr>
        <w:t>Fuente: Elaboración propia con datos de</w:t>
      </w:r>
      <w:r w:rsidR="00EC118C" w:rsidRPr="00EC118C">
        <w:rPr>
          <w:rFonts w:cs="Arial"/>
          <w:sz w:val="16"/>
          <w:szCs w:val="16"/>
        </w:rPr>
        <w:t xml:space="preserve"> la Dirección General de </w:t>
      </w:r>
      <w:r w:rsidRPr="00EC118C">
        <w:rPr>
          <w:rFonts w:cs="Arial"/>
          <w:sz w:val="16"/>
          <w:szCs w:val="16"/>
        </w:rPr>
        <w:t>Participación Ciudadana.</w:t>
      </w:r>
    </w:p>
    <w:p w14:paraId="6FADC749" w14:textId="77777777" w:rsidR="00163FF7" w:rsidRDefault="00163FF7" w:rsidP="00B205BA">
      <w:pPr>
        <w:spacing w:after="120" w:line="240" w:lineRule="auto"/>
        <w:rPr>
          <w:rFonts w:cs="Arial"/>
        </w:rPr>
      </w:pPr>
      <w:r w:rsidRPr="00DE2E73">
        <w:rPr>
          <w:rFonts w:cs="Arial"/>
        </w:rPr>
        <w:t xml:space="preserve">Entre las principales áreas de inversión </w:t>
      </w:r>
      <w:r>
        <w:rPr>
          <w:rFonts w:cs="Arial"/>
        </w:rPr>
        <w:t xml:space="preserve">realizadas en Hermosillo en el período 2022-2024, </w:t>
      </w:r>
      <w:r w:rsidRPr="00DE2E73">
        <w:rPr>
          <w:rFonts w:cs="Arial"/>
        </w:rPr>
        <w:t xml:space="preserve">destacan </w:t>
      </w:r>
      <w:r w:rsidRPr="00E11BB4">
        <w:rPr>
          <w:rFonts w:cs="Arial"/>
        </w:rPr>
        <w:t>el acceso a agua potable, mejoramiento de vivienda y urbanización.</w:t>
      </w:r>
      <w:r>
        <w:rPr>
          <w:rFonts w:cs="Arial"/>
        </w:rPr>
        <w:t xml:space="preserve"> </w:t>
      </w:r>
    </w:p>
    <w:p w14:paraId="7F9F4849" w14:textId="1BA7BB8A" w:rsidR="00E91BE2" w:rsidRPr="002B1A6B" w:rsidRDefault="00163FF7" w:rsidP="00B205BA">
      <w:pPr>
        <w:spacing w:after="120" w:line="240" w:lineRule="auto"/>
        <w:rPr>
          <w:rFonts w:cs="Arial"/>
        </w:rPr>
      </w:pPr>
      <w:r>
        <w:rPr>
          <w:rFonts w:cs="Arial"/>
        </w:rPr>
        <w:t>La gráfica 1 refleja la</w:t>
      </w:r>
      <w:r w:rsidRPr="00BD6972">
        <w:rPr>
          <w:rFonts w:cs="Arial"/>
        </w:rPr>
        <w:t xml:space="preserve"> </w:t>
      </w:r>
      <w:r>
        <w:rPr>
          <w:rFonts w:cs="Arial"/>
        </w:rPr>
        <w:t>e</w:t>
      </w:r>
      <w:r w:rsidRPr="00BD6972">
        <w:rPr>
          <w:rFonts w:cs="Arial"/>
        </w:rPr>
        <w:t>volución de prioridades:</w:t>
      </w:r>
      <w:r>
        <w:rPr>
          <w:rFonts w:cs="Arial"/>
        </w:rPr>
        <w:t xml:space="preserve"> e</w:t>
      </w:r>
      <w:r w:rsidRPr="00BD6972">
        <w:rPr>
          <w:rFonts w:cs="Arial"/>
        </w:rPr>
        <w:t>l enfoque inicial en agua potable y urbanización (2021) muestra un compromiso por cubrir necesidades básicas de infraestructura</w:t>
      </w:r>
      <w:r>
        <w:rPr>
          <w:rFonts w:cs="Arial"/>
        </w:rPr>
        <w:t xml:space="preserve">. </w:t>
      </w:r>
      <w:r w:rsidRPr="00BD6972">
        <w:rPr>
          <w:rFonts w:cs="Arial"/>
        </w:rPr>
        <w:t xml:space="preserve">A partir de 2022, la vivienda </w:t>
      </w:r>
      <w:r>
        <w:rPr>
          <w:rFonts w:cs="Arial"/>
        </w:rPr>
        <w:t>ganó</w:t>
      </w:r>
      <w:r w:rsidRPr="00BD6972">
        <w:rPr>
          <w:rFonts w:cs="Arial"/>
        </w:rPr>
        <w:t xml:space="preserve"> relevancia</w:t>
      </w:r>
      <w:r>
        <w:rPr>
          <w:rFonts w:cs="Arial"/>
        </w:rPr>
        <w:t>, y en 2023 l</w:t>
      </w:r>
      <w:r w:rsidRPr="00BD6972">
        <w:rPr>
          <w:rFonts w:cs="Arial"/>
        </w:rPr>
        <w:t>a atención se intensific</w:t>
      </w:r>
      <w:r>
        <w:rPr>
          <w:rFonts w:cs="Arial"/>
        </w:rPr>
        <w:t>ó</w:t>
      </w:r>
      <w:r w:rsidRPr="00BD6972">
        <w:rPr>
          <w:rFonts w:cs="Arial"/>
        </w:rPr>
        <w:t xml:space="preserve"> en </w:t>
      </w:r>
      <w:r>
        <w:rPr>
          <w:rFonts w:cs="Arial"/>
        </w:rPr>
        <w:t xml:space="preserve">el </w:t>
      </w:r>
      <w:r w:rsidRPr="00BD6972">
        <w:rPr>
          <w:rFonts w:cs="Arial"/>
        </w:rPr>
        <w:t>agua potable (73.1</w:t>
      </w:r>
      <w:r>
        <w:rPr>
          <w:rFonts w:cs="Arial"/>
        </w:rPr>
        <w:t xml:space="preserve"> </w:t>
      </w:r>
      <w:r w:rsidRPr="00BD6972">
        <w:rPr>
          <w:rFonts w:cs="Arial"/>
        </w:rPr>
        <w:t>%) y aparecen inversiones en alcantarillado</w:t>
      </w:r>
      <w:r>
        <w:rPr>
          <w:rFonts w:cs="Arial"/>
        </w:rPr>
        <w:t>,</w:t>
      </w:r>
      <w:r w:rsidRPr="00BD6972">
        <w:rPr>
          <w:rFonts w:cs="Arial"/>
        </w:rPr>
        <w:t xml:space="preserve"> drenaje y letrinas.</w:t>
      </w:r>
      <w:r>
        <w:rPr>
          <w:rFonts w:cs="Arial"/>
        </w:rPr>
        <w:t xml:space="preserve"> Al alcance de 2024, se priorizó el mejoramiento de vivienda, expandiendo la inversión al rubro de urbanizació</w:t>
      </w:r>
      <w:r w:rsidR="002B1A6B">
        <w:rPr>
          <w:rFonts w:cs="Arial"/>
        </w:rPr>
        <w:t>n.</w:t>
      </w:r>
    </w:p>
    <w:p w14:paraId="7CCB7E24" w14:textId="2A808381" w:rsidR="00163FF7" w:rsidRDefault="00BD09D3" w:rsidP="00B205BA">
      <w:pPr>
        <w:spacing w:after="120" w:line="240" w:lineRule="auto"/>
        <w:jc w:val="center"/>
        <w:rPr>
          <w:rFonts w:cs="Arial"/>
          <w:b/>
          <w:bCs/>
          <w:sz w:val="20"/>
          <w:szCs w:val="20"/>
        </w:rPr>
      </w:pPr>
      <w:r w:rsidRPr="00DA5A0D">
        <w:rPr>
          <w:rFonts w:cs="Arial"/>
          <w:b/>
          <w:bCs/>
          <w:sz w:val="20"/>
          <w:szCs w:val="20"/>
        </w:rPr>
        <w:t xml:space="preserve">GRÁFICA </w:t>
      </w:r>
      <w:r>
        <w:rPr>
          <w:rFonts w:cs="Arial"/>
          <w:b/>
          <w:bCs/>
          <w:sz w:val="20"/>
          <w:szCs w:val="20"/>
        </w:rPr>
        <w:t>1</w:t>
      </w:r>
      <w:r w:rsidRPr="00DA5A0D">
        <w:rPr>
          <w:rFonts w:cs="Arial"/>
          <w:b/>
          <w:bCs/>
          <w:sz w:val="20"/>
          <w:szCs w:val="20"/>
        </w:rPr>
        <w:t xml:space="preserve">. RUBROS ATENDIDOS POR EL </w:t>
      </w:r>
      <w:r>
        <w:rPr>
          <w:rFonts w:cs="Arial"/>
          <w:b/>
          <w:bCs/>
          <w:sz w:val="20"/>
          <w:szCs w:val="20"/>
        </w:rPr>
        <w:t>FONDO DE APORTACIONES PARA LA INFRAESTRUCTURA SOCIAL MUNICIPAL (FAISMUN)</w:t>
      </w:r>
      <w:r w:rsidRPr="00DA5A0D">
        <w:rPr>
          <w:rFonts w:cs="Arial"/>
          <w:b/>
          <w:bCs/>
          <w:sz w:val="20"/>
          <w:szCs w:val="20"/>
        </w:rPr>
        <w:t xml:space="preserve"> SEGÚN AÑO DE EJERCICIO FISCAL</w:t>
      </w:r>
      <w:r w:rsidR="0086730D">
        <w:rPr>
          <w:rFonts w:cs="Arial"/>
          <w:b/>
          <w:bCs/>
          <w:sz w:val="20"/>
          <w:szCs w:val="20"/>
        </w:rPr>
        <w:t>.</w:t>
      </w:r>
    </w:p>
    <w:p w14:paraId="25B317CD" w14:textId="77777777" w:rsidR="00163FF7" w:rsidRDefault="00163FF7" w:rsidP="00B205BA">
      <w:pPr>
        <w:spacing w:after="120" w:line="240" w:lineRule="auto"/>
        <w:rPr>
          <w:b/>
          <w:bCs/>
          <w:highlight w:val="yellow"/>
        </w:rPr>
      </w:pPr>
      <w:r>
        <w:rPr>
          <w:noProof/>
        </w:rPr>
        <w:drawing>
          <wp:inline distT="0" distB="0" distL="0" distR="0" wp14:anchorId="742E85FE" wp14:editId="7077CC5A">
            <wp:extent cx="5283200" cy="2305050"/>
            <wp:effectExtent l="0" t="0" r="0" b="0"/>
            <wp:docPr id="60" name="Gráfico 1">
              <a:extLst xmlns:a="http://schemas.openxmlformats.org/drawingml/2006/main">
                <a:ext uri="{FF2B5EF4-FFF2-40B4-BE49-F238E27FC236}">
                  <a16:creationId xmlns:a16="http://schemas.microsoft.com/office/drawing/2014/main" id="{DA76A0C1-C6B1-E57E-6381-94200450B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9AD04B3" w14:textId="304505D5" w:rsidR="00163FF7" w:rsidRPr="002B7A8E" w:rsidRDefault="00163FF7" w:rsidP="00B205BA">
      <w:pPr>
        <w:spacing w:after="120" w:line="240" w:lineRule="auto"/>
        <w:rPr>
          <w:rFonts w:cs="Arial"/>
          <w:sz w:val="16"/>
          <w:szCs w:val="16"/>
        </w:rPr>
      </w:pPr>
      <w:r w:rsidRPr="00EC118C">
        <w:rPr>
          <w:rFonts w:cs="Arial"/>
          <w:sz w:val="16"/>
          <w:szCs w:val="16"/>
        </w:rPr>
        <w:t xml:space="preserve">Fuente: </w:t>
      </w:r>
      <w:r w:rsidR="00EC118C" w:rsidRPr="00EC118C">
        <w:rPr>
          <w:rFonts w:cs="Arial"/>
          <w:sz w:val="16"/>
          <w:szCs w:val="16"/>
        </w:rPr>
        <w:t xml:space="preserve"> Elaboración propia con datos de la Dirección General de Participación Ciudadana.</w:t>
      </w:r>
    </w:p>
    <w:p w14:paraId="2D9A492E" w14:textId="06EA45BD" w:rsidR="00163FF7" w:rsidRDefault="00163FF7" w:rsidP="00B205BA">
      <w:pPr>
        <w:spacing w:after="120" w:line="240" w:lineRule="auto"/>
        <w:rPr>
          <w:rFonts w:cs="Arial"/>
          <w:b/>
          <w:bCs/>
        </w:rPr>
      </w:pPr>
      <w:r>
        <w:rPr>
          <w:rFonts w:cs="Arial"/>
          <w:b/>
          <w:bCs/>
        </w:rPr>
        <w:t>Desarrollo integral de la juventud</w:t>
      </w:r>
      <w:r w:rsidR="00261A27">
        <w:rPr>
          <w:rFonts w:cs="Arial"/>
          <w:b/>
          <w:bCs/>
        </w:rPr>
        <w:t>.</w:t>
      </w:r>
    </w:p>
    <w:p w14:paraId="12F630BF" w14:textId="77777777" w:rsidR="00163FF7" w:rsidRDefault="00163FF7" w:rsidP="00B205BA">
      <w:pPr>
        <w:spacing w:after="120" w:line="240" w:lineRule="auto"/>
        <w:rPr>
          <w:rFonts w:cs="Arial"/>
        </w:rPr>
      </w:pPr>
      <w:r>
        <w:rPr>
          <w:rFonts w:cs="Arial"/>
        </w:rPr>
        <w:t xml:space="preserve">Se </w:t>
      </w:r>
      <w:r w:rsidRPr="00FD1905">
        <w:rPr>
          <w:rFonts w:cs="Arial"/>
        </w:rPr>
        <w:t>ha</w:t>
      </w:r>
      <w:r>
        <w:rPr>
          <w:rFonts w:cs="Arial"/>
        </w:rPr>
        <w:t>n</w:t>
      </w:r>
      <w:r w:rsidRPr="00FD1905">
        <w:rPr>
          <w:rFonts w:cs="Arial"/>
        </w:rPr>
        <w:t xml:space="preserve"> impulsado diversas iniciativas para promover el desarrollo integral de los jóvenes de Hermosillo, enfocándose en su participación comunitaria, bienestar y prevención de problemas de salud. A través de programas como Jóvenes Construyendo Comunidad, se organizaron actividades de concientización, brigadas ecológicas, eventos deportivos y charlas sobre temas como consumo responsable, salud mental y prevención de adicciones, beneficiando </w:t>
      </w:r>
      <w:r>
        <w:rPr>
          <w:rFonts w:cs="Arial"/>
        </w:rPr>
        <w:t xml:space="preserve">así </w:t>
      </w:r>
      <w:r w:rsidRPr="00FD1905">
        <w:rPr>
          <w:rFonts w:cs="Arial"/>
        </w:rPr>
        <w:t>a miles de jóvenes.</w:t>
      </w:r>
    </w:p>
    <w:p w14:paraId="1137DD07" w14:textId="77777777" w:rsidR="00163FF7" w:rsidRPr="00BB417A" w:rsidRDefault="00163FF7" w:rsidP="00B205BA">
      <w:pPr>
        <w:spacing w:after="120" w:line="240" w:lineRule="auto"/>
        <w:rPr>
          <w:rFonts w:cs="Arial"/>
        </w:rPr>
      </w:pPr>
      <w:r w:rsidRPr="00BB417A">
        <w:rPr>
          <w:rFonts w:cs="Arial"/>
        </w:rPr>
        <w:t xml:space="preserve">Para </w:t>
      </w:r>
      <w:r>
        <w:rPr>
          <w:rFonts w:cs="Arial"/>
        </w:rPr>
        <w:t>continuar promoviendo</w:t>
      </w:r>
      <w:r w:rsidRPr="00BB417A">
        <w:rPr>
          <w:rFonts w:cs="Arial"/>
        </w:rPr>
        <w:t xml:space="preserve"> el desarrollo integral de la juventud en el municipio de Hermosillo, se propone una estrategia enfocada en promover su bienestar social y fomentar su crecimiento personal y profesional. Est</w:t>
      </w:r>
      <w:r>
        <w:rPr>
          <w:rFonts w:cs="Arial"/>
        </w:rPr>
        <w:t xml:space="preserve">o </w:t>
      </w:r>
      <w:r w:rsidRPr="00BB417A">
        <w:rPr>
          <w:rFonts w:cs="Arial"/>
        </w:rPr>
        <w:t>incluye acciones de formación y capacitación que proporcionen a los jóvenes las herramientas necesarias para su desarrollo integral.</w:t>
      </w:r>
    </w:p>
    <w:p w14:paraId="27271276" w14:textId="77777777" w:rsidR="00163FF7" w:rsidRPr="00BB417A" w:rsidRDefault="00163FF7" w:rsidP="00B205BA">
      <w:pPr>
        <w:spacing w:after="120" w:line="240" w:lineRule="auto"/>
        <w:rPr>
          <w:rFonts w:cs="Arial"/>
        </w:rPr>
      </w:pPr>
      <w:r w:rsidRPr="00BB417A">
        <w:rPr>
          <w:rFonts w:cs="Arial"/>
        </w:rPr>
        <w:t>Además, se ofrecerá asesoría personalizada a aquellos jóvenes que necesiten orientación y apoyo para alcanzar sus metas, ayudándoles a superar obstáculos y fortaleciendo su bienestar emocional y social. Se establecerán vínculos con diversas instituciones públicas, privadas y organizaciones de la sociedad civil mediante acuerdos y convenios, con el fin de generar oportunidades que beneficien a la juventud de Hermosillo.</w:t>
      </w:r>
    </w:p>
    <w:p w14:paraId="20FC0632" w14:textId="77777777" w:rsidR="00163FF7" w:rsidRPr="00BB417A" w:rsidRDefault="00163FF7" w:rsidP="00B205BA">
      <w:pPr>
        <w:spacing w:after="120" w:line="240" w:lineRule="auto"/>
        <w:rPr>
          <w:rFonts w:cs="Arial"/>
        </w:rPr>
      </w:pPr>
      <w:r w:rsidRPr="00BB417A">
        <w:rPr>
          <w:rFonts w:cs="Arial"/>
        </w:rPr>
        <w:lastRenderedPageBreak/>
        <w:t>Se organizarán también eventos de reconocimiento para aquellos jóvenes que, con su esfuerzo y dedicación, se destaquen por su actitud ejemplar en la construcción de una sociedad más solidaria y comprometida. Asimismo, se promoverá la participación activa de los jóvenes en los procesos sociales y políticos a través de la creación y seguimiento del "Cabildo Joven", un espacio donde puedan presentar sus propuestas y aportar ideas que contribuyan al desarrollo integral de la población juvenil de la ciudad.</w:t>
      </w:r>
    </w:p>
    <w:p w14:paraId="7F867105" w14:textId="77777777" w:rsidR="00163FF7" w:rsidRDefault="00163FF7" w:rsidP="00B205BA">
      <w:pPr>
        <w:spacing w:after="120" w:line="240" w:lineRule="auto"/>
        <w:rPr>
          <w:rFonts w:cs="Arial"/>
        </w:rPr>
      </w:pPr>
      <w:r w:rsidRPr="00BB417A">
        <w:rPr>
          <w:rFonts w:cs="Arial"/>
        </w:rPr>
        <w:t>Esta estrategia tiene como objetivo ofrecer a los jóvenes de Hermosillo las oportunidades y el apoyo necesario para su crecimiento, promoviendo una sociedad más inclusiva, participativa y comprometida con su bienestar.</w:t>
      </w:r>
    </w:p>
    <w:p w14:paraId="63AACA3F" w14:textId="64821DA7" w:rsidR="00163FF7" w:rsidRDefault="00163FF7" w:rsidP="00B205BA">
      <w:pPr>
        <w:spacing w:after="120" w:line="240" w:lineRule="auto"/>
        <w:rPr>
          <w:rFonts w:cs="Arial"/>
          <w:b/>
          <w:bCs/>
        </w:rPr>
      </w:pPr>
      <w:r w:rsidRPr="00870E79">
        <w:rPr>
          <w:rFonts w:cs="Arial"/>
          <w:b/>
          <w:bCs/>
        </w:rPr>
        <w:t>Promoción del deporte</w:t>
      </w:r>
      <w:r w:rsidR="00261A27">
        <w:rPr>
          <w:rFonts w:cs="Arial"/>
          <w:b/>
          <w:bCs/>
        </w:rPr>
        <w:t>.</w:t>
      </w:r>
    </w:p>
    <w:p w14:paraId="2A1DAF6D" w14:textId="77777777" w:rsidR="00163FF7" w:rsidRPr="00991A31" w:rsidRDefault="00163FF7" w:rsidP="00B205BA">
      <w:pPr>
        <w:spacing w:after="120" w:line="240" w:lineRule="auto"/>
        <w:rPr>
          <w:rFonts w:cs="Arial"/>
        </w:rPr>
      </w:pPr>
      <w:r w:rsidRPr="00991A31">
        <w:rPr>
          <w:rFonts w:cs="Arial"/>
        </w:rPr>
        <w:t>En Hermosillo, la promoción del deporte se ha convertido en una herramienta esencial para el desarrollo integral de la comunidad. Durante la pasada administración, se impulsaron diversas acciones orientadas a fortalecer la infraestructura deportiva y el tejido social. Las instalaciones deportivas en colonias y áreas rurales fueron reactivadas y transformadas en centros comunitarios que fomentaron el bienestar, la cohesión social y un estilo de vida saludable. En este contexto, se llevaron a cabo 97 eventos deportivos que impactaron a más de 73</w:t>
      </w:r>
      <w:r>
        <w:rPr>
          <w:rFonts w:cs="Arial"/>
        </w:rPr>
        <w:t xml:space="preserve"> </w:t>
      </w:r>
      <w:r w:rsidRPr="00991A31">
        <w:rPr>
          <w:rFonts w:cs="Arial"/>
        </w:rPr>
        <w:t>000 personas, acercando el deporte a las comunidades y promoviendo la inclusión.</w:t>
      </w:r>
    </w:p>
    <w:p w14:paraId="4FDFA896" w14:textId="77777777" w:rsidR="00163FF7" w:rsidRPr="00991A31" w:rsidRDefault="00163FF7" w:rsidP="00B205BA">
      <w:pPr>
        <w:spacing w:after="120" w:line="240" w:lineRule="auto"/>
        <w:rPr>
          <w:rFonts w:cs="Arial"/>
        </w:rPr>
      </w:pPr>
      <w:r w:rsidRPr="00991A31">
        <w:rPr>
          <w:rFonts w:cs="Arial"/>
        </w:rPr>
        <w:t xml:space="preserve">En paralelo, </w:t>
      </w:r>
      <w:r>
        <w:rPr>
          <w:rFonts w:cs="Arial"/>
        </w:rPr>
        <w:t>a lo largo de</w:t>
      </w:r>
      <w:r w:rsidRPr="00991A31">
        <w:rPr>
          <w:rFonts w:cs="Arial"/>
        </w:rPr>
        <w:t xml:space="preserve"> 13 </w:t>
      </w:r>
      <w:r>
        <w:rPr>
          <w:rFonts w:cs="Arial"/>
        </w:rPr>
        <w:t>sesiones,</w:t>
      </w:r>
      <w:r w:rsidRPr="00991A31">
        <w:rPr>
          <w:rFonts w:cs="Arial"/>
        </w:rPr>
        <w:t xml:space="preserve"> se capacitó a 420 promotores deportivos en temas clave</w:t>
      </w:r>
      <w:r>
        <w:rPr>
          <w:rFonts w:cs="Arial"/>
        </w:rPr>
        <w:t>,</w:t>
      </w:r>
      <w:r w:rsidRPr="00991A31">
        <w:rPr>
          <w:rFonts w:cs="Arial"/>
        </w:rPr>
        <w:t xml:space="preserve"> como </w:t>
      </w:r>
      <w:r>
        <w:rPr>
          <w:rFonts w:cs="Arial"/>
        </w:rPr>
        <w:t xml:space="preserve">la </w:t>
      </w:r>
      <w:r w:rsidRPr="00991A31">
        <w:rPr>
          <w:rFonts w:cs="Arial"/>
        </w:rPr>
        <w:t xml:space="preserve">prevención de lesiones y </w:t>
      </w:r>
      <w:r>
        <w:rPr>
          <w:rFonts w:cs="Arial"/>
        </w:rPr>
        <w:t xml:space="preserve">la </w:t>
      </w:r>
      <w:r w:rsidRPr="00991A31">
        <w:rPr>
          <w:rFonts w:cs="Arial"/>
        </w:rPr>
        <w:t xml:space="preserve">técnica deportiva, </w:t>
      </w:r>
      <w:r>
        <w:rPr>
          <w:rFonts w:cs="Arial"/>
        </w:rPr>
        <w:t>en beneficio de</w:t>
      </w:r>
      <w:r w:rsidRPr="00991A31">
        <w:rPr>
          <w:rFonts w:cs="Arial"/>
        </w:rPr>
        <w:t xml:space="preserve"> 4800 deportistas. También se realizaron 1112 acciones de mantenimiento en parques y canchas, asegurando que las instalaciones estuvieran en óptimas condiciones</w:t>
      </w:r>
      <w:r>
        <w:rPr>
          <w:rFonts w:cs="Arial"/>
        </w:rPr>
        <w:t>, y se realizaron t</w:t>
      </w:r>
      <w:r w:rsidRPr="00991A31">
        <w:rPr>
          <w:rFonts w:cs="Arial"/>
        </w:rPr>
        <w:t>orneos y entrenamientos dirigidos a 25</w:t>
      </w:r>
      <w:r>
        <w:rPr>
          <w:rFonts w:cs="Arial"/>
        </w:rPr>
        <w:t xml:space="preserve"> </w:t>
      </w:r>
      <w:r w:rsidRPr="00991A31">
        <w:rPr>
          <w:rFonts w:cs="Arial"/>
        </w:rPr>
        <w:t>000 niños y jóvenes</w:t>
      </w:r>
      <w:r>
        <w:rPr>
          <w:rFonts w:cs="Arial"/>
        </w:rPr>
        <w:t>,</w:t>
      </w:r>
      <w:r w:rsidRPr="00991A31">
        <w:rPr>
          <w:rFonts w:cs="Arial"/>
        </w:rPr>
        <w:t xml:space="preserve"> </w:t>
      </w:r>
      <w:r>
        <w:rPr>
          <w:rFonts w:cs="Arial"/>
        </w:rPr>
        <w:t>lo que se destacó</w:t>
      </w:r>
      <w:r w:rsidRPr="00991A31">
        <w:rPr>
          <w:rFonts w:cs="Arial"/>
        </w:rPr>
        <w:t xml:space="preserve"> como una estrategia para combatir el sedentarismo y el sobrepeso, </w:t>
      </w:r>
      <w:r>
        <w:rPr>
          <w:rFonts w:cs="Arial"/>
        </w:rPr>
        <w:t>mediante la promoción de</w:t>
      </w:r>
      <w:r w:rsidRPr="00991A31">
        <w:rPr>
          <w:rFonts w:cs="Arial"/>
        </w:rPr>
        <w:t xml:space="preserve"> hábitos de vida más saludables.</w:t>
      </w:r>
    </w:p>
    <w:p w14:paraId="525360FA" w14:textId="77777777" w:rsidR="00163FF7" w:rsidRPr="00991A31" w:rsidRDefault="00163FF7" w:rsidP="00B205BA">
      <w:pPr>
        <w:spacing w:after="120" w:line="240" w:lineRule="auto"/>
        <w:rPr>
          <w:rFonts w:cs="Arial"/>
        </w:rPr>
      </w:pPr>
      <w:r w:rsidRPr="00991A31">
        <w:rPr>
          <w:rFonts w:cs="Arial"/>
        </w:rPr>
        <w:t xml:space="preserve">En el ámbito de la activación física, </w:t>
      </w:r>
      <w:r>
        <w:rPr>
          <w:rFonts w:cs="Arial"/>
        </w:rPr>
        <w:t xml:space="preserve">se realizaron </w:t>
      </w:r>
      <w:r w:rsidRPr="00991A31">
        <w:rPr>
          <w:rFonts w:cs="Arial"/>
        </w:rPr>
        <w:t xml:space="preserve">torneos de boxeo, carreras y clínicas deportivas, además de eventos como la los Juegos CONADE </w:t>
      </w:r>
      <w:r>
        <w:rPr>
          <w:rFonts w:cs="Arial"/>
        </w:rPr>
        <w:t xml:space="preserve">en su etapa municipal </w:t>
      </w:r>
      <w:r w:rsidRPr="00991A31">
        <w:rPr>
          <w:rFonts w:cs="Arial"/>
        </w:rPr>
        <w:t xml:space="preserve">y la Semana Santa en El Cárcamo, </w:t>
      </w:r>
      <w:r>
        <w:rPr>
          <w:rFonts w:cs="Arial"/>
        </w:rPr>
        <w:t xml:space="preserve">que </w:t>
      </w:r>
      <w:r w:rsidRPr="00991A31">
        <w:rPr>
          <w:rFonts w:cs="Arial"/>
        </w:rPr>
        <w:t xml:space="preserve">reunieron a más de 3200 deportistas. Estas acciones consolidaron el deporte como una herramienta para mejorar la calidad de vida de los habitantes de Hermosillo, </w:t>
      </w:r>
      <w:r>
        <w:rPr>
          <w:rFonts w:cs="Arial"/>
        </w:rPr>
        <w:t>en beneficio directo</w:t>
      </w:r>
      <w:r w:rsidRPr="00991A31">
        <w:rPr>
          <w:rFonts w:cs="Arial"/>
        </w:rPr>
        <w:t xml:space="preserve"> </w:t>
      </w:r>
      <w:r>
        <w:rPr>
          <w:rFonts w:cs="Arial"/>
        </w:rPr>
        <w:t>de</w:t>
      </w:r>
      <w:r w:rsidRPr="00991A31">
        <w:rPr>
          <w:rFonts w:cs="Arial"/>
        </w:rPr>
        <w:t xml:space="preserve"> más de 5000 personas.</w:t>
      </w:r>
    </w:p>
    <w:p w14:paraId="63BC3288" w14:textId="77777777" w:rsidR="00163FF7" w:rsidRPr="00991A31" w:rsidRDefault="00163FF7" w:rsidP="00B205BA">
      <w:pPr>
        <w:spacing w:after="120" w:line="240" w:lineRule="auto"/>
        <w:rPr>
          <w:rFonts w:cs="Arial"/>
        </w:rPr>
      </w:pPr>
      <w:r w:rsidRPr="00991A31">
        <w:rPr>
          <w:rFonts w:cs="Arial"/>
        </w:rPr>
        <w:t xml:space="preserve">De cara al futuro, se plantea un enfoque integral que busca profesionalizar a los promotores deportivos mediante </w:t>
      </w:r>
      <w:r>
        <w:rPr>
          <w:rFonts w:cs="Arial"/>
        </w:rPr>
        <w:t xml:space="preserve">la </w:t>
      </w:r>
      <w:r w:rsidRPr="00991A31">
        <w:rPr>
          <w:rFonts w:cs="Arial"/>
        </w:rPr>
        <w:t>capacitación, certificación y educación</w:t>
      </w:r>
      <w:r>
        <w:rPr>
          <w:rFonts w:cs="Arial"/>
        </w:rPr>
        <w:t>,</w:t>
      </w:r>
      <w:r w:rsidRPr="00991A31">
        <w:rPr>
          <w:rFonts w:cs="Arial"/>
        </w:rPr>
        <w:t xml:space="preserve"> en colaboración con instituciones especializadas. Este programa fortalecerá la red de promotores</w:t>
      </w:r>
      <w:r>
        <w:rPr>
          <w:rFonts w:cs="Arial"/>
        </w:rPr>
        <w:t xml:space="preserve"> y</w:t>
      </w:r>
      <w:r w:rsidRPr="00991A31">
        <w:rPr>
          <w:rFonts w:cs="Arial"/>
        </w:rPr>
        <w:t xml:space="preserve"> también elevará la cultura deportiva en la comunidad. Además, se garantizará la inclusión y accesibilidad a las actividades físicas, priorizando a grupos como niños, mujeres, adultos mayores y personas con discapacidad, asegurando que todos tengan acceso a espacios adecuados para el sano esparcimiento.</w:t>
      </w:r>
    </w:p>
    <w:p w14:paraId="45EB71D5" w14:textId="77777777" w:rsidR="00163FF7" w:rsidRDefault="00163FF7" w:rsidP="00B205BA">
      <w:pPr>
        <w:spacing w:after="120" w:line="240" w:lineRule="auto"/>
        <w:rPr>
          <w:rFonts w:cs="Arial"/>
        </w:rPr>
      </w:pPr>
      <w:r w:rsidRPr="00991A31">
        <w:rPr>
          <w:rFonts w:cs="Arial"/>
        </w:rPr>
        <w:t xml:space="preserve">Para el talento deportivo, se contempla un sistema de incentivos, premios y acompañamiento institucional que permita a los deportistas destacados proyectarse en distintas disciplinas. Paralelamente, se diversificarán las fuentes de financiamiento para ampliar las oportunidades de desarrollo deportivo en todas sus modalidades. </w:t>
      </w:r>
    </w:p>
    <w:p w14:paraId="72A5D998" w14:textId="48A94B40" w:rsidR="009C2B4A" w:rsidRPr="00261A27" w:rsidRDefault="00163FF7" w:rsidP="00B205BA">
      <w:pPr>
        <w:spacing w:after="120" w:line="240" w:lineRule="auto"/>
        <w:rPr>
          <w:rFonts w:cs="Arial"/>
        </w:rPr>
      </w:pPr>
      <w:r w:rsidRPr="00991A31">
        <w:rPr>
          <w:rFonts w:cs="Arial"/>
        </w:rPr>
        <w:t>En est</w:t>
      </w:r>
      <w:r>
        <w:rPr>
          <w:rFonts w:cs="Arial"/>
        </w:rPr>
        <w:t>a</w:t>
      </w:r>
      <w:r w:rsidRPr="00991A31">
        <w:rPr>
          <w:rFonts w:cs="Arial"/>
        </w:rPr>
        <w:t xml:space="preserve"> </w:t>
      </w:r>
      <w:r>
        <w:rPr>
          <w:rFonts w:cs="Arial"/>
        </w:rPr>
        <w:t>Administración</w:t>
      </w:r>
      <w:r w:rsidRPr="00991A31">
        <w:rPr>
          <w:rFonts w:cs="Arial"/>
        </w:rPr>
        <w:t>, el deporte se consolida como un eje central para promover el bienestar físico, social y emocional de los habitantes de Hermosillo, contribuyendo al desarrollo integral y a una mejor calidad de vida</w:t>
      </w:r>
      <w:bookmarkEnd w:id="15"/>
      <w:bookmarkEnd w:id="16"/>
      <w:r w:rsidR="002B7A8E">
        <w:rPr>
          <w:rFonts w:cs="Arial"/>
        </w:rPr>
        <w:t>.</w:t>
      </w:r>
    </w:p>
    <w:bookmarkEnd w:id="17"/>
    <w:bookmarkEnd w:id="18"/>
    <w:p w14:paraId="253A4D04" w14:textId="77777777" w:rsidR="002B7A8E" w:rsidRDefault="002B7A8E" w:rsidP="00B205BA">
      <w:pPr>
        <w:spacing w:after="120" w:line="240" w:lineRule="auto"/>
        <w:rPr>
          <w:rFonts w:cs="Arial"/>
          <w:b/>
          <w:bCs/>
          <w:sz w:val="28"/>
          <w:szCs w:val="28"/>
        </w:rPr>
      </w:pPr>
    </w:p>
    <w:p w14:paraId="79E636F9" w14:textId="31159D24" w:rsidR="00DA27A7" w:rsidRPr="00A13BDA" w:rsidRDefault="00DA27A7" w:rsidP="00B205BA">
      <w:pPr>
        <w:spacing w:after="120" w:line="240" w:lineRule="auto"/>
        <w:rPr>
          <w:rFonts w:cs="Arial"/>
          <w:b/>
          <w:bCs/>
          <w:sz w:val="28"/>
          <w:szCs w:val="28"/>
        </w:rPr>
      </w:pPr>
      <w:r w:rsidRPr="00A13BDA">
        <w:rPr>
          <w:rFonts w:cs="Arial"/>
          <w:b/>
          <w:bCs/>
          <w:sz w:val="28"/>
          <w:szCs w:val="28"/>
        </w:rPr>
        <w:lastRenderedPageBreak/>
        <w:t>RETOS, ESTRATEGIAS Y LINEAS DE ACCIÓN</w:t>
      </w:r>
    </w:p>
    <w:p w14:paraId="71E40F28" w14:textId="344F2DFC"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Reto 4.1. Fortalecer el desarrollo sostenible de las familias desde una perspectiva de género y con un enfoque en derechos humanos para mejorar la calidad de vida de los grupos en situación de vulnerabilidad, a través del ejercicio efectivo de derechos, la inclusión, la prevención y promoción de la salud y el acceso a condiciones de bienestar que promuevan su integración social.</w:t>
      </w:r>
    </w:p>
    <w:p w14:paraId="55265FE6"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4.1.1. Contribuir a la inclusión social de personas en situación de discapacidad y de los grupos de atención prioritaria en situación vulnerable mediante servicios, subsidios y donativos en especie, así como promover acciones para la prevención y promoción de la salud en la comunidad.</w:t>
      </w:r>
    </w:p>
    <w:p w14:paraId="3C39E9D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p>
    <w:p w14:paraId="14CC136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4.1.1.1. Realizar actividades para promover la visibilización, sensibilización e inclusión de las personas con discapacidad.</w:t>
      </w:r>
    </w:p>
    <w:p w14:paraId="74102DE7"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4.1.1.2. Ofrecer servicios integrales de rehabilitación a personas con discapacidad proporcionados por profesionales especializados en las unidades básicas de rehabilitación.</w:t>
      </w:r>
    </w:p>
    <w:p w14:paraId="2BBDE39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4.1.1.3. Promover el acceso a derechos para las personas con discapacidad a través de la gestión de trámites públicos, así como otorgar apoyos para mejorar su movilidad e inclusión social.</w:t>
      </w:r>
    </w:p>
    <w:p w14:paraId="2ECFF3D7"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4.1.1.4. Brindar apoyos temporales a personas en situación de calle para su reintegración a la sociedad o retorno a su lugar de origen.</w:t>
      </w:r>
    </w:p>
    <w:p w14:paraId="7ACA417D"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4.1.1.5. Apoyar a las organizaciones de la sociedad civil que fomentan la inclusión social de grupos vulnerables en la disminución de sus gastos financieros por concepto de energía.</w:t>
      </w:r>
    </w:p>
    <w:p w14:paraId="3C3F561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4.1.1.6. Gestionar apoyos de descuento en las tarifas de los servicios funerarios ante la Dirección General de Servicios Públicos Municipal a familias en situación de vulnerabilidad. </w:t>
      </w:r>
    </w:p>
    <w:p w14:paraId="64D5952D"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4.1.1.7. Otorgar apoyos en especie a familias en situación de vulnerabilidad, en riesgo de contingencia ambiental, incendios o derrumbe de vivienda. </w:t>
      </w:r>
    </w:p>
    <w:p w14:paraId="70C8D8BB"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4.1.2. Proporcionar a la sociedad espacios públicos seguros, inclusivos y accesibles para el desarrollo de sus capacidades e integración social.</w:t>
      </w:r>
    </w:p>
    <w:p w14:paraId="642F61A9"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p>
    <w:p w14:paraId="08C2879C"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4.1.2.1. Brindar servicio integral y desarrollo a la primera infancia a las niñas y niños que asisten a las estancias infantiles de DIF municipal.</w:t>
      </w:r>
    </w:p>
    <w:p w14:paraId="29D91EC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4.1.2.2. Brindar atención al adulto mayor mediante servicios de día y programas integrales que promuevan mejorar la calidad de vida y la atención de personas en situación de vulnerabilidad</w:t>
      </w:r>
    </w:p>
    <w:p w14:paraId="097E6720"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4.1.2.3. Ofrecer actividades recreativas y deportivas a familias en situación de vulnerabilidad social para fomentar su bienestar físico y psicosocial.</w:t>
      </w:r>
    </w:p>
    <w:p w14:paraId="5146FE4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4.1.2.4. Impartir cursos para el desarrollo de capacidades de emprendimiento de familias en situación de vulnerabilidad económica y social.</w:t>
      </w:r>
    </w:p>
    <w:p w14:paraId="2B94F654"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4.1.3. Reducir todas las formas de malnutrición para incidir en el desarrollo físico e intelectual de grupos vulnerables que radican en zonas de atención prioritaria.</w:t>
      </w:r>
    </w:p>
    <w:p w14:paraId="0CBAD1E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lastRenderedPageBreak/>
        <w:t>Líneas de acción:</w:t>
      </w:r>
    </w:p>
    <w:p w14:paraId="761264A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4.1.3.1. Distribuir insumos a comités escolares para la entrega de raciones alimentarias en modalidad frío y caliente a alumnos que asisten a planteles públicos del municipio de Hermosillo.</w:t>
      </w:r>
    </w:p>
    <w:p w14:paraId="3AAC322F"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4.1.3.2. Otorgar despensas con criterios de calidad nutricia y orientación alimentaria a la población objetivo que cumpla con los requisitos del programa.</w:t>
      </w:r>
    </w:p>
    <w:p w14:paraId="7B0E14E7"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4.1.3.3. Atender y otorgar alimento nutricionalmente equilibrado a personas en condiciones de déficit alimentario en comunidades vulnerables.</w:t>
      </w:r>
    </w:p>
    <w:p w14:paraId="6644EE55"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4.1.4. Procurar la protección de los derechos de las niñas, niños, adolescentes y adultos mayores.</w:t>
      </w:r>
    </w:p>
    <w:p w14:paraId="7D781C00"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03D7262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4.1.4.1. Ofrecer asesorías jurídicas a través de la Procuraduría para la Protección de los Derechos de las Niñas, Niños, Adolescentes y Adultos Mayores, así como representación jurídica de adolescentes infractores.</w:t>
      </w:r>
    </w:p>
    <w:p w14:paraId="6FDEC32F"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4.1.4.2. Atender las denuncias realizadas ante la Procuraduría por vulneración de derechos de las niñas, niños, adolescentes y adultos mayores.</w:t>
      </w:r>
    </w:p>
    <w:p w14:paraId="4FF2E44D"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4.1.4.3. Dar seguimiento a denuncias presentadas ante las Agencias del Ministerio Público por delitos cometidos en perjuicio de niñas, niños, adolescentes y adultos mayores.</w:t>
      </w:r>
    </w:p>
    <w:p w14:paraId="342D2C20"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4.1.4.4. Realizar verificaciones del entorno socioeconómico, educativo y familiar referente a niñas, niños, adolescentes y adultos mayores.</w:t>
      </w:r>
    </w:p>
    <w:p w14:paraId="44028C69"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4.1.4.5. Elaborar convenios para presentar y ratificar ante los juzgados de lo familiar.</w:t>
      </w:r>
    </w:p>
    <w:p w14:paraId="30D1683E"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4.1.4.6. Brindar asesoría en juicios presentados ante los juzgados de lo familiar.</w:t>
      </w:r>
    </w:p>
    <w:p w14:paraId="6C98F307"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4.1.4.7. Brindar atención psicológica a niñas, niños, adolescentes y adultos mayores que acuden a Procuraduría por indicios de vulneración de derechos.</w:t>
      </w:r>
    </w:p>
    <w:p w14:paraId="42B051F2"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4.1.4.8. Llevar a cabo actividades para la promoción y difusión de los derechos de niñas, niños, adolescentes y adultos mayores.</w:t>
      </w:r>
    </w:p>
    <w:p w14:paraId="01449B3E"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Reto 4.2. Fortalecer la calidad de los servicios médicos según el nivel de atención para las y los trabajadores del municipio de Hermosillo, así como administrar los beneficios de seguridad social a través de la actualización del padrón de asegurados y beneficiarios conforme a las leyes, reglamentos y lineamientos que de ella se deriven.</w:t>
      </w:r>
    </w:p>
    <w:p w14:paraId="40044355"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4.2.1. Fortalecer los mecanismos de comunicación con los derechohabientes y el proveedor del servicio médico para mantener actualizado el padrón de acuerdo a los Leyes, Reglamentos y Lineamientos vigentes, así como dar seguimiento a los casos de solicitud de pensión que presenten los beneficiarios elegibles.</w:t>
      </w:r>
    </w:p>
    <w:p w14:paraId="7E97FB5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2792B172"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4.2.1.1. Dar seguimiento a casos especiales para la atención y resolución de quejas y sugerencias de mejora. </w:t>
      </w:r>
    </w:p>
    <w:p w14:paraId="41AE1EBB"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4.2.1.2. Proveer de información al Comité Técnico del Sistema de Seguridad Social responsable de la toma de decisiones para una adecuada atención de la salud y aquellos accidentes de trabajo de las y los trabajadores adscritos al municipio de Hermosillo. </w:t>
      </w:r>
    </w:p>
    <w:p w14:paraId="4FDDCE3D"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lastRenderedPageBreak/>
        <w:t>4.2.1.3. Llevar un control de las altas y bajas del padrón de asegurados.</w:t>
      </w:r>
    </w:p>
    <w:p w14:paraId="0B3DDFFE"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4.2.1.4. Dar seguimiento a los trabajadores que no completen los documentos adecuados.     </w:t>
      </w:r>
    </w:p>
    <w:p w14:paraId="5FC6C0F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4.2.1.5. Resguardar los expedientes en físico de acuerdo a las disposiciones legales vigentes. </w:t>
      </w:r>
    </w:p>
    <w:p w14:paraId="66E62F6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4.2.1.6. Generar mecanismos de mejora para la optimización del sistema de salud.</w:t>
      </w:r>
    </w:p>
    <w:p w14:paraId="27B4800B"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4.2.1.7. Realizar un seguimiento a los empleados para el otorgamiento de pensiones o indemnizaciones globales, bajo el cumplimiento de los requisitos establecidos por la ley y el reglamento.</w:t>
      </w:r>
    </w:p>
    <w:p w14:paraId="52A0FDBC"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Reto 4.3. Implementar mecanismos para promover la salud individual y comunitaria mediante informes epidemiológicos, con el fin de mejorar la calidad de vida de la población, así mismo brindar atención odontológica a través de consultorios fijos y un programa de prótesis dentales, además de otorgar condiciones que aseguren el acceso igualitario y oportuno a los servicios de salud básicos a través de actividades itinerantes de salud pública a grupos vulnerables y grupos étnicos autóctonos e indígenas que provienen de otros estados y se encuentran asentados del municipio de Hermosillo, garantizando el acceso a servicios de atención primaria y preventiva en áreas urbanas y rurales.</w:t>
      </w:r>
    </w:p>
    <w:p w14:paraId="05330A0A"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4.3.1. Proporcionar a los ciudadanos información relevante, para que, en conjunto con las autoridades sanitarias, participe en el cuidado de su salud, de su familia y de la comunidad.</w:t>
      </w:r>
    </w:p>
    <w:p w14:paraId="1214D4F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p>
    <w:p w14:paraId="443AA51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4.3.1.1. Realizar actividades informativas y formativas para que el ciudadano identifique los factores de riesgo de salud pública en su comunidad y pueda colaborar con la autoridad municipal en el control, manejo y mantenimiento de una comunidad sana. </w:t>
      </w:r>
    </w:p>
    <w:p w14:paraId="18DCB814"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4.3.1.2. Promocionar y facilitar el acceso a los servicios de atención preventiva que ofrece el H. Ayuntamiento en el primer nivel de atención a la salud.                                                           </w:t>
      </w:r>
    </w:p>
    <w:p w14:paraId="668EA4BD"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4.3.1.3. Actualizar el reporte de la Semana Epidemiológica, que permitan diseñar planes de alerta, seguimiento y control de enfermedades transmisibles y no transmisibles que amenacen la salud pública en el municipio de Hermosillo.             </w:t>
      </w:r>
    </w:p>
    <w:p w14:paraId="0952DFD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4.3.1.4. Crear el Consejo Municipal de Salud.                                           </w:t>
      </w:r>
    </w:p>
    <w:p w14:paraId="4B614A1D"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 xml:space="preserve">Estrategia 4.3.2. Realizar jornadas que incluyan educación, revisiones dentales, atención preventiva, curativa y rehabilitación para seleccionar a ciudadanos en condiciones de vulnerabilidad a fin de referenciarlos a los consultorios fijos y mejoren su salud oral. </w:t>
      </w:r>
    </w:p>
    <w:p w14:paraId="6E6517AB"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p>
    <w:p w14:paraId="3749F2DB"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4.3.2.1. Realizar detecciones de enfermedades crónico-degenerativas.                                                                                                                                          </w:t>
      </w:r>
    </w:p>
    <w:p w14:paraId="2AF69F97"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4.3.2.2. Brindar atención bucodental del primer nivel de atención a la salud.                                                                                                          </w:t>
      </w:r>
    </w:p>
    <w:p w14:paraId="52552A2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4.3.2.3. Ampliar la cobertura del programa de prótesis dentales (H. Construyendo Sonrisas).</w:t>
      </w:r>
    </w:p>
    <w:p w14:paraId="283E6917"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4.3.3. Garantizar los servicios orientados a ciudadanos en condiciones de vulnerabilidad y mejorar la salud a personas pertenecientes a grupos étnicos acercando los servicios atención primaria, preventivos e integrales en materia de salud pública.</w:t>
      </w:r>
    </w:p>
    <w:p w14:paraId="7D52722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lastRenderedPageBreak/>
        <w:t>Líneas de acción:</w:t>
      </w:r>
    </w:p>
    <w:p w14:paraId="5EF2BB27"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4.3.3.1. Establecer un protocolo de atención en salud para personas indígenas, para que la práctica médica tenga una comunicación adecuada y respetuosa de su cultura.</w:t>
      </w:r>
    </w:p>
    <w:p w14:paraId="2102B7C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4.3.3.2. Coordinar con otras áreas o comisiones y autoridades estatales del sector salud la capacitación y atención sobre medicina tradicional.                                                                                                                                                          </w:t>
      </w:r>
    </w:p>
    <w:p w14:paraId="0051741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4.3.3.3. Realizar brigadas de salud que visiten los asentamientos con población indígena con personal de salud acompañado de intérpretes cuando así lo requiera.</w:t>
      </w:r>
    </w:p>
    <w:p w14:paraId="4FDF3035"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4.3.3.4. Ofrecer servicios de atención primaria la salud en el casco urbano y área rural del municipio de Hermosillo y referenciar al paciente al siguiente nivel de atención en caso necesario.</w:t>
      </w:r>
    </w:p>
    <w:p w14:paraId="40492E48"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4.3.3.5. Realizar jornadas de salud con la Clínica Móvil en el área urbana y comunidades rurales, así como Casas de Salud.</w:t>
      </w:r>
    </w:p>
    <w:p w14:paraId="52815DE4"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4.3.3.6. Realizar visitas domiciliarias con un equipo integral del Programa Salud H para brindar atención preventiva y evaluar a los pacientes.</w:t>
      </w:r>
    </w:p>
    <w:p w14:paraId="47FBD695"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 xml:space="preserve">Reto 4.4. Fortalecer los programas y estrategias de atención en polígonos de riesgo epidemiológico para controlar la proliferación de vectores cuando exista alguna emergencia epidemiológica o desastre que ponga en riesgo la salud de la población.  </w:t>
      </w:r>
    </w:p>
    <w:p w14:paraId="2363FB68"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4.4.1. Ampliar los alcances del programa de Saneamiento Básico Municipal, a fin de mantener una comunidad limpia y reducir el riesgo de proliferación de enfermedades trasmitidas por vectores.</w:t>
      </w:r>
    </w:p>
    <w:p w14:paraId="4DB08020"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0730201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4.4.1.1. Desarrollar campañas de promoción para que el ciudadano participe en actividades de descacharre.                                            </w:t>
      </w:r>
    </w:p>
    <w:p w14:paraId="5C4B213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4.4.1.2. Realizar visitas casa por casa en el polígono seleccionado, para sensibilizar a los habitantes sobre la importancia de sacar los cacharros.                                                                                                </w:t>
      </w:r>
    </w:p>
    <w:p w14:paraId="49460A2E"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4.4.1.3. Realizar monitoreo y vigilancia epidemiológica sobre los avisos, boletines e informes que emitan las autoridades sanitarias correspondientes.</w:t>
      </w:r>
    </w:p>
    <w:p w14:paraId="1F016054"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4.4.1.4. Impulsar la creación de Comités de Salud, para que los ciudadanos actúen como vigilantes del saneamiento público de su comunidad.</w:t>
      </w:r>
    </w:p>
    <w:p w14:paraId="12D93349"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4.4.1.5. Atender emergencias generadas por brotes epidemiológicos, fenómenos naturales y/o de cualquier otra índole, que pongan en riesgo la salud pública en el área rural y urbana.  </w:t>
      </w:r>
    </w:p>
    <w:p w14:paraId="319136E9"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Reto 4.5. Establecer como política pública la atención primaria y vigilancia epidemiológica en infecciones de transmisión sexual.</w:t>
      </w:r>
    </w:p>
    <w:p w14:paraId="2AF455BF"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4.5.1. Establecer el control y tratamiento de infecciones por transmisión sexual en el municipio de Hermosillo, mediante la identificación, seguimiento y regulación sanitaria de las personas que se dedican a la actividad comercial del sexo-servicio.</w:t>
      </w:r>
    </w:p>
    <w:p w14:paraId="7A8A56B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282D1AD2"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4.5.1.1. Realizar revisiones médicas para verificar que el/la trabajador sexual se encuentra en condiciones saludables para el ejercicio de su trabajo.                                                                                                                                                                                                                                                                                           </w:t>
      </w:r>
    </w:p>
    <w:p w14:paraId="656AC5A0"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lastRenderedPageBreak/>
        <w:t xml:space="preserve">4.5.1.2. Realizar estudios de laboratorio clínico de panel viral para detectar infecciones de transmisión sexual.     </w:t>
      </w:r>
    </w:p>
    <w:p w14:paraId="4C2C751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4.5.1.3. Analizar los resultados de laboratorio y determinar las condiciones de salud del paciente.       </w:t>
      </w:r>
    </w:p>
    <w:p w14:paraId="60942D98"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4.5.1.4. Indicar tratamiento y/o referir al siguiente nivel de atención de la salud en caso de ser necesario.</w:t>
      </w:r>
    </w:p>
    <w:p w14:paraId="2FA61C4D"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4.5.1.5. Expedir tarjeta sanitaria, si el resultado de laboratorio no presenta resultados patológicos.  </w:t>
      </w:r>
    </w:p>
    <w:p w14:paraId="12988806" w14:textId="156D10F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Reto 4.6. Reducir el estigma asociado a la salud mental, mejorar el estado de salud emocional y prevenir el desarrollo de adicciones en la población</w:t>
      </w:r>
      <w:r>
        <w:rPr>
          <w:rFonts w:eastAsiaTheme="minorHAnsi" w:cs="Arial"/>
          <w:b/>
          <w:bCs/>
          <w:kern w:val="2"/>
          <w:lang w:val="es-MX" w:bidi="ar-SA"/>
          <w14:ligatures w14:val="standardContextual"/>
        </w:rPr>
        <w:t>.</w:t>
      </w:r>
    </w:p>
    <w:p w14:paraId="00A6FDB0" w14:textId="1430863C"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4.6.1. Realizar acciones integrales de promoción, prevención y canalización oportuna, con el fin de reducir el impacto que las enfermedades mentales y las adicciones causan en los usuarios, sus familias y la sociedad en general, sin estigmatizaciones ni discriminaciones</w:t>
      </w:r>
      <w:r>
        <w:rPr>
          <w:rFonts w:eastAsiaTheme="minorHAnsi" w:cs="Arial"/>
          <w:b/>
          <w:bCs/>
          <w:kern w:val="2"/>
          <w:lang w:val="es-MX" w:bidi="ar-SA"/>
          <w14:ligatures w14:val="standardContextual"/>
        </w:rPr>
        <w:t>.</w:t>
      </w:r>
    </w:p>
    <w:p w14:paraId="215F028F"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54F1F59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4.6.1.1. Coordinar los esfuerzos de diversos sectores para el combate a las adicciones, el fomento del bienestar emocional de la población y la búsqueda oportuna de ayuda profesional, a través de las reuniones del Comité Municipal de Salud Mental y Adicciones.</w:t>
      </w:r>
    </w:p>
    <w:p w14:paraId="6166F4A2"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4.6.1.2. Llevar a cabo acciones para la promoción y desmitificación de la salud mental, fomento al autocuidado y prevención de las adicciones, desarrollo de habilidades para la vida y fortalecimiento de las capacidades técnicas de los primeros respondientes para intervención en crisis de salud mental. </w:t>
      </w:r>
    </w:p>
    <w:p w14:paraId="45C3E67C"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4.6.1.3. Diseñar, implementar y dar seguimiento a un Programa de Becas para el Tratamiento de Adicciones de NNA.</w:t>
      </w:r>
    </w:p>
    <w:p w14:paraId="076DF1A7"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Reto 4.7. Ampliar progresivamente la cobertura de beneficiarios de la zona urbana y rural de Hermosillo a través de los mecanismos de atención primaria a la salud.</w:t>
      </w:r>
    </w:p>
    <w:p w14:paraId="1FDC358A"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4.7.1. Realizar actividades de forma conjunta con las distintas dependencias gubernamentales y sociedad civil organizada, con el fin de acercar la atención médica a la población vulnerable.</w:t>
      </w:r>
    </w:p>
    <w:p w14:paraId="5DFEA68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0D46859F"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4.7.1.1. Coadyuvar con los grupos de la sociedad civil organizada para promover la oferta de servicios de salud en favor del cuidado y desarrollo de los hermosillenses.</w:t>
      </w:r>
    </w:p>
    <w:p w14:paraId="6580E7AC"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4.7.1.2. Gestionar y promover los servicios que ofrecen las Casas de Salud en las comunidades rurales.</w:t>
      </w:r>
    </w:p>
    <w:p w14:paraId="1D44933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4.7.1.3. Gestionar ante las instancias correspondientes la creación y/o rehabilitación de las Casas de Salud en las comunidades rurales.</w:t>
      </w:r>
    </w:p>
    <w:p w14:paraId="6ACF933E"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Reto 4.8. Promover el acceso a la cultura, participación ciudadana y promoción del patrimonio cultural de los hermosillenses.</w:t>
      </w:r>
    </w:p>
    <w:p w14:paraId="3850A690"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4.8.1. Promover el acceso a la cultura en la zona urbana y rural, ofreciendo una agenda artística de calidad que sea plural, diversa e inclusiva que reconozca la identidad y riqueza cultural de nuestro municipio.</w:t>
      </w:r>
    </w:p>
    <w:p w14:paraId="0912B1A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2D3687F2"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lastRenderedPageBreak/>
        <w:t>4.8.1.1. Impulsar el arte y la cultura como un medio para la inclusión de prácticas comunitarias que incentiven la participación ciudadana y la apreciación artística en el espacio público.</w:t>
      </w:r>
    </w:p>
    <w:p w14:paraId="200A29CE"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4.8.1.2. Organizar las Fiestas del Pitic que celebran el aniversario de la fundación de la ciudad de Hermosillo y otros eventos para preservar y fomentar las tradiciones y su valor histórico.</w:t>
      </w:r>
    </w:p>
    <w:p w14:paraId="40F283F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4.8.1.3. Preservar y fomentar la continuidad de las tradiciones mexicanas en el municipio de Hermosillo a través del Festival Tradicional de Día de Muertos.</w:t>
      </w:r>
    </w:p>
    <w:p w14:paraId="32BDD3E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4.8.1.4. Apoyar las actividades de las comunidades indígenas Seri (Comca’ac) y Yaqui, para fortalecer las tradiciones del Año Nuevo Seri y la cuaresma Yaqui, así como el apoyo a comunidades migrantes y etnias asentadas en la comisaría Miguel Alemán.</w:t>
      </w:r>
    </w:p>
    <w:p w14:paraId="3776323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4.8.1.5. Preservar fomentar y difundir el patrimonio cultural del municipio, que por sus cualidades constituyen valores de identidad y autenticidad de la sociedad hermosillense.</w:t>
      </w:r>
    </w:p>
    <w:p w14:paraId="4C71026E"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4.8.1.6. Solicitar e impulsar iniciativas de declaratorias de Patrimonio Cultural que, por sus valores históricos, culturales, artísticos y arquitectónicos, representen la identidad de los hermosillenses.</w:t>
      </w:r>
    </w:p>
    <w:p w14:paraId="2677145F"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4.8.1.7. Activar el Centro Cultural Ágora a través de una oferta diversa e inclusiva de actividades artísticas, educativas y sociales. </w:t>
      </w:r>
    </w:p>
    <w:p w14:paraId="41555542"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4.8.2. Fortalecer la profesionalización del sector cultural y la incorporación de las artes como elemento de transformación social, impulsando las empresas creativas como potenciador del desarrollo en el municipio, a través de apoyos y estímulos, coordinando esfuerzos con organizaciones públicas o privadas</w:t>
      </w:r>
    </w:p>
    <w:p w14:paraId="01B4892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05FECEF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4.8.2.1. Desarrollar un programa de capacitación dirigido a la comunidad artística ofreciendo talleres dirigidos en fortalecer y potenciar sus habilidades.</w:t>
      </w:r>
    </w:p>
    <w:p w14:paraId="1B57019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4.8.2.2. Impulsar la formación artística con la implementación de talleres que incorporan el arte como un elemento esencial para la formación integral de la infancia y la juventud.</w:t>
      </w:r>
    </w:p>
    <w:p w14:paraId="73E42A1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4.8.2.3. Colaborar con artistas, gestores y asociaciones e instancias públicas y privadas para contribuir con el fortalecimiento y desarrollo de la actividad cultural del municipio.</w:t>
      </w:r>
    </w:p>
    <w:p w14:paraId="132F090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4.8.2.4. Estimular la creación artística y el desarrollo cultural del municipio, para potenciar el desarrollo económico de las industrias creativas, así como la organización de encuentros de reflexión y presentaciones de diversas expresiones artísticas.</w:t>
      </w:r>
    </w:p>
    <w:p w14:paraId="7AA38658" w14:textId="09E8D686" w:rsidR="008511B6"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4.8.3. Fortalecer la Red de Bibliotecas Públicas Municipales como centros culturales dinámicos, accesibles e inclusivos que promuevan el fomento a la lectura y escritura creativa, el desarrollo cultural y la participación de toda la población hermosillense.</w:t>
      </w:r>
    </w:p>
    <w:p w14:paraId="658D4F69"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792C671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4.8.3.1. Implementar actividades permanentes de fomento a la lectura y escritura creativa a través de la Red de Bibliotecas Públicas Municipales.</w:t>
      </w:r>
    </w:p>
    <w:p w14:paraId="377C493B"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4.8.3.2. Programa de formación del personal bibliotecario en gestión de bibliotecas y centros de lectura. </w:t>
      </w:r>
    </w:p>
    <w:p w14:paraId="36122EC8"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lastRenderedPageBreak/>
        <w:t>Reto 4.9. Fortalecer la práctica deportiva recreativa y organizada en entornos seguros y accesibles tendientes a la mejora de la salud de la población, la igualdad de oportunidades y la inclusión social, combatiendo a través del fomento de hábitos de vida saludable el consumo de sustancias adictivas y la obesidad infantil.</w:t>
      </w:r>
    </w:p>
    <w:p w14:paraId="72997A08"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4.9.1. Promover el deporte como herramienta para el desarrollo integral de las personas, sirviéndole a las familias hermosillenses con espacios adecuados y oportunidades para el sano esparcimiento, la activación física y la práctica regulada de todas las disciplinas deportivas.</w:t>
      </w:r>
    </w:p>
    <w:p w14:paraId="04EB7AC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p>
    <w:p w14:paraId="58D1A6C4"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4.9.1.1. Ofrecer un programa de capacitación, certificación, educación e investigación conjunta con otras instituciones especializadas, que permita profesionalizar nuestra red de promotores del deporte y elevar la cultura del deporte de los hermosillenses.</w:t>
      </w:r>
    </w:p>
    <w:p w14:paraId="7DF786D0"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4.9.1.2. Fomentar y promover la activación física y el deporte recreativo en espacios públicos, especialmente enfocado en niñas, niños, adultos mayores, mujeres y personas con capacidades diferentes.</w:t>
      </w:r>
    </w:p>
    <w:p w14:paraId="1BFBE30F"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4.9.1.3. Impulsar el talento deportivo hermosillense mediante la aplicación de incentivos, premios, reconocimientos y el acompañamiento institucional a los deportistas destacados en cada categoría y disciplina.</w:t>
      </w:r>
    </w:p>
    <w:p w14:paraId="294275E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4.9.1.4. Establecer mecanismos claros para la organización y fomento de políticas deportivas que garanticen la igualdad de oportunidades, la competencia justa, y el respeto a los derechos humanos en apego al marco normativo vigente aplicable.</w:t>
      </w:r>
    </w:p>
    <w:p w14:paraId="75B2661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4.9.1.5. Aumentar la capacidad institucional para la promoción y desarrollo del deporte en todas sus categorías, a través de la diversificación de las fuentes de financiamiento.</w:t>
      </w:r>
    </w:p>
    <w:p w14:paraId="5802DF76"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Reto 4.10. Consolidar el desarrollo comunitario eficaz y transparente, mediante el fomento al bienestar social y humano de los grupos vulnerables con énfasis en la participación ciudadana y enfoque en derechos humanos, garantizando que todos los sectores prioritarios de la población sean incluidos en el impulso al fortalecimiento de sus capacidades para mejorar su calidad de vida.</w:t>
      </w:r>
    </w:p>
    <w:p w14:paraId="6A2CB35C" w14:textId="72B502D4" w:rsidR="009C2B4A" w:rsidRPr="00013F4A"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4.10.1. Consensuar la toma de decisiones gubernamentales con la participación de la sociedad, para la construcción de políticas públicas inclusivas, efectivas y representativas que promuevan un desarrollo sostenible, equitativo y sustentable para la población del municipio.</w:t>
      </w:r>
    </w:p>
    <w:p w14:paraId="18D49F19" w14:textId="2C4B91FF"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p>
    <w:p w14:paraId="2FE84C57"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4.10.1.1. Consolidar la constitución de los Comités Corresponsabilidad Ciudadana para la Equidad Social (CRECES), a través de capacitaciones que promuevan y empoderen la participación ciudadana.</w:t>
      </w:r>
    </w:p>
    <w:p w14:paraId="7DC564CE"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4.10.1.2. Organizar reuniones para la elaboración de propuestas del programa "Presupuesto CRECES".</w:t>
      </w:r>
    </w:p>
    <w:p w14:paraId="18B92810"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4.10.1.3. Realizar la jornada de votación del Programa de "Presupuesto CRECES".</w:t>
      </w:r>
    </w:p>
    <w:p w14:paraId="1242BB5E"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4.10.1.4. Incrementar la participación ciudadana en la Jornada de votación del Programa de "Presupuesto CRECES".</w:t>
      </w:r>
    </w:p>
    <w:p w14:paraId="251AB88D"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4.10.1.5. Monitorear el avance en la ejecución de los proyectos aprobados del programa de "Presupuesto CRECES".</w:t>
      </w:r>
    </w:p>
    <w:p w14:paraId="0D26C3EE"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lastRenderedPageBreak/>
        <w:t>4.10.1.6. Promover la participación ciudadana a través de la organización de eventos de atención.</w:t>
      </w:r>
    </w:p>
    <w:p w14:paraId="2337389C"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4.10.2. Dar cumplimiento a lo dispuesto en los lineamientos de operación del Fondo de Aportaciones para la Infraestructura Social Municipal (FAISMUN) publicados en DOF.</w:t>
      </w:r>
    </w:p>
    <w:p w14:paraId="1883868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08CC91F5"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4.10.2.1. Supervisar el proceso de planeación de los recursos que se destinarán a los proyectos de incidencia directa.</w:t>
      </w:r>
    </w:p>
    <w:p w14:paraId="2B081E3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4.10.2.2. Dar seguimiento al proceso de planeación de los recursos que se destinarán a los proyectos de incidencia complementaria.</w:t>
      </w:r>
    </w:p>
    <w:p w14:paraId="717C4FB7"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4.10.2.3. Integrar el Comité de Obra Pública para brindar certidumbre durante las etapas del proceso de ejecución de obra.</w:t>
      </w:r>
    </w:p>
    <w:p w14:paraId="490B059C"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4.10.2.4. Aplicar el CUIS (Cuestionario Único de Información Socioeconómica) para asegurar que las familias sean elegibles para la realización de obras de acuerdo a sus necesidades.</w:t>
      </w:r>
    </w:p>
    <w:p w14:paraId="46E2FB54"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4.10.3. Fomentar acciones para combatir el rezago educativo en el municipio de Hermosillo, así como mejorar la calidad de vida de sus habitantes.</w:t>
      </w:r>
    </w:p>
    <w:p w14:paraId="0CD08E3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p>
    <w:p w14:paraId="37EBF559"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4.10.3.1. Entregar estímulos educativos (Beca) a hijos de personal de Seguridad Pública y Bomberos.</w:t>
      </w:r>
    </w:p>
    <w:p w14:paraId="7230215C"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4.10.3.2. Ofrecer apoyo académico y psicológico a través de los Centros de Desarrollo Comunitario 'Hábitat'. </w:t>
      </w:r>
    </w:p>
    <w:p w14:paraId="3B7CB1F2"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4.10.3.3. Realizar actividades que promuevan el desarrollo comunitario a través de los Centros Hábitat.</w:t>
      </w:r>
    </w:p>
    <w:p w14:paraId="39C35D9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4.10.3.4. Implementar el Programa de Empleo Temporal y monitorear su desarrollo para optimizar su ejecución.</w:t>
      </w:r>
    </w:p>
    <w:p w14:paraId="16E9568D"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4.10.3.5. Instalar y construir los elementos necesarios para colocar los tanques de almacenamiento de agua potable en las viviendas.</w:t>
      </w:r>
    </w:p>
    <w:p w14:paraId="10AA0EA8"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4.10.3.6. Desarrollar un sistema informático de padrón único de beneficiarios de programas municipales.</w:t>
      </w:r>
    </w:p>
    <w:p w14:paraId="6700F5AE"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 xml:space="preserve">Estrategia 4.10.4. Favorecer el bienestar social y el desarrollo integral de las y los jóvenes del municipio de Hermosillo. </w:t>
      </w:r>
    </w:p>
    <w:p w14:paraId="2ADE0C5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238B862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4.10.4.1. Implementar acciones de formación y capacitación que promuevan el bienestar social en los jóvenes.</w:t>
      </w:r>
    </w:p>
    <w:p w14:paraId="3AA629E9"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4.10.4.2. Brindar asesoría personalizada para jóvenes que requieren orientación y apoyo para lograr su desarrollo personal. </w:t>
      </w:r>
    </w:p>
    <w:p w14:paraId="13A29BC6"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4.10.4.3. Realizar trabajo de vinculación a través de acuerdos y convenios con instituciones públicas, privadas y organizaciones de la sociedad civil para beneficio de las y los jóvenes del municipio de Hermosillo. </w:t>
      </w:r>
    </w:p>
    <w:p w14:paraId="603EC362"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lastRenderedPageBreak/>
        <w:t>4.10.4.4. Realizar eventos de reconocimiento a las y los jóvenes que diariamente desempeñan su vida de manera ejemplar en el desarrollo de la sociedad.</w:t>
      </w:r>
    </w:p>
    <w:p w14:paraId="62DA793D"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4.10.4.5. Promover la participación ciudadana de las y los jóvenes a través de la creación y seguimiento del "cabildo joven", exponiendo propuestas que contribuyan al desarrollo integral de la población joven de la Ciudad de Hermosillo.</w:t>
      </w:r>
    </w:p>
    <w:p w14:paraId="726A15EA"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 xml:space="preserve">Estrategia 4.10.5. Fomentar un desarrollo rural integral, sustentable e inclusivo en el municipio, con el objetivo de mejorar la calidad de vida de la población rural y contribuir a su desarrollo social. </w:t>
      </w:r>
    </w:p>
    <w:p w14:paraId="6AD79C67"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p>
    <w:p w14:paraId="6C9818EC"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4.10.5.1. Otorgar apoyo de transporte escolar en beneficio de los jóvenes estudiantes del área rural oriente del municipio de Hermosillo.</w:t>
      </w:r>
    </w:p>
    <w:p w14:paraId="2200F92B"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4.10.5.2. Realizar visitas de trabajo en cada delegación municipal para ofrecer una mejor atención, identificar problemáticas y gestionar posibles soluciones en coordinación con las instancias municipales.</w:t>
      </w:r>
    </w:p>
    <w:p w14:paraId="1A639B99"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 xml:space="preserve">4.10.5.3. Establecer y dar seguimiento al Consejo Municipal de Desarrollo Rural Sustentable del Municipio de Hermosillo (CMDRSMH), con el fin de definir prioridades, planificar y distribuir los recursos destinados por la federación, los estados y los municipios para apoyar inversiones productivas que mejoren la calidad de vida de los habitantes del área rural del municipio de Hermosillo. </w:t>
      </w:r>
    </w:p>
    <w:p w14:paraId="7A55002A"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4.10.5.4. Realizar de informes de las actividades y acciones que realizan los delegados municipales en sus comunidades rurales.</w:t>
      </w:r>
    </w:p>
    <w:p w14:paraId="29F44551"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 xml:space="preserve">Estrategia 4.10.6. Impulsar un desarrollo rural integral, sustentable e inclusivo en el municipio, con el objetivo de mejorar la calidad de vida de la población rural y fortalecer su seguridad alimentaria. </w:t>
      </w:r>
    </w:p>
    <w:p w14:paraId="1B140A39"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6AD8DF5B"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4.10.6.1. Coadyuvar con los gobiernos federal y estatal en la gestión de apoyos para el pueblo Seri en el marco de las atribuciones y capacidad presupuestal del Ayuntamiento de Hermosillo.</w:t>
      </w:r>
    </w:p>
    <w:p w14:paraId="1CFD9E2C"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4.10.6.2. Gestionar la habilitación y acondicionamiento de espacios públicos para la promoción del deporte, recreación social y cultural como un medio para la inclusión que ayuden a mejorar la calidad de vida en el medio rural.</w:t>
      </w:r>
    </w:p>
    <w:p w14:paraId="48A9B80E"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4.10.6.3. Otorgar artículos deportivos a adultos, jóvenes y niños que habitan en la Comisaria de Bahía de Kino para promover el desarrollo de actividades sanas y recreativas.</w:t>
      </w:r>
    </w:p>
    <w:p w14:paraId="3206C229"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4.10.6.4. Realizar visitas de trabajo en las delegaciones municipales asignadas para ofrecer una mejor atención, identificar las problemáticas y gestionar posibles soluciones, en colaboración con instancias federales, estatales y municipales.</w:t>
      </w:r>
    </w:p>
    <w:p w14:paraId="485366E7" w14:textId="77777777" w:rsidR="008D52BB" w:rsidRPr="008D52BB" w:rsidRDefault="008D52BB" w:rsidP="00B205BA">
      <w:pPr>
        <w:spacing w:after="120" w:line="240" w:lineRule="auto"/>
        <w:rPr>
          <w:rFonts w:eastAsiaTheme="minorHAnsi" w:cs="Arial"/>
          <w:b/>
          <w:bCs/>
          <w:kern w:val="2"/>
          <w:lang w:val="es-MX" w:bidi="ar-SA"/>
          <w14:ligatures w14:val="standardContextual"/>
        </w:rPr>
      </w:pPr>
      <w:r w:rsidRPr="008D52BB">
        <w:rPr>
          <w:rFonts w:eastAsiaTheme="minorHAnsi" w:cs="Arial"/>
          <w:b/>
          <w:bCs/>
          <w:kern w:val="2"/>
          <w:lang w:val="es-MX" w:bidi="ar-SA"/>
          <w14:ligatures w14:val="standardContextual"/>
        </w:rPr>
        <w:t>Estrategia 4.10.7. Promover iniciativas para reducir el rezago educativo en el municipio de Hermosillo y mejorar la calidad de vida de sus habitantes.</w:t>
      </w:r>
    </w:p>
    <w:p w14:paraId="429F74C0"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Líneas de acción:</w:t>
      </w:r>
      <w:r w:rsidRPr="008D52BB">
        <w:rPr>
          <w:rFonts w:eastAsiaTheme="minorHAnsi" w:cs="Arial"/>
          <w:kern w:val="2"/>
          <w:lang w:val="es-MX" w:bidi="ar-SA"/>
          <w14:ligatures w14:val="standardContextual"/>
        </w:rPr>
        <w:tab/>
      </w:r>
    </w:p>
    <w:p w14:paraId="7A4EB28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4.10.7.1. Gestionar la continuación de programa de transporte escolar gratuito en beneficio de jóvenes estudiantes que habitan en Comisaria de Miguel Alemán.</w:t>
      </w:r>
    </w:p>
    <w:p w14:paraId="3822E704"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lastRenderedPageBreak/>
        <w:t>4.10.7.2. Gestionar la habilitación y acondicionamiento de espacios públicos para la promoción del deporte, recreación social y cultural como un medio para la inclusión que ayuden a mejorar la calidad de vida en el medio rural.</w:t>
      </w:r>
    </w:p>
    <w:p w14:paraId="2E054A83"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4.10.7.3. Otorgar artículos deportivos a adultos, jóvenes y niños que habitan en Comisaria de Miguel Alemán para promover el desarrollo de actividades sanas y recreativas.</w:t>
      </w:r>
    </w:p>
    <w:p w14:paraId="1C085710"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4.10.7.4. Realizar visitas de trabajo en las delegaciones municipales asignadas para ofrecer una mejor atención, identificar las problemáticas y gestionar posibles soluciones, en colaboración con instancias federales, estatales y municipales.</w:t>
      </w:r>
    </w:p>
    <w:p w14:paraId="0700C1A1" w14:textId="77777777" w:rsidR="008D52BB" w:rsidRPr="008D52BB" w:rsidRDefault="008D52BB" w:rsidP="00B205BA">
      <w:pPr>
        <w:spacing w:after="120" w:line="240" w:lineRule="auto"/>
        <w:rPr>
          <w:rFonts w:eastAsiaTheme="minorHAnsi" w:cs="Arial"/>
          <w:kern w:val="2"/>
          <w:lang w:val="es-MX" w:bidi="ar-SA"/>
          <w14:ligatures w14:val="standardContextual"/>
        </w:rPr>
      </w:pPr>
      <w:r w:rsidRPr="008D52BB">
        <w:rPr>
          <w:rFonts w:eastAsiaTheme="minorHAnsi" w:cs="Arial"/>
          <w:kern w:val="2"/>
          <w:lang w:val="es-MX" w:bidi="ar-SA"/>
          <w14:ligatures w14:val="standardContextual"/>
        </w:rPr>
        <w:t>4.10.7.5. Facilitar el acceso a programas sociales y servicios básicos a las etnias del municipio de Hermosillo, en coordinación con las diversas dependencias de la administración municipal.</w:t>
      </w:r>
    </w:p>
    <w:p w14:paraId="4D594E73" w14:textId="77777777" w:rsidR="00A13BDA" w:rsidRDefault="00A13BDA" w:rsidP="00B205BA">
      <w:pPr>
        <w:spacing w:after="120" w:line="240" w:lineRule="auto"/>
        <w:ind w:left="-90"/>
        <w:rPr>
          <w:rFonts w:cs="Arial"/>
          <w:bCs/>
          <w:sz w:val="24"/>
          <w:szCs w:val="24"/>
          <w:lang w:val="es-MX"/>
        </w:rPr>
      </w:pPr>
    </w:p>
    <w:p w14:paraId="4AC9FCB4" w14:textId="77777777" w:rsidR="00A13BDA" w:rsidRDefault="00A13BDA" w:rsidP="00B205BA">
      <w:pPr>
        <w:spacing w:after="120" w:line="240" w:lineRule="auto"/>
        <w:ind w:left="-90"/>
        <w:rPr>
          <w:rFonts w:cs="Arial"/>
          <w:bCs/>
          <w:sz w:val="24"/>
          <w:szCs w:val="24"/>
          <w:lang w:val="es-MX"/>
        </w:rPr>
      </w:pPr>
    </w:p>
    <w:p w14:paraId="3F149A00" w14:textId="77777777" w:rsidR="00A13BDA" w:rsidRDefault="00A13BDA" w:rsidP="00B205BA">
      <w:pPr>
        <w:spacing w:after="120" w:line="240" w:lineRule="auto"/>
        <w:ind w:left="-90"/>
        <w:rPr>
          <w:rFonts w:cs="Arial"/>
          <w:bCs/>
          <w:sz w:val="24"/>
          <w:szCs w:val="24"/>
          <w:lang w:val="es-MX"/>
        </w:rPr>
      </w:pPr>
    </w:p>
    <w:p w14:paraId="79A20C23" w14:textId="77777777" w:rsidR="00A13BDA" w:rsidRDefault="00A13BDA" w:rsidP="00B205BA">
      <w:pPr>
        <w:spacing w:after="120" w:line="240" w:lineRule="auto"/>
        <w:ind w:left="-90"/>
        <w:rPr>
          <w:rFonts w:cs="Arial"/>
          <w:bCs/>
          <w:sz w:val="24"/>
          <w:szCs w:val="24"/>
          <w:lang w:val="es-MX"/>
        </w:rPr>
      </w:pPr>
    </w:p>
    <w:p w14:paraId="3BDA099A" w14:textId="77777777" w:rsidR="00A13BDA" w:rsidRDefault="00A13BDA" w:rsidP="00B205BA">
      <w:pPr>
        <w:spacing w:after="120" w:line="240" w:lineRule="auto"/>
        <w:ind w:left="-90"/>
        <w:rPr>
          <w:rFonts w:cs="Arial"/>
          <w:bCs/>
          <w:sz w:val="24"/>
          <w:szCs w:val="24"/>
          <w:lang w:val="es-MX"/>
        </w:rPr>
      </w:pPr>
    </w:p>
    <w:p w14:paraId="7B642D5E" w14:textId="77777777" w:rsidR="00A13BDA" w:rsidRPr="00D503D0" w:rsidRDefault="00A13BDA" w:rsidP="00B205BA">
      <w:pPr>
        <w:spacing w:after="120" w:line="240" w:lineRule="auto"/>
        <w:ind w:left="-90"/>
        <w:rPr>
          <w:rFonts w:cs="Arial"/>
          <w:bCs/>
          <w:sz w:val="24"/>
          <w:szCs w:val="24"/>
        </w:rPr>
      </w:pPr>
    </w:p>
    <w:p w14:paraId="304067BA" w14:textId="5944731A" w:rsidR="00DA27A7" w:rsidRDefault="00DA27A7" w:rsidP="00B205BA">
      <w:pPr>
        <w:spacing w:after="120" w:line="240" w:lineRule="auto"/>
        <w:ind w:left="-90"/>
        <w:rPr>
          <w:rFonts w:cs="Arial"/>
          <w:bCs/>
          <w:sz w:val="24"/>
          <w:szCs w:val="24"/>
        </w:rPr>
      </w:pPr>
    </w:p>
    <w:p w14:paraId="32008BD5" w14:textId="5A01269F" w:rsidR="00245580" w:rsidRDefault="00245580" w:rsidP="00B205BA">
      <w:pPr>
        <w:spacing w:after="120" w:line="240" w:lineRule="auto"/>
        <w:ind w:left="-90"/>
        <w:rPr>
          <w:rFonts w:cs="Arial"/>
          <w:bCs/>
          <w:sz w:val="24"/>
          <w:szCs w:val="24"/>
        </w:rPr>
      </w:pPr>
    </w:p>
    <w:p w14:paraId="79337D19" w14:textId="47531208" w:rsidR="00245580" w:rsidRDefault="00245580" w:rsidP="00B205BA">
      <w:pPr>
        <w:spacing w:after="120" w:line="240" w:lineRule="auto"/>
        <w:ind w:left="-90"/>
        <w:rPr>
          <w:rFonts w:cs="Arial"/>
          <w:bCs/>
          <w:sz w:val="24"/>
          <w:szCs w:val="24"/>
        </w:rPr>
      </w:pPr>
    </w:p>
    <w:p w14:paraId="4E9A0B66" w14:textId="77777777" w:rsidR="00013F4A" w:rsidRDefault="00013F4A" w:rsidP="00B205BA">
      <w:pPr>
        <w:spacing w:after="120" w:line="240" w:lineRule="auto"/>
        <w:ind w:left="-90"/>
        <w:rPr>
          <w:rFonts w:cs="Arial"/>
          <w:bCs/>
          <w:sz w:val="24"/>
          <w:szCs w:val="24"/>
        </w:rPr>
      </w:pPr>
    </w:p>
    <w:p w14:paraId="4A621EE3" w14:textId="77777777" w:rsidR="00013F4A" w:rsidRDefault="00013F4A" w:rsidP="00B205BA">
      <w:pPr>
        <w:spacing w:after="120" w:line="240" w:lineRule="auto"/>
        <w:ind w:left="-90"/>
        <w:rPr>
          <w:rFonts w:cs="Arial"/>
          <w:bCs/>
          <w:sz w:val="24"/>
          <w:szCs w:val="24"/>
        </w:rPr>
      </w:pPr>
    </w:p>
    <w:p w14:paraId="26EFB0C8" w14:textId="77777777" w:rsidR="00013F4A" w:rsidRDefault="00013F4A" w:rsidP="00B205BA">
      <w:pPr>
        <w:spacing w:after="120" w:line="240" w:lineRule="auto"/>
        <w:ind w:left="-90"/>
        <w:rPr>
          <w:rFonts w:cs="Arial"/>
          <w:bCs/>
          <w:sz w:val="24"/>
          <w:szCs w:val="24"/>
        </w:rPr>
      </w:pPr>
    </w:p>
    <w:p w14:paraId="27862727" w14:textId="77777777" w:rsidR="00013F4A" w:rsidRDefault="00013F4A" w:rsidP="00B205BA">
      <w:pPr>
        <w:spacing w:after="120" w:line="240" w:lineRule="auto"/>
        <w:ind w:left="-90"/>
        <w:rPr>
          <w:rFonts w:cs="Arial"/>
          <w:bCs/>
          <w:sz w:val="24"/>
          <w:szCs w:val="24"/>
        </w:rPr>
      </w:pPr>
    </w:p>
    <w:p w14:paraId="6149DF95" w14:textId="77777777" w:rsidR="00013F4A" w:rsidRDefault="00013F4A" w:rsidP="00B205BA">
      <w:pPr>
        <w:spacing w:after="120" w:line="240" w:lineRule="auto"/>
        <w:ind w:left="-90"/>
        <w:rPr>
          <w:rFonts w:cs="Arial"/>
          <w:bCs/>
          <w:sz w:val="24"/>
          <w:szCs w:val="24"/>
        </w:rPr>
      </w:pPr>
    </w:p>
    <w:p w14:paraId="7DBA86B8" w14:textId="77777777" w:rsidR="00013F4A" w:rsidRDefault="00013F4A" w:rsidP="00B205BA">
      <w:pPr>
        <w:spacing w:after="120" w:line="240" w:lineRule="auto"/>
        <w:ind w:left="-90"/>
        <w:rPr>
          <w:rFonts w:cs="Arial"/>
          <w:bCs/>
          <w:sz w:val="24"/>
          <w:szCs w:val="24"/>
        </w:rPr>
      </w:pPr>
    </w:p>
    <w:p w14:paraId="63D7285A" w14:textId="77777777" w:rsidR="00013F4A" w:rsidRDefault="00013F4A" w:rsidP="00B205BA">
      <w:pPr>
        <w:spacing w:after="120" w:line="240" w:lineRule="auto"/>
        <w:ind w:left="-90"/>
        <w:rPr>
          <w:rFonts w:cs="Arial"/>
          <w:bCs/>
          <w:sz w:val="24"/>
          <w:szCs w:val="24"/>
        </w:rPr>
      </w:pPr>
    </w:p>
    <w:p w14:paraId="713D7BD1" w14:textId="77777777" w:rsidR="00013F4A" w:rsidRDefault="00013F4A" w:rsidP="00B205BA">
      <w:pPr>
        <w:spacing w:after="120" w:line="240" w:lineRule="auto"/>
        <w:ind w:left="-90"/>
        <w:rPr>
          <w:rFonts w:cs="Arial"/>
          <w:bCs/>
          <w:sz w:val="24"/>
          <w:szCs w:val="24"/>
        </w:rPr>
      </w:pPr>
    </w:p>
    <w:p w14:paraId="204F6208" w14:textId="77777777" w:rsidR="00013F4A" w:rsidRDefault="00013F4A" w:rsidP="00B205BA">
      <w:pPr>
        <w:spacing w:after="120" w:line="240" w:lineRule="auto"/>
        <w:ind w:left="-90"/>
        <w:rPr>
          <w:rFonts w:cs="Arial"/>
          <w:bCs/>
          <w:sz w:val="24"/>
          <w:szCs w:val="24"/>
        </w:rPr>
      </w:pPr>
    </w:p>
    <w:p w14:paraId="1861511C" w14:textId="77777777" w:rsidR="00013F4A" w:rsidRDefault="00013F4A" w:rsidP="00B205BA">
      <w:pPr>
        <w:spacing w:after="120" w:line="240" w:lineRule="auto"/>
        <w:ind w:left="-90"/>
        <w:rPr>
          <w:rFonts w:cs="Arial"/>
          <w:bCs/>
          <w:sz w:val="24"/>
          <w:szCs w:val="24"/>
        </w:rPr>
      </w:pPr>
    </w:p>
    <w:p w14:paraId="61B576DC" w14:textId="77777777" w:rsidR="00013F4A" w:rsidRDefault="00013F4A" w:rsidP="00B205BA">
      <w:pPr>
        <w:spacing w:after="120" w:line="240" w:lineRule="auto"/>
        <w:ind w:left="-90"/>
        <w:rPr>
          <w:rFonts w:cs="Arial"/>
          <w:bCs/>
          <w:sz w:val="24"/>
          <w:szCs w:val="24"/>
        </w:rPr>
      </w:pPr>
    </w:p>
    <w:p w14:paraId="0255730A" w14:textId="77777777" w:rsidR="00013F4A" w:rsidRDefault="00013F4A" w:rsidP="00B205BA">
      <w:pPr>
        <w:spacing w:after="120" w:line="240" w:lineRule="auto"/>
        <w:ind w:left="-90"/>
        <w:rPr>
          <w:rFonts w:cs="Arial"/>
          <w:bCs/>
          <w:sz w:val="24"/>
          <w:szCs w:val="24"/>
        </w:rPr>
      </w:pPr>
    </w:p>
    <w:p w14:paraId="447062D6" w14:textId="77777777" w:rsidR="00013F4A" w:rsidRDefault="00013F4A" w:rsidP="00B205BA">
      <w:pPr>
        <w:spacing w:after="120" w:line="240" w:lineRule="auto"/>
        <w:ind w:left="-90"/>
        <w:rPr>
          <w:rFonts w:cs="Arial"/>
          <w:bCs/>
          <w:sz w:val="24"/>
          <w:szCs w:val="24"/>
        </w:rPr>
      </w:pPr>
    </w:p>
    <w:p w14:paraId="76C2843F" w14:textId="77777777" w:rsidR="00013F4A" w:rsidRDefault="00013F4A" w:rsidP="00B205BA">
      <w:pPr>
        <w:spacing w:after="120" w:line="240" w:lineRule="auto"/>
        <w:ind w:left="-90"/>
        <w:rPr>
          <w:rFonts w:cs="Arial"/>
          <w:bCs/>
          <w:sz w:val="24"/>
          <w:szCs w:val="24"/>
        </w:rPr>
      </w:pPr>
    </w:p>
    <w:p w14:paraId="1E16AA80" w14:textId="77777777" w:rsidR="00013F4A" w:rsidRDefault="00013F4A" w:rsidP="00B205BA">
      <w:pPr>
        <w:spacing w:after="120" w:line="240" w:lineRule="auto"/>
        <w:ind w:left="-90"/>
        <w:rPr>
          <w:rFonts w:cs="Arial"/>
          <w:bCs/>
          <w:sz w:val="24"/>
          <w:szCs w:val="24"/>
        </w:rPr>
      </w:pPr>
    </w:p>
    <w:p w14:paraId="554EBDD6" w14:textId="77777777" w:rsidR="00013F4A" w:rsidRDefault="00013F4A" w:rsidP="00B205BA">
      <w:pPr>
        <w:spacing w:after="120" w:line="240" w:lineRule="auto"/>
        <w:ind w:left="-90"/>
        <w:rPr>
          <w:rFonts w:cs="Arial"/>
          <w:bCs/>
          <w:sz w:val="24"/>
          <w:szCs w:val="24"/>
        </w:rPr>
      </w:pPr>
    </w:p>
    <w:p w14:paraId="47276D7A" w14:textId="77777777" w:rsidR="00013F4A" w:rsidRDefault="00013F4A" w:rsidP="00B205BA">
      <w:pPr>
        <w:spacing w:after="120" w:line="240" w:lineRule="auto"/>
        <w:ind w:left="-90"/>
        <w:rPr>
          <w:rFonts w:cs="Arial"/>
          <w:bCs/>
          <w:sz w:val="24"/>
          <w:szCs w:val="24"/>
        </w:rPr>
      </w:pPr>
    </w:p>
    <w:p w14:paraId="638526EA" w14:textId="77777777" w:rsidR="00013F4A" w:rsidRDefault="00013F4A" w:rsidP="00B205BA">
      <w:pPr>
        <w:spacing w:after="120" w:line="240" w:lineRule="auto"/>
        <w:ind w:left="-90"/>
        <w:rPr>
          <w:rFonts w:cs="Arial"/>
          <w:bCs/>
          <w:sz w:val="24"/>
          <w:szCs w:val="24"/>
        </w:rPr>
      </w:pPr>
    </w:p>
    <w:p w14:paraId="58E790C0" w14:textId="46A8F968" w:rsidR="00245580" w:rsidRDefault="00245580" w:rsidP="00B205BA">
      <w:pPr>
        <w:spacing w:after="120" w:line="240" w:lineRule="auto"/>
        <w:ind w:left="-90"/>
        <w:rPr>
          <w:rFonts w:cs="Arial"/>
          <w:bCs/>
          <w:sz w:val="24"/>
          <w:szCs w:val="24"/>
        </w:rPr>
      </w:pPr>
    </w:p>
    <w:p w14:paraId="5B74D496" w14:textId="2C0C551C" w:rsidR="00245580" w:rsidRDefault="00245580" w:rsidP="00B205BA">
      <w:pPr>
        <w:spacing w:after="120" w:line="240" w:lineRule="auto"/>
        <w:ind w:left="-90"/>
        <w:rPr>
          <w:rFonts w:cs="Arial"/>
          <w:bCs/>
          <w:sz w:val="24"/>
          <w:szCs w:val="24"/>
        </w:rPr>
      </w:pPr>
    </w:p>
    <w:p w14:paraId="7029EC1C" w14:textId="1353DF51" w:rsidR="00245580" w:rsidRDefault="00245580" w:rsidP="00B205BA">
      <w:pPr>
        <w:spacing w:after="120" w:line="240" w:lineRule="auto"/>
        <w:ind w:left="-90"/>
        <w:rPr>
          <w:rFonts w:cs="Arial"/>
          <w:bCs/>
          <w:sz w:val="24"/>
          <w:szCs w:val="24"/>
        </w:rPr>
      </w:pPr>
    </w:p>
    <w:p w14:paraId="13AAE4B2" w14:textId="1E1431F8" w:rsidR="00245580" w:rsidRDefault="00245580" w:rsidP="00B205BA">
      <w:pPr>
        <w:spacing w:after="120" w:line="240" w:lineRule="auto"/>
        <w:ind w:left="-90"/>
        <w:rPr>
          <w:rFonts w:cs="Arial"/>
          <w:bCs/>
          <w:sz w:val="24"/>
          <w:szCs w:val="24"/>
        </w:rPr>
      </w:pPr>
    </w:p>
    <w:p w14:paraId="07CDBE81" w14:textId="7B12124F" w:rsidR="00245580" w:rsidRDefault="00245580" w:rsidP="00B205BA">
      <w:pPr>
        <w:spacing w:after="120" w:line="240" w:lineRule="auto"/>
        <w:ind w:left="-90"/>
        <w:rPr>
          <w:rFonts w:cs="Arial"/>
          <w:bCs/>
          <w:sz w:val="24"/>
          <w:szCs w:val="24"/>
        </w:rPr>
      </w:pPr>
    </w:p>
    <w:p w14:paraId="118BE668" w14:textId="3F12D469" w:rsidR="00A007FA" w:rsidRDefault="00A007FA" w:rsidP="00B205BA">
      <w:pPr>
        <w:spacing w:after="120" w:line="240" w:lineRule="auto"/>
        <w:rPr>
          <w:rFonts w:cs="Arial"/>
          <w:bCs/>
          <w:sz w:val="24"/>
          <w:szCs w:val="24"/>
        </w:rPr>
      </w:pPr>
    </w:p>
    <w:p w14:paraId="4FC9182F" w14:textId="70B1A18E" w:rsidR="00A007FA" w:rsidRDefault="00A007FA" w:rsidP="00B205BA">
      <w:pPr>
        <w:spacing w:after="120" w:line="240" w:lineRule="auto"/>
        <w:rPr>
          <w:rFonts w:cs="Arial"/>
          <w:bCs/>
          <w:sz w:val="24"/>
          <w:szCs w:val="24"/>
        </w:rPr>
      </w:pPr>
    </w:p>
    <w:p w14:paraId="4D95C016" w14:textId="04F6FC63" w:rsidR="00245580" w:rsidRDefault="00245580" w:rsidP="00B205BA">
      <w:pPr>
        <w:spacing w:after="120" w:line="240" w:lineRule="auto"/>
        <w:rPr>
          <w:rFonts w:cs="Arial"/>
          <w:bCs/>
          <w:sz w:val="24"/>
          <w:szCs w:val="24"/>
        </w:rPr>
      </w:pPr>
    </w:p>
    <w:p w14:paraId="123D2720" w14:textId="4F12C333" w:rsidR="00245580" w:rsidRDefault="00245580" w:rsidP="00B205BA">
      <w:pPr>
        <w:spacing w:after="120" w:line="240" w:lineRule="auto"/>
        <w:ind w:left="-90"/>
        <w:rPr>
          <w:rFonts w:cs="Arial"/>
          <w:bCs/>
          <w:sz w:val="24"/>
          <w:szCs w:val="24"/>
        </w:rPr>
      </w:pPr>
    </w:p>
    <w:p w14:paraId="5388D2AC" w14:textId="3EFCED86" w:rsidR="00245580" w:rsidRPr="00A13BDA" w:rsidRDefault="006A6722" w:rsidP="007503ED">
      <w:pPr>
        <w:pStyle w:val="Ttulo2"/>
        <w:jc w:val="center"/>
      </w:pPr>
      <w:bookmarkStart w:id="19" w:name="_Toc187396123"/>
      <w:bookmarkStart w:id="20" w:name="OLE_LINK11"/>
      <w:bookmarkStart w:id="21" w:name="OLE_LINK12"/>
      <w:r w:rsidRPr="00A13BDA">
        <w:t>Frente 5. Hermosillo Ciudadano</w:t>
      </w:r>
      <w:r w:rsidR="006048AE" w:rsidRPr="00A13BDA">
        <w:t xml:space="preserve"> y Transparente</w:t>
      </w:r>
      <w:bookmarkEnd w:id="19"/>
    </w:p>
    <w:p w14:paraId="4306EC46" w14:textId="24AE9B8D" w:rsidR="00245580" w:rsidRPr="00A13BDA" w:rsidRDefault="006A6722" w:rsidP="00013F4A">
      <w:pPr>
        <w:spacing w:after="120" w:line="240" w:lineRule="auto"/>
        <w:ind w:left="-142"/>
        <w:rPr>
          <w:rFonts w:cs="Arial"/>
          <w:b/>
          <w:bCs/>
          <w:color w:val="000000" w:themeColor="text1"/>
          <w:sz w:val="36"/>
          <w:szCs w:val="36"/>
        </w:rPr>
      </w:pPr>
      <w:r w:rsidRPr="00A13BDA">
        <w:rPr>
          <w:rFonts w:eastAsiaTheme="majorEastAsia" w:cs="Arial"/>
          <w:b/>
          <w:bCs/>
          <w:color w:val="000000" w:themeColor="text1"/>
          <w:sz w:val="36"/>
          <w:szCs w:val="36"/>
        </w:rPr>
        <w:t xml:space="preserve">“Gobierno </w:t>
      </w:r>
      <w:r w:rsidR="006048AE" w:rsidRPr="00A13BDA">
        <w:rPr>
          <w:rFonts w:eastAsiaTheme="majorEastAsia" w:cs="Arial"/>
          <w:b/>
          <w:bCs/>
          <w:color w:val="000000" w:themeColor="text1"/>
          <w:sz w:val="36"/>
          <w:szCs w:val="36"/>
        </w:rPr>
        <w:t>cercano, abierto y confiable, con una gestión responsable y transparente de las finanzas públicas</w:t>
      </w:r>
      <w:r w:rsidRPr="00A13BDA">
        <w:rPr>
          <w:rFonts w:eastAsiaTheme="majorEastAsia" w:cs="Arial"/>
          <w:b/>
          <w:bCs/>
          <w:color w:val="000000" w:themeColor="text1"/>
          <w:sz w:val="36"/>
          <w:szCs w:val="36"/>
        </w:rPr>
        <w:t>”</w:t>
      </w:r>
    </w:p>
    <w:p w14:paraId="1DD76DCC" w14:textId="6C9BDEA8" w:rsidR="00245580" w:rsidRDefault="00245580" w:rsidP="00B205BA">
      <w:pPr>
        <w:spacing w:after="120" w:line="240" w:lineRule="auto"/>
        <w:ind w:left="-90"/>
        <w:rPr>
          <w:rFonts w:cs="Arial"/>
          <w:bCs/>
          <w:sz w:val="24"/>
          <w:szCs w:val="24"/>
        </w:rPr>
      </w:pPr>
    </w:p>
    <w:p w14:paraId="32B9D209" w14:textId="1DBB789E" w:rsidR="00245580" w:rsidRDefault="00245580" w:rsidP="00B205BA">
      <w:pPr>
        <w:spacing w:after="120" w:line="240" w:lineRule="auto"/>
        <w:ind w:left="-90"/>
        <w:rPr>
          <w:rFonts w:cs="Arial"/>
          <w:bCs/>
          <w:sz w:val="24"/>
          <w:szCs w:val="24"/>
        </w:rPr>
      </w:pPr>
    </w:p>
    <w:p w14:paraId="3C0EF49B" w14:textId="24CAA26C" w:rsidR="00245580" w:rsidRDefault="00245580" w:rsidP="00B205BA">
      <w:pPr>
        <w:spacing w:after="120" w:line="240" w:lineRule="auto"/>
        <w:ind w:left="-90"/>
        <w:rPr>
          <w:rFonts w:cs="Arial"/>
          <w:bCs/>
          <w:sz w:val="24"/>
          <w:szCs w:val="24"/>
        </w:rPr>
      </w:pPr>
    </w:p>
    <w:p w14:paraId="0CC5C0FC" w14:textId="19893C6C" w:rsidR="00245580" w:rsidRDefault="00245580" w:rsidP="00B205BA">
      <w:pPr>
        <w:spacing w:after="120" w:line="240" w:lineRule="auto"/>
        <w:ind w:left="-90"/>
        <w:rPr>
          <w:rFonts w:cs="Arial"/>
          <w:bCs/>
          <w:sz w:val="24"/>
          <w:szCs w:val="24"/>
        </w:rPr>
      </w:pPr>
    </w:p>
    <w:p w14:paraId="18408D52" w14:textId="4B1B94EA" w:rsidR="00245580" w:rsidRDefault="00245580" w:rsidP="00B205BA">
      <w:pPr>
        <w:spacing w:after="120" w:line="240" w:lineRule="auto"/>
        <w:rPr>
          <w:rFonts w:cs="Arial"/>
          <w:b/>
          <w:bCs/>
          <w:color w:val="A6A6A6" w:themeColor="background1" w:themeShade="A6"/>
          <w:sz w:val="24"/>
          <w:szCs w:val="24"/>
        </w:rPr>
      </w:pPr>
    </w:p>
    <w:p w14:paraId="7C2CB6F0" w14:textId="5A72FE89" w:rsidR="00245580" w:rsidRDefault="00245580" w:rsidP="00B205BA">
      <w:pPr>
        <w:spacing w:after="120" w:line="240" w:lineRule="auto"/>
        <w:rPr>
          <w:rFonts w:cs="Arial"/>
          <w:b/>
          <w:bCs/>
          <w:color w:val="A6A6A6" w:themeColor="background1" w:themeShade="A6"/>
          <w:sz w:val="24"/>
          <w:szCs w:val="24"/>
        </w:rPr>
      </w:pPr>
    </w:p>
    <w:p w14:paraId="089BB699" w14:textId="58B8C37A" w:rsidR="00245580" w:rsidRDefault="00245580" w:rsidP="00B205BA">
      <w:pPr>
        <w:spacing w:after="120" w:line="240" w:lineRule="auto"/>
        <w:rPr>
          <w:rFonts w:cs="Arial"/>
          <w:b/>
          <w:bCs/>
          <w:color w:val="A6A6A6" w:themeColor="background1" w:themeShade="A6"/>
          <w:sz w:val="24"/>
          <w:szCs w:val="24"/>
        </w:rPr>
      </w:pPr>
    </w:p>
    <w:p w14:paraId="43300C7E" w14:textId="77777777" w:rsidR="00245580" w:rsidRDefault="00245580" w:rsidP="00B205BA">
      <w:pPr>
        <w:spacing w:after="120" w:line="240" w:lineRule="auto"/>
        <w:rPr>
          <w:rFonts w:cs="Arial"/>
          <w:sz w:val="24"/>
          <w:szCs w:val="24"/>
        </w:rPr>
      </w:pPr>
    </w:p>
    <w:p w14:paraId="0EA31ED4" w14:textId="22E2531B" w:rsidR="00245580" w:rsidRDefault="00245580" w:rsidP="00B205BA">
      <w:pPr>
        <w:spacing w:after="120" w:line="240" w:lineRule="auto"/>
        <w:rPr>
          <w:rFonts w:cs="Arial"/>
          <w:sz w:val="24"/>
          <w:szCs w:val="24"/>
        </w:rPr>
      </w:pPr>
    </w:p>
    <w:p w14:paraId="5F9AED1A" w14:textId="5586E46C" w:rsidR="00245580" w:rsidRDefault="00245580" w:rsidP="00B205BA">
      <w:pPr>
        <w:spacing w:after="120" w:line="240" w:lineRule="auto"/>
        <w:rPr>
          <w:rFonts w:cs="Arial"/>
          <w:sz w:val="24"/>
          <w:szCs w:val="24"/>
        </w:rPr>
      </w:pPr>
    </w:p>
    <w:p w14:paraId="32F5E53E" w14:textId="1E68457B" w:rsidR="00245580" w:rsidRDefault="00245580" w:rsidP="00B205BA">
      <w:pPr>
        <w:spacing w:after="120" w:line="240" w:lineRule="auto"/>
        <w:rPr>
          <w:rFonts w:cs="Arial"/>
          <w:sz w:val="24"/>
          <w:szCs w:val="24"/>
        </w:rPr>
      </w:pPr>
    </w:p>
    <w:p w14:paraId="213E3DE0" w14:textId="6BD88B12" w:rsidR="00245580" w:rsidRDefault="00245580" w:rsidP="00B205BA">
      <w:pPr>
        <w:spacing w:after="120" w:line="240" w:lineRule="auto"/>
        <w:rPr>
          <w:rFonts w:cs="Arial"/>
          <w:sz w:val="24"/>
          <w:szCs w:val="24"/>
        </w:rPr>
      </w:pPr>
    </w:p>
    <w:p w14:paraId="6D5C236D" w14:textId="2FAB1431" w:rsidR="00245580" w:rsidRDefault="00245580" w:rsidP="00B205BA">
      <w:pPr>
        <w:spacing w:after="120" w:line="240" w:lineRule="auto"/>
        <w:rPr>
          <w:rFonts w:cs="Arial"/>
          <w:sz w:val="24"/>
          <w:szCs w:val="24"/>
        </w:rPr>
      </w:pPr>
    </w:p>
    <w:p w14:paraId="513258DE" w14:textId="138817EA" w:rsidR="005F6715" w:rsidRDefault="005F6715" w:rsidP="00B205BA">
      <w:pPr>
        <w:spacing w:after="120" w:line="240" w:lineRule="auto"/>
        <w:rPr>
          <w:rFonts w:cs="Arial"/>
          <w:sz w:val="24"/>
          <w:szCs w:val="24"/>
        </w:rPr>
      </w:pPr>
    </w:p>
    <w:p w14:paraId="742BD766" w14:textId="77777777" w:rsidR="00261A27" w:rsidRPr="008913E4" w:rsidRDefault="00261A27" w:rsidP="00B205BA">
      <w:pPr>
        <w:shd w:val="clear" w:color="auto" w:fill="FFFFFF"/>
        <w:spacing w:after="120" w:line="240" w:lineRule="auto"/>
        <w:rPr>
          <w:rFonts w:cstheme="minorHAnsi"/>
          <w:b/>
          <w:bCs/>
        </w:rPr>
      </w:pPr>
    </w:p>
    <w:p w14:paraId="2445EA8E" w14:textId="77777777" w:rsidR="00261A27" w:rsidRDefault="00261A27" w:rsidP="00B205BA">
      <w:pPr>
        <w:spacing w:before="100" w:beforeAutospacing="1" w:after="120" w:line="240" w:lineRule="auto"/>
        <w:ind w:left="1416"/>
        <w:rPr>
          <w:rFonts w:cs="Arial"/>
          <w:lang w:eastAsia="es-MX"/>
        </w:rPr>
      </w:pPr>
      <w:r w:rsidRPr="008913E4">
        <w:rPr>
          <w:rFonts w:cs="Arial"/>
          <w:lang w:eastAsia="es-MX"/>
        </w:rPr>
        <w:lastRenderedPageBreak/>
        <w:t xml:space="preserve">Fortalecer el modelo de gestión pública eficaz, incluyente y transparente, basado en el compromiso mutuo entre gobierno y ciudadanía para avanzar en la mejora de la calidad de vida de la población del municipio de Hermosillo y sus comunidades, con un enfoque proactivo, colaborativo y de construcción de redes de comunicación – acción que orienten las decisiones públicas a impactos significativos para la gente. </w:t>
      </w:r>
    </w:p>
    <w:p w14:paraId="29441976" w14:textId="77777777" w:rsidR="00261A27" w:rsidRPr="008913E4" w:rsidRDefault="00261A27" w:rsidP="00B205BA">
      <w:pPr>
        <w:spacing w:before="100" w:beforeAutospacing="1" w:after="120" w:line="240" w:lineRule="auto"/>
        <w:ind w:left="1416"/>
        <w:rPr>
          <w:rFonts w:cs="Arial"/>
          <w:lang w:eastAsia="es-MX"/>
        </w:rPr>
      </w:pPr>
      <w:r w:rsidRPr="008913E4">
        <w:rPr>
          <w:rFonts w:cs="Arial"/>
          <w:lang w:eastAsia="es-MX"/>
        </w:rPr>
        <w:t>Una gestión pública con evaluaciones sistemáticas</w:t>
      </w:r>
      <w:r>
        <w:rPr>
          <w:rFonts w:cs="Arial"/>
          <w:lang w:eastAsia="es-MX"/>
        </w:rPr>
        <w:t>,</w:t>
      </w:r>
      <w:r w:rsidRPr="008913E4">
        <w:rPr>
          <w:rFonts w:cs="Arial"/>
          <w:lang w:eastAsia="es-MX"/>
        </w:rPr>
        <w:t xml:space="preserve"> con mecanismos de rendición de cuentas que muestren los resultados del ejercicio gubernamental</w:t>
      </w:r>
      <w:r>
        <w:rPr>
          <w:rFonts w:cs="Arial"/>
          <w:lang w:eastAsia="es-MX"/>
        </w:rPr>
        <w:t>;</w:t>
      </w:r>
      <w:r w:rsidRPr="008913E4">
        <w:rPr>
          <w:rFonts w:cs="Arial"/>
          <w:lang w:eastAsia="es-MX"/>
        </w:rPr>
        <w:t xml:space="preserve"> </w:t>
      </w:r>
      <w:r>
        <w:rPr>
          <w:rFonts w:cs="Arial"/>
          <w:lang w:eastAsia="es-MX"/>
        </w:rPr>
        <w:t>que fomenten</w:t>
      </w:r>
      <w:r w:rsidRPr="008913E4">
        <w:rPr>
          <w:rFonts w:cs="Arial"/>
          <w:lang w:eastAsia="es-MX"/>
        </w:rPr>
        <w:t xml:space="preserve"> el uso responsable de los recursos municipales, el manejo responsable de la deuda pública y una gestión de procesos, trámites y servicios de calidad</w:t>
      </w:r>
      <w:r>
        <w:rPr>
          <w:rFonts w:cs="Arial"/>
          <w:lang w:eastAsia="es-MX"/>
        </w:rPr>
        <w:t>;</w:t>
      </w:r>
      <w:r w:rsidRPr="008913E4">
        <w:rPr>
          <w:rFonts w:cs="Arial"/>
          <w:lang w:eastAsia="es-MX"/>
        </w:rPr>
        <w:t xml:space="preserve"> que brinden seguridad y confianza en los ciudadanos</w:t>
      </w:r>
      <w:r>
        <w:rPr>
          <w:rFonts w:cs="Arial"/>
          <w:lang w:eastAsia="es-MX"/>
        </w:rPr>
        <w:t>;</w:t>
      </w:r>
      <w:r w:rsidRPr="008913E4">
        <w:rPr>
          <w:rFonts w:cs="Arial"/>
          <w:lang w:eastAsia="es-MX"/>
        </w:rPr>
        <w:t xml:space="preserve"> que impacten en el crecimiento sostenido y </w:t>
      </w:r>
      <w:r>
        <w:rPr>
          <w:rFonts w:cs="Arial"/>
          <w:lang w:eastAsia="es-MX"/>
        </w:rPr>
        <w:t xml:space="preserve">en </w:t>
      </w:r>
      <w:r w:rsidRPr="008913E4">
        <w:rPr>
          <w:rFonts w:cs="Arial"/>
          <w:lang w:eastAsia="es-MX"/>
        </w:rPr>
        <w:t xml:space="preserve">la economía de las familias de Hermosillo.  </w:t>
      </w:r>
    </w:p>
    <w:p w14:paraId="34918F79" w14:textId="1E9FBFEA" w:rsidR="00261A27" w:rsidRPr="00013F4A" w:rsidRDefault="00261A27" w:rsidP="00B205BA">
      <w:pPr>
        <w:spacing w:before="100" w:beforeAutospacing="1" w:after="120" w:line="240" w:lineRule="auto"/>
        <w:rPr>
          <w:rFonts w:cs="Arial"/>
          <w:b/>
          <w:bCs/>
          <w:sz w:val="24"/>
          <w:szCs w:val="24"/>
          <w:lang w:eastAsia="es-MX"/>
        </w:rPr>
      </w:pPr>
      <w:r w:rsidRPr="00013F4A">
        <w:rPr>
          <w:rFonts w:cs="Arial"/>
          <w:b/>
          <w:bCs/>
          <w:sz w:val="24"/>
          <w:szCs w:val="24"/>
          <w:lang w:eastAsia="es-MX"/>
        </w:rPr>
        <w:t>Análisis situacional</w:t>
      </w:r>
      <w:r w:rsidR="00013F4A" w:rsidRPr="00013F4A">
        <w:rPr>
          <w:rFonts w:cs="Arial"/>
          <w:b/>
          <w:bCs/>
          <w:sz w:val="24"/>
          <w:szCs w:val="24"/>
          <w:lang w:eastAsia="es-MX"/>
        </w:rPr>
        <w:t>.</w:t>
      </w:r>
    </w:p>
    <w:p w14:paraId="7CAC2BE5" w14:textId="3CFFD0CF" w:rsidR="00013F4A" w:rsidRDefault="00261A27" w:rsidP="00B205BA">
      <w:pPr>
        <w:spacing w:before="100" w:beforeAutospacing="1" w:after="120" w:line="240" w:lineRule="auto"/>
        <w:rPr>
          <w:rFonts w:cs="Arial"/>
          <w:lang w:eastAsia="es-ES_tradnl"/>
        </w:rPr>
      </w:pPr>
      <w:r w:rsidRPr="008913E4">
        <w:rPr>
          <w:rFonts w:cs="Arial"/>
          <w:lang w:eastAsia="es-ES_tradnl"/>
        </w:rPr>
        <w:t xml:space="preserve">En un entorno dinámico y complejo, México se posiciona como la 13ª economía más grande del mundo, según </w:t>
      </w:r>
      <w:r w:rsidRPr="00261A27">
        <w:rPr>
          <w:rFonts w:cs="Arial"/>
          <w:lang w:eastAsia="es-ES_tradnl"/>
        </w:rPr>
        <w:t>el Fondo Monetario Internacional</w:t>
      </w:r>
      <w:r w:rsidRPr="00261A27">
        <w:rPr>
          <w:rStyle w:val="Refdenotaalpie"/>
          <w:rFonts w:cs="Arial"/>
          <w:lang w:eastAsia="es-ES_tradnl"/>
        </w:rPr>
        <w:footnoteReference w:id="47"/>
      </w:r>
      <w:r w:rsidRPr="00261A27">
        <w:rPr>
          <w:rFonts w:cs="Arial"/>
          <w:lang w:eastAsia="es-ES_tradnl"/>
        </w:rPr>
        <w:t>, lo</w:t>
      </w:r>
      <w:r w:rsidRPr="008913E4">
        <w:rPr>
          <w:rFonts w:cs="Arial"/>
          <w:lang w:eastAsia="es-ES_tradnl"/>
        </w:rPr>
        <w:t xml:space="preserve"> que presenta diversos desafíos para la atracción de inversiones y la generación de condiciones favorables para el desarrollo económico</w:t>
      </w:r>
      <w:r>
        <w:rPr>
          <w:rFonts w:cs="Arial"/>
          <w:lang w:eastAsia="es-ES_tradnl"/>
        </w:rPr>
        <w:t>. Dentro del país,</w:t>
      </w:r>
      <w:r w:rsidRPr="008913E4">
        <w:rPr>
          <w:rFonts w:cs="Arial"/>
          <w:lang w:eastAsia="es-ES_tradnl"/>
        </w:rPr>
        <w:t xml:space="preserve"> el estado de Sonora </w:t>
      </w:r>
      <w:r w:rsidR="007503ED">
        <w:rPr>
          <w:rFonts w:cs="Arial"/>
          <w:lang w:eastAsia="es-ES_tradnl"/>
        </w:rPr>
        <w:t xml:space="preserve">ha mantenido un </w:t>
      </w:r>
      <w:r w:rsidRPr="008913E4">
        <w:rPr>
          <w:rFonts w:cs="Arial"/>
          <w:lang w:eastAsia="es-ES_tradnl"/>
        </w:rPr>
        <w:t xml:space="preserve">crecimiento sostenido. </w:t>
      </w:r>
    </w:p>
    <w:p w14:paraId="786069C2" w14:textId="13AD5BEC" w:rsidR="00261A27" w:rsidRPr="008913E4" w:rsidRDefault="00261A27" w:rsidP="00B205BA">
      <w:pPr>
        <w:spacing w:before="100" w:beforeAutospacing="1" w:after="120" w:line="240" w:lineRule="auto"/>
        <w:rPr>
          <w:rFonts w:cs="Arial"/>
          <w:lang w:eastAsia="es-ES_tradnl"/>
        </w:rPr>
      </w:pPr>
      <w:r w:rsidRPr="008913E4">
        <w:rPr>
          <w:rFonts w:cs="Arial"/>
          <w:lang w:eastAsia="es-ES_tradnl"/>
        </w:rPr>
        <w:t xml:space="preserve">Hermosillo, </w:t>
      </w:r>
      <w:r>
        <w:rPr>
          <w:rFonts w:cs="Arial"/>
          <w:lang w:eastAsia="es-ES_tradnl"/>
        </w:rPr>
        <w:t xml:space="preserve">la </w:t>
      </w:r>
      <w:r w:rsidRPr="008913E4">
        <w:rPr>
          <w:rFonts w:cs="Arial"/>
          <w:lang w:eastAsia="es-ES_tradnl"/>
        </w:rPr>
        <w:t xml:space="preserve">ciudad capital </w:t>
      </w:r>
      <w:r>
        <w:rPr>
          <w:rFonts w:cs="Arial"/>
          <w:lang w:eastAsia="es-ES_tradnl"/>
        </w:rPr>
        <w:t xml:space="preserve">del estado, </w:t>
      </w:r>
      <w:r w:rsidRPr="008913E4">
        <w:rPr>
          <w:rFonts w:cs="Arial"/>
          <w:lang w:eastAsia="es-ES_tradnl"/>
        </w:rPr>
        <w:t>se destaca como la cuarta mejor ciudad para vivir en el país, solo detrás de Durango, Mazatlán y Culiacán</w:t>
      </w:r>
      <w:r>
        <w:rPr>
          <w:rFonts w:cs="Arial"/>
          <w:lang w:eastAsia="es-ES_tradnl"/>
        </w:rPr>
        <w:t>,</w:t>
      </w:r>
      <w:r w:rsidRPr="008913E4">
        <w:rPr>
          <w:rFonts w:cs="Arial"/>
          <w:lang w:eastAsia="es-ES_tradnl"/>
        </w:rPr>
        <w:t xml:space="preserve"> de acuerdo </w:t>
      </w:r>
      <w:r>
        <w:rPr>
          <w:rFonts w:cs="Arial"/>
          <w:lang w:eastAsia="es-ES_tradnl"/>
        </w:rPr>
        <w:t xml:space="preserve">con </w:t>
      </w:r>
      <w:r w:rsidRPr="008913E4">
        <w:rPr>
          <w:rFonts w:cs="Arial"/>
          <w:lang w:eastAsia="es-ES_tradnl"/>
        </w:rPr>
        <w:t xml:space="preserve">datos del Instituto Mexicano </w:t>
      </w:r>
      <w:r>
        <w:rPr>
          <w:rFonts w:cs="Arial"/>
          <w:lang w:eastAsia="es-ES_tradnl"/>
        </w:rPr>
        <w:t>para</w:t>
      </w:r>
      <w:r w:rsidRPr="008913E4">
        <w:rPr>
          <w:rFonts w:cs="Arial"/>
          <w:lang w:eastAsia="es-ES_tradnl"/>
        </w:rPr>
        <w:t xml:space="preserve"> la Competitividad (IMCO)</w:t>
      </w:r>
      <w:r>
        <w:rPr>
          <w:rStyle w:val="Refdenotaalpie"/>
          <w:rFonts w:cs="Arial"/>
          <w:lang w:eastAsia="es-ES_tradnl"/>
        </w:rPr>
        <w:footnoteReference w:id="48"/>
      </w:r>
      <w:r w:rsidRPr="008913E4">
        <w:rPr>
          <w:rFonts w:cs="Arial"/>
          <w:lang w:eastAsia="es-ES_tradnl"/>
        </w:rPr>
        <w:t xml:space="preserve"> y del INEGI</w:t>
      </w:r>
      <w:r>
        <w:rPr>
          <w:rStyle w:val="Refdenotaalpie"/>
          <w:rFonts w:cs="Arial"/>
          <w:lang w:eastAsia="es-ES_tradnl"/>
        </w:rPr>
        <w:footnoteReference w:id="49"/>
      </w:r>
      <w:r w:rsidRPr="008913E4">
        <w:rPr>
          <w:rFonts w:cs="Arial"/>
          <w:lang w:eastAsia="es-ES_tradnl"/>
        </w:rPr>
        <w:t>. La gestión cuidadosa y estratégica de sus autoridades ha permitido avanzar en temas cruciales para la competitividad. Sin embargo, es fundamental reforzar esta plataforma de crecimiento mediante estrategias diversificadas que fomenten la innovación y el desarrollo sostenible a largo plazo, asegurando así un entorno propicio para la inversión y el bienestar de sus habitantes.</w:t>
      </w:r>
    </w:p>
    <w:p w14:paraId="25C6319D" w14:textId="77777777" w:rsidR="00261A27" w:rsidRDefault="00261A27" w:rsidP="00B205BA">
      <w:pPr>
        <w:spacing w:before="100" w:beforeAutospacing="1" w:after="120" w:line="240" w:lineRule="auto"/>
        <w:rPr>
          <w:rFonts w:cs="Arial"/>
          <w:lang w:eastAsia="es-ES_tradnl"/>
        </w:rPr>
      </w:pPr>
      <w:r w:rsidRPr="008913E4">
        <w:rPr>
          <w:rFonts w:cs="Arial"/>
          <w:lang w:eastAsia="es-ES_tradnl"/>
        </w:rPr>
        <w:t xml:space="preserve">La planeación estratégica con visión de largo plazo de esta </w:t>
      </w:r>
      <w:r>
        <w:rPr>
          <w:rFonts w:cs="Arial"/>
          <w:lang w:eastAsia="es-ES_tradnl"/>
        </w:rPr>
        <w:t>a</w:t>
      </w:r>
      <w:r w:rsidRPr="008913E4">
        <w:rPr>
          <w:rFonts w:cs="Arial"/>
          <w:lang w:eastAsia="es-ES_tradnl"/>
        </w:rPr>
        <w:t>dministración</w:t>
      </w:r>
      <w:r>
        <w:rPr>
          <w:rFonts w:cs="Arial"/>
          <w:lang w:eastAsia="es-ES_tradnl"/>
        </w:rPr>
        <w:t xml:space="preserve"> municipal</w:t>
      </w:r>
      <w:r w:rsidRPr="008913E4">
        <w:rPr>
          <w:rFonts w:cs="Arial"/>
          <w:lang w:eastAsia="es-ES_tradnl"/>
        </w:rPr>
        <w:t xml:space="preserve">, aunada a la oportunidad de la reflexión y la continuidad, permite considerar los resultados del </w:t>
      </w:r>
      <w:r w:rsidRPr="00261A27">
        <w:rPr>
          <w:rFonts w:cs="Arial"/>
          <w:lang w:eastAsia="es-ES_tradnl"/>
        </w:rPr>
        <w:t>Plan Municipal de Desarrollo Hermosillo 2022-2024</w:t>
      </w:r>
      <w:r w:rsidRPr="00261A27">
        <w:rPr>
          <w:rStyle w:val="Refdenotaalpie"/>
          <w:rFonts w:cs="Arial"/>
          <w:lang w:eastAsia="es-ES_tradnl"/>
        </w:rPr>
        <w:footnoteReference w:id="50"/>
      </w:r>
      <w:r w:rsidRPr="00261A27">
        <w:rPr>
          <w:rFonts w:cs="Arial"/>
          <w:lang w:eastAsia="es-ES_tradnl"/>
        </w:rPr>
        <w:t xml:space="preserve"> y de la Agenda de Largo Plazo Hermosillo 2022-2033</w:t>
      </w:r>
      <w:r w:rsidRPr="00AF0E23">
        <w:rPr>
          <w:rStyle w:val="Refdenotaalpie"/>
          <w:rFonts w:cs="Arial"/>
          <w:lang w:eastAsia="es-ES_tradnl"/>
        </w:rPr>
        <w:footnoteReference w:id="51"/>
      </w:r>
      <w:r w:rsidRPr="008913E4">
        <w:rPr>
          <w:rFonts w:cs="Arial"/>
          <w:lang w:eastAsia="es-ES_tradnl"/>
        </w:rPr>
        <w:t xml:space="preserve"> como la plataforma para retomar la dirección y el rumbo a partir de la evaluación de las políticas públicas y de las acciones del per</w:t>
      </w:r>
      <w:r>
        <w:rPr>
          <w:rFonts w:cs="Arial"/>
          <w:lang w:eastAsia="es-ES_tradnl"/>
        </w:rPr>
        <w:t>í</w:t>
      </w:r>
      <w:r w:rsidRPr="008913E4">
        <w:rPr>
          <w:rFonts w:cs="Arial"/>
          <w:lang w:eastAsia="es-ES_tradnl"/>
        </w:rPr>
        <w:t>odo de gobierno</w:t>
      </w:r>
      <w:r>
        <w:rPr>
          <w:rFonts w:cs="Arial"/>
          <w:lang w:eastAsia="es-ES_tradnl"/>
        </w:rPr>
        <w:t xml:space="preserve"> municipal</w:t>
      </w:r>
      <w:r w:rsidRPr="008913E4">
        <w:rPr>
          <w:rFonts w:cs="Arial"/>
          <w:lang w:eastAsia="es-ES_tradnl"/>
        </w:rPr>
        <w:t xml:space="preserve"> 2021-2024. </w:t>
      </w:r>
    </w:p>
    <w:p w14:paraId="3F6A0A82" w14:textId="439348ED" w:rsidR="00261A27" w:rsidRPr="008913E4" w:rsidRDefault="00261A27" w:rsidP="00B205BA">
      <w:pPr>
        <w:spacing w:before="100" w:beforeAutospacing="1" w:after="120" w:line="240" w:lineRule="auto"/>
        <w:rPr>
          <w:rFonts w:cs="Arial"/>
          <w:lang w:eastAsia="es-ES_tradnl"/>
        </w:rPr>
      </w:pPr>
      <w:r w:rsidRPr="008913E4">
        <w:rPr>
          <w:rFonts w:cs="Arial"/>
          <w:lang w:eastAsia="es-ES_tradnl"/>
        </w:rPr>
        <w:t>Es importante mencionar que</w:t>
      </w:r>
      <w:r>
        <w:rPr>
          <w:rFonts w:cs="Arial"/>
          <w:lang w:eastAsia="es-ES_tradnl"/>
        </w:rPr>
        <w:t>,</w:t>
      </w:r>
      <w:r w:rsidRPr="008913E4">
        <w:rPr>
          <w:rFonts w:cs="Arial"/>
          <w:lang w:eastAsia="es-ES_tradnl"/>
        </w:rPr>
        <w:t xml:space="preserve"> de los 110 indicadores establecidos en la Agenda, 83 tuvieron movimiento</w:t>
      </w:r>
      <w:r>
        <w:rPr>
          <w:rFonts w:cs="Arial"/>
          <w:lang w:eastAsia="es-ES_tradnl"/>
        </w:rPr>
        <w:t>,</w:t>
      </w:r>
      <w:r w:rsidRPr="008913E4">
        <w:rPr>
          <w:rFonts w:cs="Arial"/>
          <w:lang w:eastAsia="es-ES_tradnl"/>
        </w:rPr>
        <w:t xml:space="preserve"> según las fuentes oficiales de </w:t>
      </w:r>
      <w:r>
        <w:rPr>
          <w:rFonts w:cs="Arial"/>
          <w:lang w:eastAsia="es-ES_tradnl"/>
        </w:rPr>
        <w:t>estos:</w:t>
      </w:r>
      <w:r w:rsidRPr="008913E4">
        <w:rPr>
          <w:rFonts w:cs="Arial"/>
          <w:lang w:eastAsia="es-ES_tradnl"/>
        </w:rPr>
        <w:t xml:space="preserve"> 70 de ellos han obtenido resultados positivos respecto de su línea base, lo que equivale</w:t>
      </w:r>
      <w:r>
        <w:rPr>
          <w:rFonts w:cs="Arial"/>
          <w:lang w:eastAsia="es-ES_tradnl"/>
        </w:rPr>
        <w:t>,</w:t>
      </w:r>
      <w:r w:rsidRPr="008913E4">
        <w:rPr>
          <w:rFonts w:cs="Arial"/>
          <w:lang w:eastAsia="es-ES_tradnl"/>
        </w:rPr>
        <w:t xml:space="preserve"> en términos porcentuales</w:t>
      </w:r>
      <w:r>
        <w:rPr>
          <w:rFonts w:cs="Arial"/>
          <w:lang w:eastAsia="es-ES_tradnl"/>
        </w:rPr>
        <w:t>,</w:t>
      </w:r>
      <w:r w:rsidRPr="008913E4">
        <w:rPr>
          <w:rFonts w:cs="Arial"/>
          <w:lang w:eastAsia="es-ES_tradnl"/>
        </w:rPr>
        <w:t xml:space="preserve"> </w:t>
      </w:r>
      <w:r w:rsidRPr="008913E4">
        <w:rPr>
          <w:rFonts w:cs="Arial"/>
          <w:lang w:eastAsia="es-ES_tradnl"/>
        </w:rPr>
        <w:lastRenderedPageBreak/>
        <w:t xml:space="preserve">a </w:t>
      </w:r>
      <w:r w:rsidRPr="00261A27">
        <w:rPr>
          <w:rFonts w:cs="Arial"/>
          <w:lang w:eastAsia="es-ES_tradnl"/>
        </w:rPr>
        <w:t>83.3 %</w:t>
      </w:r>
      <w:r>
        <w:rPr>
          <w:rFonts w:cs="Arial"/>
          <w:b/>
          <w:bCs/>
          <w:lang w:eastAsia="es-ES_tradnl"/>
        </w:rPr>
        <w:t xml:space="preserve"> </w:t>
      </w:r>
      <w:r>
        <w:rPr>
          <w:rFonts w:cs="Arial"/>
          <w:lang w:eastAsia="es-ES_tradnl"/>
        </w:rPr>
        <w:t>del total de indicadores.</w:t>
      </w:r>
      <w:r w:rsidRPr="008913E4">
        <w:rPr>
          <w:rFonts w:cs="Arial"/>
          <w:lang w:eastAsia="es-ES_tradnl"/>
        </w:rPr>
        <w:t xml:space="preserve"> </w:t>
      </w:r>
      <w:r>
        <w:rPr>
          <w:rFonts w:cs="Arial"/>
          <w:lang w:eastAsia="es-ES_tradnl"/>
        </w:rPr>
        <w:t>Este</w:t>
      </w:r>
      <w:r w:rsidRPr="008913E4">
        <w:rPr>
          <w:rFonts w:cs="Arial"/>
          <w:lang w:eastAsia="es-ES_tradnl"/>
        </w:rPr>
        <w:t xml:space="preserve"> avance significativo </w:t>
      </w:r>
      <w:r>
        <w:rPr>
          <w:rFonts w:cs="Arial"/>
          <w:lang w:eastAsia="es-ES_tradnl"/>
        </w:rPr>
        <w:t>se refleja</w:t>
      </w:r>
      <w:r w:rsidRPr="008913E4">
        <w:rPr>
          <w:rFonts w:cs="Arial"/>
          <w:lang w:eastAsia="es-ES_tradnl"/>
        </w:rPr>
        <w:t xml:space="preserve"> en la vida cotidiana de la comunidad</w:t>
      </w:r>
      <w:r>
        <w:rPr>
          <w:rFonts w:cs="Arial"/>
          <w:lang w:eastAsia="es-ES_tradnl"/>
        </w:rPr>
        <w:t>.</w:t>
      </w:r>
      <w:r w:rsidRPr="008913E4">
        <w:rPr>
          <w:rFonts w:cs="Arial"/>
          <w:lang w:eastAsia="es-ES_tradnl"/>
        </w:rPr>
        <w:t xml:space="preserve"> Sin embargo, el contexto y las coyunturas actuales exigen una reflexión constante y la necesidad de replantear el rumbo para abordar los nuevos desafíos </w:t>
      </w:r>
      <w:r>
        <w:rPr>
          <w:rFonts w:cs="Arial"/>
          <w:lang w:eastAsia="es-ES_tradnl"/>
        </w:rPr>
        <w:t xml:space="preserve">actuales y futuros </w:t>
      </w:r>
      <w:r w:rsidRPr="008913E4">
        <w:rPr>
          <w:rFonts w:cs="Arial"/>
          <w:lang w:eastAsia="es-ES_tradnl"/>
        </w:rPr>
        <w:t xml:space="preserve">que enfrenta el municipio. </w:t>
      </w:r>
    </w:p>
    <w:p w14:paraId="6221F916" w14:textId="77777777" w:rsidR="00261A27" w:rsidRPr="008913E4" w:rsidRDefault="00261A27" w:rsidP="00B205BA">
      <w:pPr>
        <w:spacing w:before="100" w:beforeAutospacing="1" w:after="120" w:line="240" w:lineRule="auto"/>
        <w:rPr>
          <w:rFonts w:cs="Arial"/>
          <w:lang w:eastAsia="es-ES_tradnl"/>
        </w:rPr>
      </w:pPr>
      <w:r w:rsidRPr="008913E4">
        <w:rPr>
          <w:rFonts w:cs="Arial"/>
          <w:lang w:eastAsia="es-ES_tradnl"/>
        </w:rPr>
        <w:t xml:space="preserve">Hermosillo </w:t>
      </w:r>
      <w:r>
        <w:rPr>
          <w:rFonts w:cs="Arial"/>
          <w:lang w:eastAsia="es-ES_tradnl"/>
        </w:rPr>
        <w:t>tiene ante sí</w:t>
      </w:r>
      <w:r w:rsidRPr="008913E4">
        <w:rPr>
          <w:rFonts w:cs="Arial"/>
          <w:lang w:eastAsia="es-ES_tradnl"/>
        </w:rPr>
        <w:t xml:space="preserve"> diversos retos, </w:t>
      </w:r>
      <w:r>
        <w:rPr>
          <w:rFonts w:cs="Arial"/>
          <w:lang w:eastAsia="es-ES_tradnl"/>
        </w:rPr>
        <w:t xml:space="preserve">tales </w:t>
      </w:r>
      <w:r w:rsidRPr="008913E4">
        <w:rPr>
          <w:rFonts w:cs="Arial"/>
          <w:lang w:eastAsia="es-ES_tradnl"/>
        </w:rPr>
        <w:t xml:space="preserve">como el rápido crecimiento de su población </w:t>
      </w:r>
      <w:r>
        <w:rPr>
          <w:rFonts w:cs="Arial"/>
          <w:lang w:eastAsia="es-ES_tradnl"/>
        </w:rPr>
        <w:t>y</w:t>
      </w:r>
      <w:r w:rsidRPr="008913E4">
        <w:rPr>
          <w:rFonts w:cs="Arial"/>
          <w:lang w:eastAsia="es-ES_tradnl"/>
        </w:rPr>
        <w:t xml:space="preserve"> la expansión de su huella urbana y ecológica. Estos factores generarán una mayor demanda de infraestructura, servicios, recursos energéticos y naturales, entre otros</w:t>
      </w:r>
      <w:r>
        <w:rPr>
          <w:rFonts w:cs="Arial"/>
          <w:lang w:eastAsia="es-ES_tradnl"/>
        </w:rPr>
        <w:t>.</w:t>
      </w:r>
      <w:r w:rsidRPr="008913E4">
        <w:rPr>
          <w:rFonts w:cs="Arial"/>
          <w:lang w:eastAsia="es-ES_tradnl"/>
        </w:rPr>
        <w:t xml:space="preserve"> Las decisiones estratégicas plasmadas en este </w:t>
      </w:r>
      <w:r>
        <w:rPr>
          <w:rFonts w:cs="Arial"/>
          <w:lang w:eastAsia="es-ES_tradnl"/>
        </w:rPr>
        <w:t>p</w:t>
      </w:r>
      <w:r w:rsidRPr="008913E4">
        <w:rPr>
          <w:rFonts w:cs="Arial"/>
          <w:lang w:eastAsia="es-ES_tradnl"/>
        </w:rPr>
        <w:t xml:space="preserve">lan tienen </w:t>
      </w:r>
      <w:r>
        <w:rPr>
          <w:rFonts w:cs="Arial"/>
          <w:lang w:eastAsia="es-ES_tradnl"/>
        </w:rPr>
        <w:t>por</w:t>
      </w:r>
      <w:r w:rsidRPr="008913E4">
        <w:rPr>
          <w:rFonts w:cs="Arial"/>
          <w:lang w:eastAsia="es-ES_tradnl"/>
        </w:rPr>
        <w:t xml:space="preserve"> objetivo avanzar en la solución de </w:t>
      </w:r>
      <w:r>
        <w:rPr>
          <w:rFonts w:cs="Arial"/>
          <w:lang w:eastAsia="es-ES_tradnl"/>
        </w:rPr>
        <w:t xml:space="preserve">estas y otras </w:t>
      </w:r>
      <w:r w:rsidRPr="008913E4">
        <w:rPr>
          <w:rFonts w:cs="Arial"/>
          <w:lang w:eastAsia="es-ES_tradnl"/>
        </w:rPr>
        <w:t>problemáticas coyunturales y estructurales.</w:t>
      </w:r>
    </w:p>
    <w:p w14:paraId="4C5DB55B" w14:textId="77777777" w:rsidR="00261A27" w:rsidRPr="008913E4" w:rsidRDefault="00261A27" w:rsidP="00B205BA">
      <w:pPr>
        <w:spacing w:before="100" w:beforeAutospacing="1" w:after="120" w:line="240" w:lineRule="auto"/>
        <w:rPr>
          <w:rFonts w:cs="Arial"/>
          <w:lang w:eastAsia="es-ES_tradnl"/>
        </w:rPr>
      </w:pPr>
      <w:r>
        <w:rPr>
          <w:rFonts w:cs="Arial"/>
          <w:lang w:eastAsia="es-ES_tradnl"/>
        </w:rPr>
        <w:t>En este esfuerzo, es vital la</w:t>
      </w:r>
      <w:r w:rsidRPr="008913E4">
        <w:rPr>
          <w:rFonts w:cs="Arial"/>
          <w:lang w:eastAsia="es-ES_tradnl"/>
        </w:rPr>
        <w:t xml:space="preserve"> participación de la academia, el sector productivo y la sociedad civil</w:t>
      </w:r>
      <w:r>
        <w:rPr>
          <w:rFonts w:cs="Arial"/>
          <w:lang w:eastAsia="es-ES_tradnl"/>
        </w:rPr>
        <w:t>,</w:t>
      </w:r>
      <w:r w:rsidRPr="008913E4">
        <w:rPr>
          <w:rFonts w:cs="Arial"/>
          <w:lang w:eastAsia="es-ES_tradnl"/>
        </w:rPr>
        <w:t xml:space="preserve"> actores fundamentales </w:t>
      </w:r>
      <w:r>
        <w:rPr>
          <w:rFonts w:cs="Arial"/>
          <w:lang w:eastAsia="es-ES_tradnl"/>
        </w:rPr>
        <w:t>en</w:t>
      </w:r>
      <w:r w:rsidRPr="008913E4">
        <w:rPr>
          <w:rFonts w:cs="Arial"/>
          <w:lang w:eastAsia="es-ES_tradnl"/>
        </w:rPr>
        <w:t xml:space="preserve"> la construcción de sinergias y equilibrios que orienten la acción gubernamental hacia un desarrollo integral y sustentable del municipio. Con este enfoque, se ha trabajado con responsabilidad en la promoción del municipio de Hermosillo tanto </w:t>
      </w:r>
      <w:r>
        <w:rPr>
          <w:rFonts w:cs="Arial"/>
          <w:lang w:eastAsia="es-ES_tradnl"/>
        </w:rPr>
        <w:t>en el plano</w:t>
      </w:r>
      <w:r w:rsidRPr="008913E4">
        <w:rPr>
          <w:rFonts w:cs="Arial"/>
          <w:lang w:eastAsia="es-ES_tradnl"/>
        </w:rPr>
        <w:t xml:space="preserve"> nacional como internacional, con el objetivo de atraer inversiones que impulsen </w:t>
      </w:r>
      <w:r>
        <w:rPr>
          <w:rFonts w:cs="Arial"/>
          <w:lang w:eastAsia="es-ES_tradnl"/>
        </w:rPr>
        <w:t>su</w:t>
      </w:r>
      <w:r w:rsidRPr="008913E4">
        <w:rPr>
          <w:rFonts w:cs="Arial"/>
          <w:lang w:eastAsia="es-ES_tradnl"/>
        </w:rPr>
        <w:t xml:space="preserve"> desarrollo económico y ofrezcan beneficios tangibles a corto y largo plazo para </w:t>
      </w:r>
      <w:r>
        <w:rPr>
          <w:rFonts w:cs="Arial"/>
          <w:lang w:eastAsia="es-ES_tradnl"/>
        </w:rPr>
        <w:t>sus habitantes</w:t>
      </w:r>
      <w:r w:rsidRPr="008913E4">
        <w:rPr>
          <w:rFonts w:cs="Arial"/>
          <w:lang w:eastAsia="es-ES_tradnl"/>
        </w:rPr>
        <w:t>.</w:t>
      </w:r>
    </w:p>
    <w:p w14:paraId="42034145" w14:textId="77777777" w:rsidR="00261A27" w:rsidRPr="008913E4" w:rsidRDefault="00261A27" w:rsidP="00B205BA">
      <w:pPr>
        <w:spacing w:before="100" w:beforeAutospacing="1" w:after="120" w:line="240" w:lineRule="auto"/>
        <w:rPr>
          <w:rFonts w:cs="Arial"/>
          <w:lang w:eastAsia="es-ES_tradnl"/>
        </w:rPr>
      </w:pPr>
      <w:r w:rsidRPr="008913E4">
        <w:rPr>
          <w:rFonts w:cs="Arial"/>
          <w:lang w:eastAsia="es-ES_tradnl"/>
        </w:rPr>
        <w:t>Esta administración se ha caracterizado por la conformación de un gobierno ciudadano que escucha y atiende las prioridades de su población y propicia la participación activa de la ciudadanía en las decisiones públicas</w:t>
      </w:r>
      <w:r>
        <w:rPr>
          <w:rFonts w:cs="Arial"/>
          <w:lang w:eastAsia="es-ES_tradnl"/>
        </w:rPr>
        <w:t>. Esto</w:t>
      </w:r>
      <w:r w:rsidRPr="008913E4">
        <w:rPr>
          <w:rFonts w:cs="Arial"/>
          <w:lang w:eastAsia="es-ES_tradnl"/>
        </w:rPr>
        <w:t xml:space="preserve"> ha favorecido la evolución de una cultura cívica que ha rendido frutos </w:t>
      </w:r>
      <w:r>
        <w:rPr>
          <w:rFonts w:cs="Arial"/>
          <w:lang w:eastAsia="es-ES_tradnl"/>
        </w:rPr>
        <w:t>gracias al</w:t>
      </w:r>
      <w:r w:rsidRPr="008913E4">
        <w:rPr>
          <w:rFonts w:cs="Arial"/>
          <w:lang w:eastAsia="es-ES_tradnl"/>
        </w:rPr>
        <w:t xml:space="preserve"> trabajo conjunto y colaborativo de estos últimos años, el cual se seguirá fortaleciendo.</w:t>
      </w:r>
    </w:p>
    <w:p w14:paraId="11EBCC69" w14:textId="77777777" w:rsidR="00261A27" w:rsidRPr="008913E4" w:rsidRDefault="00261A27" w:rsidP="00B205BA">
      <w:pPr>
        <w:spacing w:before="100" w:beforeAutospacing="1" w:after="120" w:line="240" w:lineRule="auto"/>
        <w:rPr>
          <w:rFonts w:cs="Arial"/>
          <w:lang w:eastAsia="es-ES_tradnl"/>
        </w:rPr>
      </w:pPr>
      <w:r w:rsidRPr="008913E4">
        <w:rPr>
          <w:rFonts w:cs="Arial"/>
          <w:lang w:eastAsia="es-ES_tradnl"/>
        </w:rPr>
        <w:t>Una de las premisas de la actual administración para promover la generación de riqueza es la optimización de los recursos, con la instrumentación de inversiones productivas que generen activos para la prosperidad y el desarrollo</w:t>
      </w:r>
      <w:r>
        <w:rPr>
          <w:rFonts w:cs="Arial"/>
          <w:lang w:eastAsia="es-ES_tradnl"/>
        </w:rPr>
        <w:t>.</w:t>
      </w:r>
      <w:r w:rsidRPr="008913E4">
        <w:rPr>
          <w:rFonts w:cs="Arial"/>
          <w:lang w:eastAsia="es-ES_tradnl"/>
        </w:rPr>
        <w:t xml:space="preserve"> Para ello, el Programa de Fortalecimiento Financiero 2.0 se constituye como un elemento primordial e ineludible para la sostenibilidad financiera municipal.</w:t>
      </w:r>
    </w:p>
    <w:p w14:paraId="1E0D918B" w14:textId="77777777" w:rsidR="00261A27" w:rsidRPr="008913E4" w:rsidRDefault="00261A27" w:rsidP="00B205BA">
      <w:pPr>
        <w:spacing w:before="100" w:beforeAutospacing="1" w:after="120" w:line="240" w:lineRule="auto"/>
        <w:rPr>
          <w:rFonts w:cs="Arial"/>
          <w:lang w:eastAsia="es-ES_tradnl"/>
        </w:rPr>
      </w:pPr>
      <w:r>
        <w:rPr>
          <w:rFonts w:cs="Arial"/>
          <w:lang w:eastAsia="es-ES_tradnl"/>
        </w:rPr>
        <w:t>Mediante</w:t>
      </w:r>
      <w:r w:rsidRPr="008913E4">
        <w:rPr>
          <w:rFonts w:cs="Arial"/>
          <w:lang w:eastAsia="es-ES_tradnl"/>
        </w:rPr>
        <w:t xml:space="preserve"> este </w:t>
      </w:r>
      <w:r>
        <w:rPr>
          <w:rFonts w:cs="Arial"/>
          <w:lang w:eastAsia="es-ES_tradnl"/>
        </w:rPr>
        <w:t>p</w:t>
      </w:r>
      <w:r w:rsidRPr="008913E4">
        <w:rPr>
          <w:rFonts w:cs="Arial"/>
          <w:lang w:eastAsia="es-ES_tradnl"/>
        </w:rPr>
        <w:t>rograma</w:t>
      </w:r>
      <w:r>
        <w:rPr>
          <w:rFonts w:cs="Arial"/>
          <w:lang w:eastAsia="es-ES_tradnl"/>
        </w:rPr>
        <w:t>,</w:t>
      </w:r>
      <w:r w:rsidRPr="008913E4">
        <w:rPr>
          <w:rFonts w:cs="Arial"/>
          <w:lang w:eastAsia="es-ES_tradnl"/>
        </w:rPr>
        <w:t xml:space="preserve"> se </w:t>
      </w:r>
      <w:r>
        <w:rPr>
          <w:rFonts w:cs="Arial"/>
          <w:lang w:eastAsia="es-ES_tradnl"/>
        </w:rPr>
        <w:t>implementarán</w:t>
      </w:r>
      <w:r w:rsidRPr="008913E4">
        <w:rPr>
          <w:rFonts w:cs="Arial"/>
          <w:lang w:eastAsia="es-ES_tradnl"/>
        </w:rPr>
        <w:t xml:space="preserve"> acciones y proyectos para mejorar la eficiencia recaudatoria y la cobranza, así como la actualización de la base catastral</w:t>
      </w:r>
      <w:r>
        <w:rPr>
          <w:rFonts w:cs="Arial"/>
          <w:lang w:eastAsia="es-ES_tradnl"/>
        </w:rPr>
        <w:t xml:space="preserve"> del municipio. </w:t>
      </w:r>
      <w:r w:rsidRPr="008913E4">
        <w:rPr>
          <w:rFonts w:cs="Arial"/>
          <w:lang w:eastAsia="es-ES_tradnl"/>
        </w:rPr>
        <w:t>Además</w:t>
      </w:r>
      <w:r>
        <w:rPr>
          <w:rFonts w:cs="Arial"/>
          <w:lang w:eastAsia="es-ES_tradnl"/>
        </w:rPr>
        <w:t>,</w:t>
      </w:r>
      <w:r w:rsidRPr="008913E4">
        <w:rPr>
          <w:rFonts w:cs="Arial"/>
          <w:lang w:eastAsia="es-ES_tradnl"/>
        </w:rPr>
        <w:t xml:space="preserve"> se otorgarán incentivos para fomentar una cultura contributiva en los ciudadanos y con </w:t>
      </w:r>
      <w:r>
        <w:rPr>
          <w:rFonts w:cs="Arial"/>
          <w:lang w:eastAsia="es-ES_tradnl"/>
        </w:rPr>
        <w:t>ello</w:t>
      </w:r>
      <w:r w:rsidRPr="008913E4">
        <w:rPr>
          <w:rFonts w:cs="Arial"/>
          <w:lang w:eastAsia="es-ES_tradnl"/>
        </w:rPr>
        <w:t xml:space="preserve"> reducir la dependencia financiera del estado y de la federación, </w:t>
      </w:r>
      <w:r>
        <w:rPr>
          <w:rFonts w:cs="Arial"/>
          <w:lang w:eastAsia="es-ES_tradnl"/>
        </w:rPr>
        <w:t xml:space="preserve">así como </w:t>
      </w:r>
      <w:r w:rsidRPr="008913E4">
        <w:rPr>
          <w:rFonts w:cs="Arial"/>
          <w:lang w:eastAsia="es-ES_tradnl"/>
        </w:rPr>
        <w:t xml:space="preserve">asegurar la correcta aplicación de los recursos y </w:t>
      </w:r>
      <w:r>
        <w:rPr>
          <w:rFonts w:cs="Arial"/>
          <w:lang w:eastAsia="es-ES_tradnl"/>
        </w:rPr>
        <w:t>acceder a</w:t>
      </w:r>
      <w:r w:rsidRPr="008913E4">
        <w:rPr>
          <w:rFonts w:cs="Arial"/>
          <w:lang w:eastAsia="es-ES_tradnl"/>
        </w:rPr>
        <w:t xml:space="preserve"> mejores condiciones crediticias. </w:t>
      </w:r>
    </w:p>
    <w:p w14:paraId="09953A38" w14:textId="77777777" w:rsidR="00261A27" w:rsidRPr="008913E4" w:rsidRDefault="00261A27" w:rsidP="00B205BA">
      <w:pPr>
        <w:spacing w:before="100" w:beforeAutospacing="1" w:after="120" w:line="240" w:lineRule="auto"/>
        <w:rPr>
          <w:rFonts w:cs="Arial"/>
          <w:lang w:eastAsia="es-ES_tradnl"/>
        </w:rPr>
      </w:pPr>
      <w:r w:rsidRPr="008913E4">
        <w:rPr>
          <w:rFonts w:cs="Arial"/>
          <w:lang w:eastAsia="es-ES_tradnl"/>
        </w:rPr>
        <w:t xml:space="preserve">De igual forma, </w:t>
      </w:r>
      <w:r>
        <w:rPr>
          <w:rFonts w:cs="Arial"/>
          <w:lang w:eastAsia="es-ES_tradnl"/>
        </w:rPr>
        <w:t>seguiremos avanzando en la consolidación de</w:t>
      </w:r>
      <w:r w:rsidRPr="008913E4">
        <w:rPr>
          <w:rFonts w:cs="Arial"/>
          <w:lang w:eastAsia="es-ES_tradnl"/>
        </w:rPr>
        <w:t xml:space="preserve"> la automatización y sistematización de los procesos para </w:t>
      </w:r>
      <w:r>
        <w:rPr>
          <w:rFonts w:cs="Arial"/>
          <w:lang w:eastAsia="es-ES_tradnl"/>
        </w:rPr>
        <w:t>optimizar la prestación de</w:t>
      </w:r>
      <w:r w:rsidRPr="008913E4">
        <w:rPr>
          <w:rFonts w:cs="Arial"/>
          <w:lang w:eastAsia="es-ES_tradnl"/>
        </w:rPr>
        <w:t xml:space="preserve"> servicios al ciudadano</w:t>
      </w:r>
      <w:r>
        <w:rPr>
          <w:rFonts w:cs="Arial"/>
          <w:lang w:eastAsia="es-ES_tradnl"/>
        </w:rPr>
        <w:t>,</w:t>
      </w:r>
      <w:r w:rsidRPr="008913E4">
        <w:rPr>
          <w:rFonts w:cs="Arial"/>
          <w:lang w:eastAsia="es-ES_tradnl"/>
        </w:rPr>
        <w:t xml:space="preserve"> </w:t>
      </w:r>
      <w:r>
        <w:rPr>
          <w:rFonts w:cs="Arial"/>
          <w:lang w:eastAsia="es-ES_tradnl"/>
        </w:rPr>
        <w:t>que se traduzcan</w:t>
      </w:r>
      <w:r w:rsidRPr="008913E4">
        <w:rPr>
          <w:rFonts w:cs="Arial"/>
          <w:lang w:eastAsia="es-ES_tradnl"/>
        </w:rPr>
        <w:t xml:space="preserve"> en recursos para beneficio de la ciudad y sus habitantes</w:t>
      </w:r>
      <w:r>
        <w:rPr>
          <w:rFonts w:cs="Arial"/>
          <w:lang w:eastAsia="es-ES_tradnl"/>
        </w:rPr>
        <w:t>. Esto,</w:t>
      </w:r>
      <w:r w:rsidRPr="008913E4">
        <w:rPr>
          <w:rFonts w:cs="Arial"/>
          <w:lang w:eastAsia="es-ES_tradnl"/>
        </w:rPr>
        <w:t xml:space="preserve"> </w:t>
      </w:r>
      <w:r>
        <w:rPr>
          <w:rFonts w:cs="Arial"/>
          <w:lang w:eastAsia="es-ES_tradnl"/>
        </w:rPr>
        <w:t>expresado en más</w:t>
      </w:r>
      <w:r w:rsidRPr="008913E4">
        <w:rPr>
          <w:rFonts w:cs="Arial"/>
          <w:lang w:eastAsia="es-ES_tradnl"/>
        </w:rPr>
        <w:t xml:space="preserve"> obra pública, </w:t>
      </w:r>
      <w:r>
        <w:rPr>
          <w:rFonts w:cs="Arial"/>
          <w:lang w:eastAsia="es-ES_tradnl"/>
        </w:rPr>
        <w:t xml:space="preserve">mayor </w:t>
      </w:r>
      <w:r w:rsidRPr="008913E4">
        <w:rPr>
          <w:rFonts w:cs="Arial"/>
          <w:lang w:eastAsia="es-ES_tradnl"/>
        </w:rPr>
        <w:t>seguridad</w:t>
      </w:r>
      <w:r>
        <w:rPr>
          <w:rFonts w:cs="Arial"/>
          <w:lang w:eastAsia="es-ES_tradnl"/>
        </w:rPr>
        <w:t xml:space="preserve"> y</w:t>
      </w:r>
      <w:r w:rsidRPr="008913E4">
        <w:rPr>
          <w:rFonts w:cs="Arial"/>
          <w:lang w:eastAsia="es-ES_tradnl"/>
        </w:rPr>
        <w:t xml:space="preserve"> salud, </w:t>
      </w:r>
      <w:r>
        <w:rPr>
          <w:rFonts w:cs="Arial"/>
          <w:lang w:eastAsia="es-ES_tradnl"/>
        </w:rPr>
        <w:t xml:space="preserve">y un </w:t>
      </w:r>
      <w:r w:rsidRPr="008913E4">
        <w:rPr>
          <w:rFonts w:cs="Arial"/>
          <w:lang w:eastAsia="es-ES_tradnl"/>
        </w:rPr>
        <w:t>medio ambiente</w:t>
      </w:r>
      <w:r>
        <w:rPr>
          <w:rFonts w:cs="Arial"/>
          <w:lang w:eastAsia="es-ES_tradnl"/>
        </w:rPr>
        <w:t xml:space="preserve"> cuidado y limpio, propicio para el desarrollo integral del municipio y sus habitantes</w:t>
      </w:r>
      <w:r w:rsidRPr="008913E4">
        <w:rPr>
          <w:rFonts w:cs="Arial"/>
          <w:lang w:eastAsia="es-ES_tradnl"/>
        </w:rPr>
        <w:t>, entre otros</w:t>
      </w:r>
      <w:r>
        <w:rPr>
          <w:rFonts w:cs="Arial"/>
          <w:lang w:eastAsia="es-ES_tradnl"/>
        </w:rPr>
        <w:t>. Anima a todo lo anterior la procuración de</w:t>
      </w:r>
      <w:r w:rsidRPr="008913E4">
        <w:rPr>
          <w:rFonts w:cs="Arial"/>
          <w:lang w:eastAsia="es-ES_tradnl"/>
        </w:rPr>
        <w:t xml:space="preserve"> un desarrollo sustentable e inclusivo de una sociedad que requiere fortalecer sus capacidades como motor del crecimiento económico. </w:t>
      </w:r>
    </w:p>
    <w:p w14:paraId="3CE73D14" w14:textId="77777777" w:rsidR="00261A27" w:rsidRPr="008913E4" w:rsidRDefault="00261A27" w:rsidP="00B205BA">
      <w:pPr>
        <w:spacing w:before="100" w:beforeAutospacing="1" w:after="120" w:line="240" w:lineRule="auto"/>
        <w:rPr>
          <w:rFonts w:cs="Arial"/>
          <w:lang w:eastAsia="es-ES_tradnl"/>
        </w:rPr>
      </w:pPr>
      <w:r>
        <w:rPr>
          <w:rFonts w:cs="Arial"/>
          <w:lang w:eastAsia="es-ES_tradnl"/>
        </w:rPr>
        <w:t xml:space="preserve">En este esfuerzo, es crucial seguir mejorando </w:t>
      </w:r>
      <w:r w:rsidRPr="008913E4">
        <w:rPr>
          <w:rFonts w:cs="Arial"/>
          <w:lang w:eastAsia="es-ES_tradnl"/>
        </w:rPr>
        <w:t>la capacidad recaudatoria del municipio</w:t>
      </w:r>
      <w:r>
        <w:rPr>
          <w:rFonts w:cs="Arial"/>
          <w:lang w:eastAsia="es-ES_tradnl"/>
        </w:rPr>
        <w:t xml:space="preserve"> de manera equilibrada,</w:t>
      </w:r>
      <w:r w:rsidRPr="008913E4">
        <w:rPr>
          <w:rFonts w:cs="Arial"/>
          <w:lang w:eastAsia="es-ES_tradnl"/>
        </w:rPr>
        <w:t xml:space="preserve"> que no afecte las finanzas de los contribuyentes</w:t>
      </w:r>
      <w:r>
        <w:rPr>
          <w:rFonts w:cs="Arial"/>
          <w:lang w:eastAsia="es-ES_tradnl"/>
        </w:rPr>
        <w:t>. Esta es</w:t>
      </w:r>
      <w:r w:rsidRPr="008913E4">
        <w:rPr>
          <w:rFonts w:cs="Arial"/>
          <w:lang w:eastAsia="es-ES_tradnl"/>
        </w:rPr>
        <w:t xml:space="preserve"> la base para </w:t>
      </w:r>
      <w:r>
        <w:rPr>
          <w:rFonts w:cs="Arial"/>
          <w:lang w:eastAsia="es-ES_tradnl"/>
        </w:rPr>
        <w:t>alcanzar</w:t>
      </w:r>
      <w:r w:rsidRPr="008913E4">
        <w:rPr>
          <w:rFonts w:cs="Arial"/>
          <w:lang w:eastAsia="es-ES_tradnl"/>
        </w:rPr>
        <w:t xml:space="preserve"> mayor autonomía financiera y sostener</w:t>
      </w:r>
      <w:r>
        <w:rPr>
          <w:rFonts w:cs="Arial"/>
          <w:lang w:eastAsia="es-ES_tradnl"/>
        </w:rPr>
        <w:t>la</w:t>
      </w:r>
      <w:r w:rsidRPr="008913E4">
        <w:rPr>
          <w:rFonts w:cs="Arial"/>
          <w:lang w:eastAsia="es-ES_tradnl"/>
        </w:rPr>
        <w:t xml:space="preserve"> en el mediano y largo plazo</w:t>
      </w:r>
      <w:r>
        <w:rPr>
          <w:rFonts w:cs="Arial"/>
          <w:lang w:eastAsia="es-ES_tradnl"/>
        </w:rPr>
        <w:t>. Por ello</w:t>
      </w:r>
      <w:r w:rsidRPr="008913E4">
        <w:rPr>
          <w:rFonts w:cs="Arial"/>
          <w:lang w:eastAsia="es-ES_tradnl"/>
        </w:rPr>
        <w:t>, debe ser un proceso planificado y organizado</w:t>
      </w:r>
      <w:r>
        <w:rPr>
          <w:rFonts w:cs="Arial"/>
          <w:lang w:eastAsia="es-ES_tradnl"/>
        </w:rPr>
        <w:t>,</w:t>
      </w:r>
      <w:r w:rsidRPr="008913E4">
        <w:rPr>
          <w:rFonts w:cs="Arial"/>
          <w:lang w:eastAsia="es-ES_tradnl"/>
        </w:rPr>
        <w:t xml:space="preserve"> </w:t>
      </w:r>
      <w:r>
        <w:rPr>
          <w:rFonts w:cs="Arial"/>
          <w:lang w:eastAsia="es-ES_tradnl"/>
        </w:rPr>
        <w:t>sin perder de vista el objetivo primordial de</w:t>
      </w:r>
      <w:r w:rsidRPr="008913E4">
        <w:rPr>
          <w:rFonts w:cs="Arial"/>
          <w:lang w:eastAsia="es-ES_tradnl"/>
        </w:rPr>
        <w:t xml:space="preserve"> mejorar la calidad de vida de la población.</w:t>
      </w:r>
    </w:p>
    <w:p w14:paraId="55BCAC1A" w14:textId="77777777" w:rsidR="00013F4A" w:rsidRDefault="00261A27" w:rsidP="00B205BA">
      <w:pPr>
        <w:spacing w:before="100" w:beforeAutospacing="1" w:after="120" w:line="240" w:lineRule="auto"/>
        <w:rPr>
          <w:rFonts w:cs="Arial"/>
          <w:lang w:eastAsia="es-ES_tradnl"/>
        </w:rPr>
      </w:pPr>
      <w:r w:rsidRPr="008913E4">
        <w:rPr>
          <w:rFonts w:cs="Arial"/>
          <w:lang w:eastAsia="es-ES_tradnl"/>
        </w:rPr>
        <w:lastRenderedPageBreak/>
        <w:t xml:space="preserve">El fomento </w:t>
      </w:r>
      <w:r>
        <w:rPr>
          <w:rFonts w:cs="Arial"/>
          <w:lang w:eastAsia="es-ES_tradnl"/>
        </w:rPr>
        <w:t>de</w:t>
      </w:r>
      <w:r w:rsidRPr="008913E4">
        <w:rPr>
          <w:rFonts w:cs="Arial"/>
          <w:lang w:eastAsia="es-ES_tradnl"/>
        </w:rPr>
        <w:t xml:space="preserve"> la cultura cívica de los contribuyentes a la par de acciones para la mejora de la gestión de trámites y servicios públicos garantiza la sostenibilidad </w:t>
      </w:r>
      <w:r>
        <w:rPr>
          <w:rFonts w:cs="Arial"/>
          <w:lang w:eastAsia="es-ES_tradnl"/>
        </w:rPr>
        <w:t>de este</w:t>
      </w:r>
      <w:r w:rsidRPr="008913E4">
        <w:rPr>
          <w:rFonts w:cs="Arial"/>
          <w:lang w:eastAsia="es-ES_tradnl"/>
        </w:rPr>
        <w:t xml:space="preserve"> modelo a largo plazo.</w:t>
      </w:r>
      <w:r>
        <w:rPr>
          <w:rFonts w:cs="Arial"/>
          <w:lang w:eastAsia="es-ES_tradnl"/>
        </w:rPr>
        <w:t xml:space="preserve"> Con</w:t>
      </w:r>
      <w:r w:rsidRPr="008913E4">
        <w:rPr>
          <w:rFonts w:cs="Arial"/>
          <w:lang w:eastAsia="es-ES_tradnl"/>
        </w:rPr>
        <w:t xml:space="preserve"> este sentido</w:t>
      </w:r>
      <w:r>
        <w:rPr>
          <w:rFonts w:cs="Arial"/>
          <w:lang w:eastAsia="es-ES_tradnl"/>
        </w:rPr>
        <w:t>,</w:t>
      </w:r>
      <w:r w:rsidRPr="008913E4">
        <w:rPr>
          <w:rFonts w:cs="Arial"/>
          <w:lang w:eastAsia="es-ES_tradnl"/>
        </w:rPr>
        <w:t xml:space="preserve"> se institucionalizó en la administración pública municipal el programa “C</w:t>
      </w:r>
      <w:r>
        <w:rPr>
          <w:rFonts w:cs="Arial"/>
          <w:lang w:eastAsia="es-ES_tradnl"/>
        </w:rPr>
        <w:t>ómo</w:t>
      </w:r>
      <w:r w:rsidRPr="008913E4">
        <w:rPr>
          <w:rFonts w:cs="Arial"/>
          <w:lang w:eastAsia="es-ES_tradnl"/>
        </w:rPr>
        <w:t xml:space="preserve"> sí”, </w:t>
      </w:r>
      <w:r>
        <w:rPr>
          <w:rFonts w:cs="Arial"/>
          <w:lang w:eastAsia="es-ES_tradnl"/>
        </w:rPr>
        <w:t xml:space="preserve">cuyo </w:t>
      </w:r>
      <w:r w:rsidRPr="008913E4">
        <w:rPr>
          <w:rFonts w:cs="Arial"/>
          <w:lang w:eastAsia="es-ES_tradnl"/>
        </w:rPr>
        <w:t xml:space="preserve">propósito </w:t>
      </w:r>
      <w:r>
        <w:rPr>
          <w:rFonts w:cs="Arial"/>
          <w:lang w:eastAsia="es-ES_tradnl"/>
        </w:rPr>
        <w:t>es contribuir a generar entre el personal del ayuntamiento una</w:t>
      </w:r>
      <w:r w:rsidRPr="008913E4">
        <w:rPr>
          <w:rFonts w:cs="Arial"/>
          <w:lang w:eastAsia="es-ES_tradnl"/>
        </w:rPr>
        <w:t xml:space="preserve"> cultura </w:t>
      </w:r>
      <w:r>
        <w:rPr>
          <w:rFonts w:cs="Arial"/>
          <w:lang w:eastAsia="es-ES_tradnl"/>
        </w:rPr>
        <w:t>de</w:t>
      </w:r>
      <w:r w:rsidRPr="008913E4">
        <w:rPr>
          <w:rFonts w:cs="Arial"/>
          <w:lang w:eastAsia="es-ES_tradnl"/>
        </w:rPr>
        <w:t xml:space="preserve"> atención esmerada, ágil y eficiente a la ciudadanía, desde el primer contacto hasta la conclusión de su gestión municipal</w:t>
      </w:r>
      <w:r>
        <w:rPr>
          <w:rFonts w:cs="Arial"/>
          <w:lang w:eastAsia="es-ES_tradnl"/>
        </w:rPr>
        <w:t>.</w:t>
      </w:r>
      <w:r w:rsidRPr="008913E4">
        <w:rPr>
          <w:rFonts w:cs="Arial"/>
          <w:lang w:eastAsia="es-ES_tradnl"/>
        </w:rPr>
        <w:t xml:space="preserve"> Para </w:t>
      </w:r>
      <w:r>
        <w:rPr>
          <w:rFonts w:cs="Arial"/>
          <w:lang w:eastAsia="es-ES_tradnl"/>
        </w:rPr>
        <w:t>alcanzar este objetivo,</w:t>
      </w:r>
      <w:r w:rsidRPr="008913E4">
        <w:rPr>
          <w:rFonts w:cs="Arial"/>
          <w:lang w:eastAsia="es-ES_tradnl"/>
        </w:rPr>
        <w:t xml:space="preserve"> las dependencias y entidades están realizando acciones de mejora en la atención presencial o virtual a los ciudadanos, con transparencia y certeza de la aplicación del marco normativo, así como el cumplimiento de los trámites en los tiempos establecidos</w:t>
      </w:r>
      <w:r>
        <w:rPr>
          <w:rFonts w:cs="Arial"/>
          <w:lang w:eastAsia="es-ES_tradnl"/>
        </w:rPr>
        <w:t>. E</w:t>
      </w:r>
      <w:r w:rsidRPr="008913E4">
        <w:rPr>
          <w:rFonts w:cs="Arial"/>
          <w:lang w:eastAsia="es-ES_tradnl"/>
        </w:rPr>
        <w:t>stas acciones se han realizado en conjunto con las organizaciones de la sociedad</w:t>
      </w:r>
      <w:r>
        <w:rPr>
          <w:rFonts w:cs="Arial"/>
          <w:lang w:eastAsia="es-ES_tradnl"/>
        </w:rPr>
        <w:t xml:space="preserve"> civil</w:t>
      </w:r>
      <w:r w:rsidRPr="008913E4">
        <w:rPr>
          <w:rFonts w:cs="Arial"/>
          <w:lang w:eastAsia="es-ES_tradnl"/>
        </w:rPr>
        <w:t xml:space="preserve"> que apoyan y fortalecen el proceso y la toma de decisiones. </w:t>
      </w:r>
    </w:p>
    <w:p w14:paraId="5392BAA8" w14:textId="15F43C5E" w:rsidR="00261A27" w:rsidRPr="008913E4" w:rsidRDefault="00261A27" w:rsidP="00B205BA">
      <w:pPr>
        <w:spacing w:before="100" w:beforeAutospacing="1" w:after="120" w:line="240" w:lineRule="auto"/>
        <w:rPr>
          <w:rFonts w:cs="Arial"/>
          <w:lang w:eastAsia="es-ES_tradnl"/>
        </w:rPr>
      </w:pPr>
      <w:r w:rsidRPr="008913E4">
        <w:rPr>
          <w:rFonts w:cs="Arial"/>
          <w:lang w:eastAsia="es-ES_tradnl"/>
        </w:rPr>
        <w:t>Los resultados de las acciones implementadas durante los últimos tres años se han traducido en el fortalecimiento de la confianza ciudadana en el gobierno municipal</w:t>
      </w:r>
      <w:r>
        <w:rPr>
          <w:rFonts w:cs="Arial"/>
          <w:lang w:eastAsia="es-ES_tradnl"/>
        </w:rPr>
        <w:t>,</w:t>
      </w:r>
      <w:r w:rsidRPr="008913E4">
        <w:rPr>
          <w:rFonts w:cs="Arial"/>
          <w:lang w:eastAsia="es-ES_tradnl"/>
        </w:rPr>
        <w:t xml:space="preserve"> y se ha consolidado el compromiso con la mejora sostenible</w:t>
      </w:r>
      <w:r>
        <w:rPr>
          <w:rFonts w:cs="Arial"/>
          <w:lang w:eastAsia="es-ES_tradnl"/>
        </w:rPr>
        <w:t>. Paralelamente,</w:t>
      </w:r>
      <w:r w:rsidRPr="008913E4">
        <w:rPr>
          <w:rFonts w:cs="Arial"/>
          <w:lang w:eastAsia="es-ES_tradnl"/>
        </w:rPr>
        <w:t xml:space="preserve"> las evaluaciones externas han mostrado mejoras significativas en términos financieros,</w:t>
      </w:r>
      <w:r>
        <w:rPr>
          <w:rFonts w:cs="Arial"/>
          <w:lang w:eastAsia="es-ES_tradnl"/>
        </w:rPr>
        <w:t xml:space="preserve"> </w:t>
      </w:r>
      <w:r w:rsidRPr="008913E4">
        <w:rPr>
          <w:rFonts w:cs="Arial"/>
          <w:lang w:eastAsia="es-ES_tradnl"/>
        </w:rPr>
        <w:t>que reflejan el progreso alcanzado.</w:t>
      </w:r>
    </w:p>
    <w:p w14:paraId="3F0FA0D0" w14:textId="77777777" w:rsidR="00261A27" w:rsidRPr="008913E4" w:rsidRDefault="00261A27" w:rsidP="00B205BA">
      <w:pPr>
        <w:widowControl w:val="0"/>
        <w:autoSpaceDE w:val="0"/>
        <w:autoSpaceDN w:val="0"/>
        <w:spacing w:after="120" w:line="240" w:lineRule="auto"/>
        <w:rPr>
          <w:rFonts w:eastAsia="Times New Roman" w:cs="Arial"/>
        </w:rPr>
      </w:pPr>
      <w:r w:rsidRPr="008913E4">
        <w:rPr>
          <w:rFonts w:eastAsia="Times New Roman" w:cs="Arial"/>
        </w:rPr>
        <w:t xml:space="preserve">De igual forma, se continuará trabajando </w:t>
      </w:r>
      <w:r>
        <w:rPr>
          <w:rFonts w:eastAsia="Times New Roman" w:cs="Arial"/>
        </w:rPr>
        <w:t>para avanzar hacia el cumplimiento</w:t>
      </w:r>
      <w:r w:rsidRPr="008913E4">
        <w:rPr>
          <w:rFonts w:eastAsia="Times New Roman" w:cs="Arial"/>
        </w:rPr>
        <w:t xml:space="preserve"> de los Objetivos de Desarrollo Sostenible</w:t>
      </w:r>
      <w:r>
        <w:rPr>
          <w:rFonts w:eastAsia="Times New Roman" w:cs="Arial"/>
        </w:rPr>
        <w:t xml:space="preserve"> como gobierno municipal</w:t>
      </w:r>
      <w:r w:rsidRPr="008913E4">
        <w:rPr>
          <w:rFonts w:eastAsia="Times New Roman" w:cs="Arial"/>
        </w:rPr>
        <w:t xml:space="preserve">. </w:t>
      </w:r>
    </w:p>
    <w:p w14:paraId="559926F9" w14:textId="77777777" w:rsidR="00261A27" w:rsidRPr="008913E4" w:rsidRDefault="00261A27" w:rsidP="00B205BA">
      <w:pPr>
        <w:widowControl w:val="0"/>
        <w:autoSpaceDE w:val="0"/>
        <w:autoSpaceDN w:val="0"/>
        <w:spacing w:after="120" w:line="240" w:lineRule="auto"/>
        <w:rPr>
          <w:rFonts w:eastAsia="Times New Roman" w:cs="Arial"/>
        </w:rPr>
      </w:pPr>
      <w:r>
        <w:rPr>
          <w:rFonts w:eastAsia="Times New Roman" w:cs="Arial"/>
        </w:rPr>
        <w:t>Al respecto</w:t>
      </w:r>
      <w:r w:rsidRPr="008913E4">
        <w:rPr>
          <w:rFonts w:eastAsia="Times New Roman" w:cs="Arial"/>
        </w:rPr>
        <w:t xml:space="preserve">, </w:t>
      </w:r>
      <w:r>
        <w:rPr>
          <w:rFonts w:eastAsia="Times New Roman" w:cs="Arial"/>
        </w:rPr>
        <w:t xml:space="preserve">tenemos que, </w:t>
      </w:r>
      <w:r w:rsidRPr="008913E4">
        <w:rPr>
          <w:rFonts w:eastAsia="Times New Roman" w:cs="Arial"/>
        </w:rPr>
        <w:t>de acuerdo con los resultados de la Encuesta Nacional de Calidad e Impacto Gubernamental (ENCIG)</w:t>
      </w:r>
      <w:r>
        <w:rPr>
          <w:rStyle w:val="Refdenotaalpie"/>
          <w:rFonts w:eastAsia="Times New Roman" w:cs="Arial"/>
        </w:rPr>
        <w:footnoteReference w:id="52"/>
      </w:r>
      <w:r w:rsidRPr="008913E4">
        <w:rPr>
          <w:rFonts w:eastAsia="Times New Roman" w:cs="Arial"/>
        </w:rPr>
        <w:t xml:space="preserve"> </w:t>
      </w:r>
      <w:r>
        <w:rPr>
          <w:rFonts w:eastAsia="Times New Roman" w:cs="Arial"/>
        </w:rPr>
        <w:t>en lo relativo al</w:t>
      </w:r>
      <w:r w:rsidRPr="008913E4">
        <w:rPr>
          <w:rFonts w:eastAsia="Times New Roman" w:cs="Arial"/>
        </w:rPr>
        <w:t xml:space="preserve"> nivel de confianza </w:t>
      </w:r>
      <w:r>
        <w:rPr>
          <w:rFonts w:eastAsia="Times New Roman" w:cs="Arial"/>
        </w:rPr>
        <w:t>en</w:t>
      </w:r>
      <w:r w:rsidRPr="008913E4">
        <w:rPr>
          <w:rFonts w:eastAsia="Times New Roman" w:cs="Arial"/>
        </w:rPr>
        <w:t xml:space="preserve"> el gobierno municipal</w:t>
      </w:r>
      <w:r>
        <w:rPr>
          <w:rFonts w:eastAsia="Times New Roman" w:cs="Arial"/>
        </w:rPr>
        <w:t>,</w:t>
      </w:r>
      <w:r w:rsidRPr="008913E4">
        <w:rPr>
          <w:rFonts w:eastAsia="Times New Roman" w:cs="Arial"/>
        </w:rPr>
        <w:t xml:space="preserve"> el porcentaje de </w:t>
      </w:r>
      <w:r>
        <w:rPr>
          <w:rFonts w:eastAsia="Times New Roman" w:cs="Arial"/>
        </w:rPr>
        <w:t>la población</w:t>
      </w:r>
      <w:r w:rsidRPr="008913E4">
        <w:rPr>
          <w:rFonts w:eastAsia="Times New Roman" w:cs="Arial"/>
        </w:rPr>
        <w:t xml:space="preserve"> que tienen “mucha” y “algo de confianza” </w:t>
      </w:r>
      <w:r>
        <w:rPr>
          <w:rFonts w:eastAsia="Times New Roman" w:cs="Arial"/>
        </w:rPr>
        <w:t xml:space="preserve">en su gobierno </w:t>
      </w:r>
      <w:r w:rsidRPr="008913E4">
        <w:rPr>
          <w:rFonts w:eastAsia="Times New Roman" w:cs="Arial"/>
        </w:rPr>
        <w:t>pasó</w:t>
      </w:r>
      <w:r>
        <w:rPr>
          <w:rFonts w:eastAsia="Times New Roman" w:cs="Arial"/>
        </w:rPr>
        <w:t>,</w:t>
      </w:r>
      <w:r w:rsidRPr="008913E4">
        <w:rPr>
          <w:rFonts w:eastAsia="Times New Roman" w:cs="Arial"/>
        </w:rPr>
        <w:t xml:space="preserve"> de 42.5</w:t>
      </w:r>
      <w:r>
        <w:rPr>
          <w:rFonts w:eastAsia="Times New Roman" w:cs="Arial"/>
        </w:rPr>
        <w:t xml:space="preserve"> </w:t>
      </w:r>
      <w:r w:rsidRPr="008913E4">
        <w:rPr>
          <w:rFonts w:eastAsia="Times New Roman" w:cs="Arial"/>
        </w:rPr>
        <w:t>% en 2021</w:t>
      </w:r>
      <w:r>
        <w:rPr>
          <w:rFonts w:eastAsia="Times New Roman" w:cs="Arial"/>
        </w:rPr>
        <w:t>,</w:t>
      </w:r>
      <w:r w:rsidRPr="008913E4">
        <w:rPr>
          <w:rFonts w:eastAsia="Times New Roman" w:cs="Arial"/>
        </w:rPr>
        <w:t xml:space="preserve"> a 56.3</w:t>
      </w:r>
      <w:r>
        <w:rPr>
          <w:rFonts w:eastAsia="Times New Roman" w:cs="Arial"/>
        </w:rPr>
        <w:t xml:space="preserve"> </w:t>
      </w:r>
      <w:r w:rsidRPr="008913E4">
        <w:rPr>
          <w:rFonts w:eastAsia="Times New Roman" w:cs="Arial"/>
        </w:rPr>
        <w:t xml:space="preserve">% en 2023. Con este incremento de 13.8 puntos porcentuales, Hermosillo se ubicó como la segunda ciudad del país (de las 33 que considera la ENCIG), </w:t>
      </w:r>
      <w:r>
        <w:rPr>
          <w:rFonts w:eastAsia="Times New Roman" w:cs="Arial"/>
        </w:rPr>
        <w:t xml:space="preserve">en </w:t>
      </w:r>
      <w:r w:rsidRPr="008913E4">
        <w:rPr>
          <w:rFonts w:eastAsia="Times New Roman" w:cs="Arial"/>
        </w:rPr>
        <w:t>donde más aumentó la confianza de sus ciudadanos en su gobierno municipal, solamente detrás de Tampico, donde la confianza ciudadana se incrementó 14.9 puntos porcentuales.</w:t>
      </w:r>
    </w:p>
    <w:p w14:paraId="6F790F5F" w14:textId="75C34E2D" w:rsidR="00261A27" w:rsidRPr="00AF0E23" w:rsidRDefault="00BD09D3" w:rsidP="00B205BA">
      <w:pPr>
        <w:widowControl w:val="0"/>
        <w:autoSpaceDE w:val="0"/>
        <w:autoSpaceDN w:val="0"/>
        <w:spacing w:after="120" w:line="240" w:lineRule="auto"/>
        <w:jc w:val="center"/>
        <w:rPr>
          <w:rFonts w:eastAsia="Times New Roman" w:cs="Arial"/>
          <w:b/>
          <w:bCs/>
        </w:rPr>
      </w:pPr>
      <w:bookmarkStart w:id="22" w:name="OLE_LINK9"/>
      <w:bookmarkStart w:id="23" w:name="OLE_LINK10"/>
      <w:r w:rsidRPr="00AF0E23">
        <w:rPr>
          <w:rFonts w:eastAsia="Times New Roman" w:cs="Arial"/>
          <w:b/>
          <w:bCs/>
        </w:rPr>
        <w:t xml:space="preserve">GRÁFICA 1. </w:t>
      </w:r>
      <w:r>
        <w:rPr>
          <w:rFonts w:eastAsia="Times New Roman" w:cs="Arial"/>
          <w:b/>
          <w:bCs/>
        </w:rPr>
        <w:t xml:space="preserve">PORCENTAJE DE </w:t>
      </w:r>
      <w:r w:rsidRPr="00AF0E23">
        <w:rPr>
          <w:rFonts w:eastAsia="Times New Roman" w:cs="Arial"/>
          <w:b/>
          <w:bCs/>
        </w:rPr>
        <w:t>NIVEL DE CONFIANZA</w:t>
      </w:r>
      <w:r>
        <w:rPr>
          <w:rFonts w:eastAsia="Times New Roman" w:cs="Arial"/>
          <w:b/>
          <w:bCs/>
        </w:rPr>
        <w:t xml:space="preserve"> DE</w:t>
      </w:r>
      <w:r w:rsidRPr="00AF0E23">
        <w:rPr>
          <w:rFonts w:eastAsia="Times New Roman" w:cs="Arial"/>
          <w:b/>
          <w:bCs/>
        </w:rPr>
        <w:t xml:space="preserve"> LOS HERMOSILLENSES EN SU GOBIERNO MUNICIPAL</w:t>
      </w:r>
      <w:r>
        <w:rPr>
          <w:rFonts w:eastAsia="Times New Roman" w:cs="Arial"/>
          <w:b/>
          <w:bCs/>
        </w:rPr>
        <w:t xml:space="preserve"> (2017-2023).</w:t>
      </w:r>
    </w:p>
    <w:p w14:paraId="779A11B7" w14:textId="477E513B" w:rsidR="00261A27" w:rsidRPr="00261A27" w:rsidRDefault="00261A27" w:rsidP="00B205BA">
      <w:pPr>
        <w:widowControl w:val="0"/>
        <w:autoSpaceDE w:val="0"/>
        <w:autoSpaceDN w:val="0"/>
        <w:spacing w:after="120" w:line="240" w:lineRule="auto"/>
        <w:rPr>
          <w:bCs/>
        </w:rPr>
      </w:pPr>
      <w:r>
        <w:rPr>
          <w:rFonts w:cs="Arial"/>
          <w:b/>
          <w:color w:val="5C5B5F"/>
          <w:w w:val="105"/>
          <w:sz w:val="18"/>
          <w:szCs w:val="32"/>
        </w:rPr>
        <w:t xml:space="preserve"> </w:t>
      </w:r>
      <w:r w:rsidRPr="008913E4">
        <w:rPr>
          <w:noProof/>
        </w:rPr>
        <w:drawing>
          <wp:inline distT="0" distB="0" distL="0" distR="0" wp14:anchorId="71F389D4" wp14:editId="40C4585A">
            <wp:extent cx="5191125" cy="2005533"/>
            <wp:effectExtent l="0" t="0" r="15875" b="13970"/>
            <wp:docPr id="2105896302" name="Gráfico 1">
              <a:extLst xmlns:a="http://schemas.openxmlformats.org/drawingml/2006/main">
                <a:ext uri="{FF2B5EF4-FFF2-40B4-BE49-F238E27FC236}">
                  <a16:creationId xmlns:a16="http://schemas.microsoft.com/office/drawing/2014/main" id="{F775EED4-A175-6B68-07E3-CA7698EA1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AF0E23">
        <w:rPr>
          <w:rFonts w:cs="Arial"/>
          <w:bCs/>
          <w:w w:val="105"/>
          <w:sz w:val="18"/>
          <w:szCs w:val="32"/>
        </w:rPr>
        <w:t>Fuente:</w:t>
      </w:r>
      <w:r w:rsidRPr="00AF0E23">
        <w:rPr>
          <w:rFonts w:cs="Arial"/>
          <w:bCs/>
          <w:spacing w:val="-1"/>
          <w:w w:val="105"/>
          <w:sz w:val="18"/>
          <w:szCs w:val="32"/>
        </w:rPr>
        <w:t xml:space="preserve"> </w:t>
      </w:r>
      <w:r w:rsidRPr="00AF0E23">
        <w:rPr>
          <w:rFonts w:cs="Arial"/>
          <w:bCs/>
          <w:w w:val="105"/>
          <w:sz w:val="18"/>
          <w:szCs w:val="32"/>
        </w:rPr>
        <w:t>Elaboración propia con datos</w:t>
      </w:r>
      <w:r w:rsidRPr="00AF0E23">
        <w:rPr>
          <w:rFonts w:cs="Arial"/>
          <w:bCs/>
          <w:spacing w:val="-1"/>
          <w:w w:val="105"/>
          <w:sz w:val="18"/>
          <w:szCs w:val="32"/>
        </w:rPr>
        <w:t xml:space="preserve"> </w:t>
      </w:r>
      <w:r w:rsidRPr="00AF0E23">
        <w:rPr>
          <w:rFonts w:cs="Arial"/>
          <w:bCs/>
          <w:w w:val="105"/>
          <w:sz w:val="18"/>
          <w:szCs w:val="32"/>
        </w:rPr>
        <w:t xml:space="preserve">de la ENCIG 2023 </w:t>
      </w:r>
      <w:r w:rsidRPr="00AF0E23">
        <w:rPr>
          <w:rFonts w:cs="Arial"/>
          <w:bCs/>
          <w:spacing w:val="-2"/>
          <w:w w:val="105"/>
          <w:sz w:val="18"/>
          <w:szCs w:val="32"/>
        </w:rPr>
        <w:t>(INEGI).</w:t>
      </w:r>
    </w:p>
    <w:p w14:paraId="5E413EB2" w14:textId="77777777" w:rsidR="00013F4A" w:rsidRDefault="00013F4A" w:rsidP="00B205BA">
      <w:pPr>
        <w:tabs>
          <w:tab w:val="left" w:pos="4849"/>
        </w:tabs>
        <w:spacing w:after="120" w:line="240" w:lineRule="auto"/>
        <w:rPr>
          <w:rFonts w:cs="Arial"/>
          <w:b/>
          <w:bCs/>
        </w:rPr>
      </w:pPr>
    </w:p>
    <w:p w14:paraId="47FA3905" w14:textId="77777777" w:rsidR="00013F4A" w:rsidRDefault="00013F4A" w:rsidP="00B205BA">
      <w:pPr>
        <w:tabs>
          <w:tab w:val="left" w:pos="4849"/>
        </w:tabs>
        <w:spacing w:after="120" w:line="240" w:lineRule="auto"/>
        <w:rPr>
          <w:rFonts w:cs="Arial"/>
          <w:b/>
          <w:bCs/>
        </w:rPr>
      </w:pPr>
    </w:p>
    <w:p w14:paraId="33FFB347" w14:textId="080F248F" w:rsidR="00261A27" w:rsidRPr="008913E4" w:rsidRDefault="00261A27" w:rsidP="00B205BA">
      <w:pPr>
        <w:tabs>
          <w:tab w:val="left" w:pos="4849"/>
        </w:tabs>
        <w:spacing w:after="120" w:line="240" w:lineRule="auto"/>
        <w:rPr>
          <w:rFonts w:cs="Arial"/>
          <w:b/>
          <w:bCs/>
        </w:rPr>
      </w:pPr>
      <w:r w:rsidRPr="008913E4">
        <w:rPr>
          <w:rFonts w:cs="Arial"/>
          <w:b/>
          <w:bCs/>
        </w:rPr>
        <w:lastRenderedPageBreak/>
        <w:t xml:space="preserve">Las finanzas municipales. Análisis de los ingresos, </w:t>
      </w:r>
      <w:r>
        <w:rPr>
          <w:rFonts w:cs="Arial"/>
          <w:b/>
          <w:bCs/>
        </w:rPr>
        <w:t xml:space="preserve">los </w:t>
      </w:r>
      <w:r w:rsidRPr="008913E4">
        <w:rPr>
          <w:rFonts w:cs="Arial"/>
          <w:b/>
          <w:bCs/>
        </w:rPr>
        <w:t>egresos y la deuda</w:t>
      </w:r>
      <w:r>
        <w:rPr>
          <w:rFonts w:cs="Arial"/>
          <w:b/>
          <w:bCs/>
        </w:rPr>
        <w:t>.</w:t>
      </w:r>
    </w:p>
    <w:p w14:paraId="738D8A2D" w14:textId="77777777" w:rsidR="00261A27" w:rsidRDefault="00261A27" w:rsidP="00B205BA">
      <w:pPr>
        <w:shd w:val="clear" w:color="auto" w:fill="FFFFFF"/>
        <w:spacing w:after="120" w:line="240" w:lineRule="auto"/>
        <w:rPr>
          <w:rFonts w:cs="Arial"/>
        </w:rPr>
      </w:pPr>
      <w:r w:rsidRPr="008913E4">
        <w:rPr>
          <w:rFonts w:cs="Arial"/>
        </w:rPr>
        <w:t>La capacidad para destinar recursos suficientes para la atención de las responsabilidades del gobierno sin perjudicar su futura sostenibilidad financiera constituye un elemento primordial e ineludible del plan de gobierno, relacionada con la cobertura, cantidad y calidad de los servicios públicos</w:t>
      </w:r>
      <w:r>
        <w:rPr>
          <w:rFonts w:cs="Arial"/>
        </w:rPr>
        <w:t>.</w:t>
      </w:r>
      <w:r w:rsidRPr="008913E4">
        <w:rPr>
          <w:rFonts w:cs="Arial"/>
        </w:rPr>
        <w:t xml:space="preserve"> Principalmente</w:t>
      </w:r>
      <w:r>
        <w:rPr>
          <w:rFonts w:cs="Arial"/>
        </w:rPr>
        <w:t>,</w:t>
      </w:r>
      <w:r w:rsidRPr="008913E4">
        <w:rPr>
          <w:rFonts w:cs="Arial"/>
        </w:rPr>
        <w:t xml:space="preserve"> la seguridad pública</w:t>
      </w:r>
      <w:r>
        <w:rPr>
          <w:rFonts w:cs="Arial"/>
        </w:rPr>
        <w:t>, el</w:t>
      </w:r>
      <w:r w:rsidRPr="008913E4">
        <w:rPr>
          <w:rFonts w:cs="Arial"/>
        </w:rPr>
        <w:t xml:space="preserve"> mantenimiento y desarrollo de la infraestructura y, en general, la adecuada provisión de bienes que promuevan </w:t>
      </w:r>
      <w:r>
        <w:rPr>
          <w:rFonts w:cs="Arial"/>
        </w:rPr>
        <w:t xml:space="preserve">el </w:t>
      </w:r>
      <w:r w:rsidRPr="008913E4">
        <w:rPr>
          <w:rFonts w:cs="Arial"/>
        </w:rPr>
        <w:t xml:space="preserve">desarrollo económico, </w:t>
      </w:r>
      <w:r>
        <w:rPr>
          <w:rFonts w:cs="Arial"/>
        </w:rPr>
        <w:t xml:space="preserve">el </w:t>
      </w:r>
      <w:r w:rsidRPr="008913E4">
        <w:rPr>
          <w:rFonts w:cs="Arial"/>
        </w:rPr>
        <w:t xml:space="preserve">bienestar social y </w:t>
      </w:r>
      <w:r>
        <w:rPr>
          <w:rFonts w:cs="Arial"/>
        </w:rPr>
        <w:t xml:space="preserve">la </w:t>
      </w:r>
      <w:r w:rsidRPr="008913E4">
        <w:rPr>
          <w:rFonts w:cs="Arial"/>
        </w:rPr>
        <w:t xml:space="preserve">certidumbre para el futuro de los hermosillenses. </w:t>
      </w:r>
    </w:p>
    <w:p w14:paraId="17FAC2F5" w14:textId="77777777" w:rsidR="00261A27" w:rsidRPr="008913E4" w:rsidRDefault="00261A27" w:rsidP="00B205BA">
      <w:pPr>
        <w:shd w:val="clear" w:color="auto" w:fill="FFFFFF"/>
        <w:spacing w:after="120" w:line="240" w:lineRule="auto"/>
        <w:rPr>
          <w:rFonts w:cs="Arial"/>
        </w:rPr>
      </w:pPr>
      <w:r w:rsidRPr="008913E4">
        <w:rPr>
          <w:rFonts w:cs="Arial"/>
        </w:rPr>
        <w:t>Para ello</w:t>
      </w:r>
      <w:r>
        <w:rPr>
          <w:rFonts w:cs="Arial"/>
        </w:rPr>
        <w:t>,</w:t>
      </w:r>
      <w:r w:rsidRPr="008913E4">
        <w:rPr>
          <w:rFonts w:cs="Arial"/>
        </w:rPr>
        <w:t xml:space="preserve"> se requiere de acciones que incrementen </w:t>
      </w:r>
      <w:r>
        <w:rPr>
          <w:rFonts w:cs="Arial"/>
        </w:rPr>
        <w:t>los</w:t>
      </w:r>
      <w:r w:rsidRPr="008913E4">
        <w:rPr>
          <w:rFonts w:cs="Arial"/>
        </w:rPr>
        <w:t xml:space="preserve"> ingresos, el uso responsable de crédito público y una eficaz administración de la deuda pública, todo ello acompañado de políticas de austeridad y transparencia en el ejercicio del gasto. </w:t>
      </w:r>
    </w:p>
    <w:p w14:paraId="7AF37875" w14:textId="77777777" w:rsidR="00013F4A" w:rsidRDefault="00261A27" w:rsidP="00B205BA">
      <w:pPr>
        <w:shd w:val="clear" w:color="auto" w:fill="FFFFFF"/>
        <w:spacing w:after="120" w:line="240" w:lineRule="auto"/>
        <w:rPr>
          <w:rFonts w:cs="Arial"/>
        </w:rPr>
      </w:pPr>
      <w:r w:rsidRPr="008913E4">
        <w:rPr>
          <w:rFonts w:cs="Arial"/>
        </w:rPr>
        <w:t>La generación de ingresos propios del municipio</w:t>
      </w:r>
      <w:r>
        <w:rPr>
          <w:rFonts w:cs="Arial"/>
        </w:rPr>
        <w:t xml:space="preserve"> de Hermosillo</w:t>
      </w:r>
      <w:r w:rsidRPr="008913E4">
        <w:rPr>
          <w:rFonts w:cs="Arial"/>
        </w:rPr>
        <w:t xml:space="preserve"> ha tenido avances significativos en el indicador de independencia financiera. En 2021, el 41</w:t>
      </w:r>
      <w:r>
        <w:rPr>
          <w:rFonts w:cs="Arial"/>
        </w:rPr>
        <w:t xml:space="preserve"> </w:t>
      </w:r>
      <w:r w:rsidRPr="008913E4">
        <w:rPr>
          <w:rFonts w:cs="Arial"/>
        </w:rPr>
        <w:t>% de los ingresos del Ayuntamiento correspondían a ingresos propios</w:t>
      </w:r>
      <w:r>
        <w:rPr>
          <w:rFonts w:cs="Arial"/>
        </w:rPr>
        <w:t>;</w:t>
      </w:r>
      <w:r w:rsidRPr="008913E4">
        <w:rPr>
          <w:rFonts w:cs="Arial"/>
        </w:rPr>
        <w:t xml:space="preserve"> para 2023, se logró incrementar </w:t>
      </w:r>
      <w:r>
        <w:rPr>
          <w:rFonts w:cs="Arial"/>
        </w:rPr>
        <w:t>esta proporción a</w:t>
      </w:r>
      <w:r w:rsidRPr="008913E4">
        <w:rPr>
          <w:rFonts w:cs="Arial"/>
        </w:rPr>
        <w:t xml:space="preserve"> 49</w:t>
      </w:r>
      <w:r>
        <w:rPr>
          <w:rFonts w:cs="Arial"/>
        </w:rPr>
        <w:t xml:space="preserve"> </w:t>
      </w:r>
      <w:r w:rsidRPr="008913E4">
        <w:rPr>
          <w:rFonts w:cs="Arial"/>
        </w:rPr>
        <w:t xml:space="preserve">%, </w:t>
      </w:r>
      <w:r>
        <w:rPr>
          <w:rFonts w:cs="Arial"/>
        </w:rPr>
        <w:t xml:space="preserve">y </w:t>
      </w:r>
      <w:r w:rsidRPr="008913E4">
        <w:rPr>
          <w:rFonts w:cs="Arial"/>
        </w:rPr>
        <w:t xml:space="preserve">para septiembre de 2024, </w:t>
      </w:r>
      <w:r>
        <w:rPr>
          <w:rFonts w:cs="Arial"/>
        </w:rPr>
        <w:t>los ingresos propios</w:t>
      </w:r>
      <w:r w:rsidRPr="008913E4">
        <w:rPr>
          <w:rFonts w:cs="Arial"/>
        </w:rPr>
        <w:t xml:space="preserve"> ya representaban el 51</w:t>
      </w:r>
      <w:r>
        <w:rPr>
          <w:rFonts w:cs="Arial"/>
        </w:rPr>
        <w:t xml:space="preserve"> </w:t>
      </w:r>
      <w:r w:rsidRPr="008913E4">
        <w:rPr>
          <w:rFonts w:cs="Arial"/>
        </w:rPr>
        <w:t xml:space="preserve">%. </w:t>
      </w:r>
    </w:p>
    <w:p w14:paraId="052491C6" w14:textId="3D40D335" w:rsidR="00261A27" w:rsidRPr="008913E4" w:rsidRDefault="00261A27" w:rsidP="00B205BA">
      <w:pPr>
        <w:shd w:val="clear" w:color="auto" w:fill="FFFFFF"/>
        <w:spacing w:after="120" w:line="240" w:lineRule="auto"/>
        <w:rPr>
          <w:rFonts w:cs="Arial"/>
        </w:rPr>
      </w:pPr>
      <w:r w:rsidRPr="008913E4">
        <w:rPr>
          <w:rFonts w:cs="Arial"/>
        </w:rPr>
        <w:t xml:space="preserve">Con esto se logró aumentar el presupuesto destinado a gastos en rubros fundamentales como la obra pública y </w:t>
      </w:r>
      <w:r>
        <w:rPr>
          <w:rFonts w:cs="Arial"/>
        </w:rPr>
        <w:t xml:space="preserve">los </w:t>
      </w:r>
      <w:r w:rsidRPr="008913E4">
        <w:rPr>
          <w:rFonts w:cs="Arial"/>
        </w:rPr>
        <w:t xml:space="preserve">servicios. La aplicación de incentivos para el cumplimiento voluntario </w:t>
      </w:r>
      <w:r>
        <w:rPr>
          <w:rFonts w:cs="Arial"/>
        </w:rPr>
        <w:t xml:space="preserve">del pago de contribuciones, tales </w:t>
      </w:r>
      <w:r w:rsidRPr="008913E4">
        <w:rPr>
          <w:rFonts w:cs="Arial"/>
        </w:rPr>
        <w:t>como descuentos por pronto pago, programas de descuento focalizados</w:t>
      </w:r>
      <w:r w:rsidRPr="00261A27">
        <w:rPr>
          <w:rFonts w:cs="Arial"/>
        </w:rPr>
        <w:t>, convenios y la diversificación de canales de pago, tuvieron un impacto positivo en los ingresos. Esto permitió contar con mayores recursos para la prestación de servicios y la ejecución de obras.</w:t>
      </w:r>
    </w:p>
    <w:p w14:paraId="66F90642" w14:textId="77777777" w:rsidR="00261A27" w:rsidRPr="008913E4" w:rsidRDefault="00261A27" w:rsidP="00B205BA">
      <w:pPr>
        <w:spacing w:after="120" w:line="240" w:lineRule="auto"/>
        <w:jc w:val="left"/>
        <w:rPr>
          <w:rFonts w:eastAsia="Arial" w:cs="Arial"/>
          <w:b/>
        </w:rPr>
      </w:pPr>
    </w:p>
    <w:p w14:paraId="04922780" w14:textId="1F41B4EC" w:rsidR="00261A27" w:rsidRPr="0086730D" w:rsidRDefault="00BD09D3" w:rsidP="00B205BA">
      <w:pPr>
        <w:spacing w:after="120" w:line="240" w:lineRule="auto"/>
        <w:rPr>
          <w:rFonts w:cs="Arial"/>
          <w:b/>
          <w:lang w:val="es-ES_tradnl"/>
        </w:rPr>
      </w:pPr>
      <w:r w:rsidRPr="008913E4">
        <w:rPr>
          <w:rFonts w:eastAsia="Arial" w:cs="Arial"/>
          <w:b/>
        </w:rPr>
        <w:t xml:space="preserve">GRÁFICA 2. </w:t>
      </w:r>
      <w:r w:rsidRPr="008913E4">
        <w:rPr>
          <w:rFonts w:cs="Arial"/>
          <w:b/>
          <w:lang w:val="es-ES_tradnl"/>
        </w:rPr>
        <w:t>INGRESO</w:t>
      </w:r>
      <w:r>
        <w:rPr>
          <w:rFonts w:cs="Arial"/>
          <w:b/>
          <w:lang w:val="es-ES_tradnl"/>
        </w:rPr>
        <w:t>S</w:t>
      </w:r>
      <w:r w:rsidRPr="008913E4">
        <w:rPr>
          <w:rFonts w:cs="Arial"/>
          <w:b/>
          <w:lang w:val="es-ES_tradnl"/>
        </w:rPr>
        <w:t xml:space="preserve"> PROPIO</w:t>
      </w:r>
      <w:r>
        <w:rPr>
          <w:rFonts w:cs="Arial"/>
          <w:b/>
          <w:lang w:val="es-ES_tradnl"/>
        </w:rPr>
        <w:t>S</w:t>
      </w:r>
      <w:r w:rsidRPr="008913E4">
        <w:rPr>
          <w:rFonts w:cs="Arial"/>
          <w:b/>
          <w:lang w:val="es-ES_tradnl"/>
        </w:rPr>
        <w:t xml:space="preserve"> VS</w:t>
      </w:r>
      <w:r>
        <w:rPr>
          <w:rFonts w:cs="Arial"/>
          <w:b/>
          <w:lang w:val="es-ES_tradnl"/>
        </w:rPr>
        <w:t>.</w:t>
      </w:r>
      <w:r w:rsidRPr="008913E4">
        <w:rPr>
          <w:rFonts w:cs="Arial"/>
          <w:b/>
          <w:lang w:val="es-ES_tradnl"/>
        </w:rPr>
        <w:t xml:space="preserve"> PARTICIPACIONES, APORTACIONES Y CONVENIOS</w:t>
      </w:r>
      <w:r>
        <w:rPr>
          <w:rFonts w:cs="Arial"/>
          <w:b/>
          <w:lang w:val="es-ES_tradnl"/>
        </w:rPr>
        <w:t xml:space="preserve"> 2020-2024 (M</w:t>
      </w:r>
      <w:r w:rsidRPr="008913E4">
        <w:rPr>
          <w:rFonts w:cs="Arial"/>
          <w:b/>
          <w:lang w:val="es-ES_tradnl"/>
        </w:rPr>
        <w:t>ILLONES DE PESOS</w:t>
      </w:r>
      <w:r>
        <w:rPr>
          <w:rFonts w:cs="Arial"/>
          <w:b/>
          <w:lang w:val="es-ES_tradnl"/>
        </w:rPr>
        <w:t xml:space="preserve">). </w:t>
      </w:r>
    </w:p>
    <w:p w14:paraId="76020914" w14:textId="77777777" w:rsidR="00261A27" w:rsidRPr="008913E4" w:rsidRDefault="00261A27" w:rsidP="00B205BA">
      <w:pPr>
        <w:pStyle w:val="Sinespaciado"/>
        <w:spacing w:after="120"/>
        <w:rPr>
          <w:rFonts w:eastAsia="Arial" w:cs="Arial"/>
          <w:lang w:val="es-ES" w:bidi="en-US"/>
        </w:rPr>
      </w:pPr>
      <w:r w:rsidRPr="008913E4">
        <w:rPr>
          <w:noProof/>
          <w:lang w:val="es-ES" w:bidi="en-US"/>
        </w:rPr>
        <w:drawing>
          <wp:inline distT="0" distB="0" distL="0" distR="0" wp14:anchorId="18D7604E" wp14:editId="1C50C3F0">
            <wp:extent cx="5554980" cy="2428154"/>
            <wp:effectExtent l="0" t="0" r="7620" b="10795"/>
            <wp:docPr id="1449111249" name="Gráfico 1">
              <a:extLst xmlns:a="http://schemas.openxmlformats.org/drawingml/2006/main">
                <a:ext uri="{FF2B5EF4-FFF2-40B4-BE49-F238E27FC236}">
                  <a16:creationId xmlns:a16="http://schemas.microsoft.com/office/drawing/2014/main" id="{16B6D61A-A7B2-24AB-FCA6-878148B8A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3DCD00" w14:textId="193F7824" w:rsidR="00261A27" w:rsidRPr="00626AB9" w:rsidRDefault="00261A27" w:rsidP="00626AB9">
      <w:pPr>
        <w:spacing w:after="120" w:line="240" w:lineRule="auto"/>
        <w:rPr>
          <w:rFonts w:cs="Arial"/>
          <w:color w:val="000000" w:themeColor="text1"/>
          <w:sz w:val="18"/>
          <w:szCs w:val="18"/>
          <w:lang w:val="es-ES_tradnl"/>
        </w:rPr>
      </w:pPr>
      <w:r w:rsidRPr="008913E4">
        <w:rPr>
          <w:rFonts w:cs="Arial"/>
          <w:color w:val="000000" w:themeColor="text1"/>
          <w:sz w:val="18"/>
          <w:szCs w:val="18"/>
          <w:lang w:val="es-ES_tradnl"/>
        </w:rPr>
        <w:t>Fuente: Dirección de Ingresos de Tesorería Municipal</w:t>
      </w:r>
      <w:r>
        <w:rPr>
          <w:rFonts w:cs="Arial"/>
          <w:color w:val="000000" w:themeColor="text1"/>
          <w:sz w:val="18"/>
          <w:szCs w:val="18"/>
          <w:lang w:val="es-ES_tradnl"/>
        </w:rPr>
        <w:t xml:space="preserve"> de Hermosillo.</w:t>
      </w:r>
    </w:p>
    <w:p w14:paraId="7CEE41AD" w14:textId="77777777" w:rsidR="00261A27" w:rsidRPr="008913E4" w:rsidRDefault="00261A27" w:rsidP="00B205BA">
      <w:pPr>
        <w:spacing w:after="120" w:line="240" w:lineRule="auto"/>
        <w:ind w:right="51"/>
        <w:rPr>
          <w:rFonts w:cs="Arial"/>
        </w:rPr>
      </w:pPr>
      <w:r w:rsidRPr="008913E4">
        <w:rPr>
          <w:rFonts w:cs="Arial"/>
        </w:rPr>
        <w:t>En 2023</w:t>
      </w:r>
      <w:r>
        <w:rPr>
          <w:rFonts w:cs="Arial"/>
        </w:rPr>
        <w:t>,</w:t>
      </w:r>
      <w:r w:rsidRPr="008913E4">
        <w:rPr>
          <w:rFonts w:cs="Arial"/>
        </w:rPr>
        <w:t xml:space="preserve"> se obtuv</w:t>
      </w:r>
      <w:r>
        <w:rPr>
          <w:rFonts w:cs="Arial"/>
        </w:rPr>
        <w:t>ieron</w:t>
      </w:r>
      <w:r w:rsidRPr="008913E4">
        <w:rPr>
          <w:rFonts w:cs="Arial"/>
        </w:rPr>
        <w:t xml:space="preserve"> ingreso</w:t>
      </w:r>
      <w:r>
        <w:rPr>
          <w:rFonts w:cs="Arial"/>
        </w:rPr>
        <w:t>s</w:t>
      </w:r>
      <w:r w:rsidRPr="008913E4">
        <w:rPr>
          <w:rFonts w:cs="Arial"/>
        </w:rPr>
        <w:t xml:space="preserve"> que </w:t>
      </w:r>
      <w:r>
        <w:rPr>
          <w:rFonts w:cs="Arial"/>
        </w:rPr>
        <w:t>superaron</w:t>
      </w:r>
      <w:r w:rsidRPr="008913E4">
        <w:rPr>
          <w:rFonts w:cs="Arial"/>
        </w:rPr>
        <w:t xml:space="preserve"> en 1189 millones de pesos </w:t>
      </w:r>
      <w:r>
        <w:rPr>
          <w:rFonts w:cs="Arial"/>
        </w:rPr>
        <w:t xml:space="preserve">a los obtenidos en </w:t>
      </w:r>
      <w:r w:rsidRPr="008913E4">
        <w:rPr>
          <w:rFonts w:cs="Arial"/>
        </w:rPr>
        <w:t xml:space="preserve">2021, </w:t>
      </w:r>
      <w:r>
        <w:rPr>
          <w:rFonts w:cs="Arial"/>
        </w:rPr>
        <w:t>diferencia equivalente a</w:t>
      </w:r>
      <w:r w:rsidRPr="008913E4">
        <w:rPr>
          <w:rFonts w:cs="Arial"/>
        </w:rPr>
        <w:t xml:space="preserve"> un crecimiento de 83</w:t>
      </w:r>
      <w:r>
        <w:rPr>
          <w:rFonts w:cs="Arial"/>
        </w:rPr>
        <w:t xml:space="preserve"> </w:t>
      </w:r>
      <w:r w:rsidRPr="008913E4">
        <w:rPr>
          <w:rFonts w:cs="Arial"/>
        </w:rPr>
        <w:t>%. En 2021</w:t>
      </w:r>
      <w:r>
        <w:rPr>
          <w:rFonts w:cs="Arial"/>
        </w:rPr>
        <w:t>,</w:t>
      </w:r>
      <w:r w:rsidRPr="008913E4">
        <w:rPr>
          <w:rFonts w:cs="Arial"/>
        </w:rPr>
        <w:t xml:space="preserve"> </w:t>
      </w:r>
      <w:r>
        <w:rPr>
          <w:rFonts w:cs="Arial"/>
        </w:rPr>
        <w:t>el total de ingresos propios</w:t>
      </w:r>
      <w:r w:rsidRPr="008913E4">
        <w:rPr>
          <w:rFonts w:cs="Arial"/>
        </w:rPr>
        <w:t xml:space="preserve"> recaudado</w:t>
      </w:r>
      <w:r>
        <w:rPr>
          <w:rFonts w:cs="Arial"/>
        </w:rPr>
        <w:t>s</w:t>
      </w:r>
      <w:r w:rsidRPr="008913E4">
        <w:rPr>
          <w:rFonts w:cs="Arial"/>
        </w:rPr>
        <w:t xml:space="preserve"> </w:t>
      </w:r>
      <w:r>
        <w:rPr>
          <w:rFonts w:cs="Arial"/>
        </w:rPr>
        <w:t xml:space="preserve">superó </w:t>
      </w:r>
      <w:r w:rsidRPr="008913E4">
        <w:rPr>
          <w:rFonts w:cs="Arial"/>
        </w:rPr>
        <w:t>en 21</w:t>
      </w:r>
      <w:r>
        <w:rPr>
          <w:rFonts w:cs="Arial"/>
        </w:rPr>
        <w:t xml:space="preserve"> </w:t>
      </w:r>
      <w:r w:rsidRPr="008913E4">
        <w:rPr>
          <w:rFonts w:cs="Arial"/>
        </w:rPr>
        <w:t>%</w:t>
      </w:r>
      <w:r w:rsidRPr="005162D1">
        <w:rPr>
          <w:rFonts w:cs="Arial"/>
        </w:rPr>
        <w:t xml:space="preserve"> </w:t>
      </w:r>
      <w:r>
        <w:rPr>
          <w:rFonts w:cs="Arial"/>
        </w:rPr>
        <w:t>a lo estimado en el</w:t>
      </w:r>
      <w:r w:rsidRPr="009A6E83">
        <w:rPr>
          <w:rFonts w:cs="Arial"/>
        </w:rPr>
        <w:t xml:space="preserve"> presupuesto</w:t>
      </w:r>
      <w:r>
        <w:rPr>
          <w:rFonts w:cs="Arial"/>
        </w:rPr>
        <w:t xml:space="preserve"> de ingresos</w:t>
      </w:r>
      <w:r w:rsidRPr="009A6E83">
        <w:rPr>
          <w:rFonts w:cs="Arial"/>
        </w:rPr>
        <w:t xml:space="preserve"> </w:t>
      </w:r>
      <w:r>
        <w:rPr>
          <w:rFonts w:cs="Arial"/>
        </w:rPr>
        <w:t>para ese rubro en ese año;</w:t>
      </w:r>
      <w:r w:rsidRPr="008913E4">
        <w:rPr>
          <w:rFonts w:cs="Arial"/>
        </w:rPr>
        <w:t xml:space="preserve"> en 2022</w:t>
      </w:r>
      <w:r>
        <w:rPr>
          <w:rFonts w:cs="Arial"/>
        </w:rPr>
        <w:t>,</w:t>
      </w:r>
      <w:r w:rsidRPr="008913E4">
        <w:rPr>
          <w:rFonts w:cs="Arial"/>
        </w:rPr>
        <w:t xml:space="preserve"> </w:t>
      </w:r>
      <w:r>
        <w:rPr>
          <w:rFonts w:cs="Arial"/>
        </w:rPr>
        <w:t xml:space="preserve">lo superó </w:t>
      </w:r>
      <w:r w:rsidRPr="008913E4">
        <w:rPr>
          <w:rFonts w:cs="Arial"/>
        </w:rPr>
        <w:t>en 25</w:t>
      </w:r>
      <w:r>
        <w:rPr>
          <w:rFonts w:cs="Arial"/>
        </w:rPr>
        <w:t xml:space="preserve"> </w:t>
      </w:r>
      <w:r w:rsidRPr="008913E4">
        <w:rPr>
          <w:rFonts w:cs="Arial"/>
        </w:rPr>
        <w:t>%</w:t>
      </w:r>
      <w:r>
        <w:rPr>
          <w:rFonts w:cs="Arial"/>
        </w:rPr>
        <w:t>,</w:t>
      </w:r>
      <w:r w:rsidRPr="008913E4">
        <w:rPr>
          <w:rFonts w:cs="Arial"/>
        </w:rPr>
        <w:t xml:space="preserve"> y en 2023</w:t>
      </w:r>
      <w:r>
        <w:rPr>
          <w:rFonts w:cs="Arial"/>
        </w:rPr>
        <w:t>,</w:t>
      </w:r>
      <w:r w:rsidRPr="008913E4">
        <w:rPr>
          <w:rFonts w:cs="Arial"/>
        </w:rPr>
        <w:t xml:space="preserve"> en 32</w:t>
      </w:r>
      <w:r>
        <w:rPr>
          <w:rFonts w:cs="Arial"/>
        </w:rPr>
        <w:t xml:space="preserve"> </w:t>
      </w:r>
      <w:r w:rsidRPr="008913E4">
        <w:rPr>
          <w:rFonts w:cs="Arial"/>
        </w:rPr>
        <w:t xml:space="preserve">%. Al cierre de septiembre </w:t>
      </w:r>
      <w:r w:rsidRPr="008913E4">
        <w:rPr>
          <w:rFonts w:cs="Arial"/>
        </w:rPr>
        <w:lastRenderedPageBreak/>
        <w:t>de 2024</w:t>
      </w:r>
      <w:r>
        <w:rPr>
          <w:rFonts w:cs="Arial"/>
        </w:rPr>
        <w:t>,</w:t>
      </w:r>
      <w:r w:rsidRPr="008913E4">
        <w:rPr>
          <w:rFonts w:cs="Arial"/>
        </w:rPr>
        <w:t xml:space="preserve"> </w:t>
      </w:r>
      <w:r>
        <w:rPr>
          <w:rFonts w:cs="Arial"/>
        </w:rPr>
        <w:t>el total de ingresos propios supera en</w:t>
      </w:r>
      <w:r w:rsidRPr="008913E4">
        <w:rPr>
          <w:rFonts w:cs="Arial"/>
        </w:rPr>
        <w:t xml:space="preserve"> 16</w:t>
      </w:r>
      <w:r>
        <w:rPr>
          <w:rFonts w:cs="Arial"/>
        </w:rPr>
        <w:t xml:space="preserve"> </w:t>
      </w:r>
      <w:r w:rsidRPr="008913E4">
        <w:rPr>
          <w:rFonts w:cs="Arial"/>
        </w:rPr>
        <w:t xml:space="preserve">% </w:t>
      </w:r>
      <w:r>
        <w:rPr>
          <w:rFonts w:cs="Arial"/>
        </w:rPr>
        <w:t>a la estimación prevista en el</w:t>
      </w:r>
      <w:r w:rsidRPr="005162D1">
        <w:rPr>
          <w:rFonts w:cs="Arial"/>
        </w:rPr>
        <w:t xml:space="preserve"> presupuesto</w:t>
      </w:r>
      <w:r>
        <w:rPr>
          <w:rFonts w:cs="Arial"/>
        </w:rPr>
        <w:t xml:space="preserve"> de ingresos de este año</w:t>
      </w:r>
      <w:r w:rsidRPr="005162D1">
        <w:rPr>
          <w:rFonts w:cs="Arial"/>
        </w:rPr>
        <w:t>.</w:t>
      </w:r>
    </w:p>
    <w:p w14:paraId="4E7F5F07" w14:textId="64197F40" w:rsidR="00261A27" w:rsidRPr="008913E4" w:rsidRDefault="00BD09D3" w:rsidP="00B205BA">
      <w:pPr>
        <w:spacing w:after="120" w:line="240" w:lineRule="auto"/>
        <w:rPr>
          <w:rFonts w:cstheme="minorHAnsi"/>
          <w:color w:val="001D35"/>
        </w:rPr>
      </w:pPr>
      <w:r w:rsidRPr="008913E4">
        <w:rPr>
          <w:rFonts w:cs="Arial"/>
          <w:b/>
          <w:bCs/>
          <w:color w:val="000000" w:themeColor="text1"/>
          <w:sz w:val="20"/>
          <w:szCs w:val="20"/>
          <w:lang w:val="es-ES_tradnl"/>
        </w:rPr>
        <w:t>GRÁFICA 3. INGRESOS</w:t>
      </w:r>
      <w:r w:rsidRPr="008913E4">
        <w:rPr>
          <w:rFonts w:cs="Arial"/>
          <w:b/>
          <w:color w:val="000000" w:themeColor="text1"/>
          <w:sz w:val="20"/>
          <w:szCs w:val="20"/>
          <w:lang w:val="es-ES_tradnl"/>
        </w:rPr>
        <w:t xml:space="preserve"> PROPIOS PRESUPUESTADOS VS RECAUDADOS 2021- JUNIO 2024</w:t>
      </w:r>
      <w:r>
        <w:rPr>
          <w:rFonts w:cs="Arial"/>
          <w:b/>
          <w:color w:val="000000" w:themeColor="text1"/>
          <w:sz w:val="20"/>
          <w:szCs w:val="20"/>
          <w:lang w:val="es-ES_tradnl"/>
        </w:rPr>
        <w:t xml:space="preserve"> </w:t>
      </w:r>
      <w:r w:rsidRPr="008913E4">
        <w:rPr>
          <w:rFonts w:cs="Arial"/>
          <w:b/>
          <w:color w:val="000000" w:themeColor="text1"/>
          <w:sz w:val="20"/>
          <w:szCs w:val="20"/>
          <w:lang w:val="es-ES_tradnl"/>
        </w:rPr>
        <w:t>(</w:t>
      </w:r>
      <w:r>
        <w:rPr>
          <w:rFonts w:cs="Arial"/>
          <w:b/>
          <w:color w:val="000000" w:themeColor="text1"/>
          <w:sz w:val="20"/>
          <w:szCs w:val="20"/>
          <w:lang w:val="es-ES_tradnl"/>
        </w:rPr>
        <w:t>M</w:t>
      </w:r>
      <w:r w:rsidRPr="008913E4">
        <w:rPr>
          <w:rFonts w:cs="Arial"/>
          <w:b/>
          <w:color w:val="000000" w:themeColor="text1"/>
          <w:sz w:val="20"/>
          <w:szCs w:val="20"/>
          <w:lang w:val="es-ES_tradnl"/>
        </w:rPr>
        <w:t>ILLONES DE PESOS)</w:t>
      </w:r>
      <w:r>
        <w:rPr>
          <w:rFonts w:cs="Arial"/>
          <w:b/>
          <w:color w:val="000000" w:themeColor="text1"/>
          <w:sz w:val="20"/>
          <w:szCs w:val="20"/>
          <w:lang w:val="es-ES_tradnl"/>
        </w:rPr>
        <w:t>.</w:t>
      </w:r>
    </w:p>
    <w:p w14:paraId="3C8899CC" w14:textId="2FC11F3F" w:rsidR="00261A27" w:rsidRPr="008913E4" w:rsidRDefault="00626AB9" w:rsidP="00B205BA">
      <w:pPr>
        <w:pStyle w:val="Sinespaciado"/>
        <w:spacing w:after="120"/>
        <w:rPr>
          <w:rFonts w:cstheme="minorHAnsi"/>
          <w:color w:val="001D35"/>
          <w:lang w:val="es-ES" w:bidi="en-US"/>
        </w:rPr>
      </w:pPr>
      <w:r w:rsidRPr="008913E4">
        <w:rPr>
          <w:noProof/>
          <w:lang w:val="es-ES" w:bidi="en-US"/>
        </w:rPr>
        <mc:AlternateContent>
          <mc:Choice Requires="wps">
            <w:drawing>
              <wp:anchor distT="0" distB="0" distL="114300" distR="114300" simplePos="0" relativeHeight="251735040" behindDoc="0" locked="0" layoutInCell="1" allowOverlap="1" wp14:anchorId="43C904FF" wp14:editId="0CE02A6D">
                <wp:simplePos x="0" y="0"/>
                <wp:positionH relativeFrom="column">
                  <wp:posOffset>1674495</wp:posOffset>
                </wp:positionH>
                <wp:positionV relativeFrom="paragraph">
                  <wp:posOffset>199390</wp:posOffset>
                </wp:positionV>
                <wp:extent cx="504825" cy="323850"/>
                <wp:effectExtent l="0" t="0" r="0" b="0"/>
                <wp:wrapNone/>
                <wp:docPr id="1421138859" name="Cuadro de texto 1"/>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wps:spPr>
                      <wps:txbx>
                        <w:txbxContent>
                          <w:p w14:paraId="6E71EE54" w14:textId="77777777" w:rsidR="00261A27" w:rsidRPr="00C25269" w:rsidRDefault="00261A27" w:rsidP="00261A27">
                            <w:pPr>
                              <w:rPr>
                                <w:color w:val="00B050"/>
                              </w:rPr>
                            </w:pPr>
                            <w:r w:rsidRPr="00C25269">
                              <w:rPr>
                                <w:color w:val="00B050"/>
                              </w:rPr>
                              <w:t>2</w:t>
                            </w:r>
                            <w:r>
                              <w:rPr>
                                <w:color w:val="00B050"/>
                              </w:rPr>
                              <w:t>5</w:t>
                            </w:r>
                            <w:r w:rsidRPr="00C25269">
                              <w:rPr>
                                <w:color w:val="00B05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904FF" id="Cuadro de texto 1" o:spid="_x0000_s1027" type="#_x0000_t202" style="position:absolute;margin-left:131.85pt;margin-top:15.7pt;width:39.7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" filled="f" stroked="f" strokeweight=".5pt">
                <v:textbox>
                  <w:txbxContent>
                    <w:p w14:paraId="6E71EE54" w14:textId="77777777" w:rsidR="00261A27" w:rsidRPr="00C25269" w:rsidRDefault="00261A27" w:rsidP="00261A27">
                      <w:pPr>
                        <w:rPr>
                          <w:color w:val="00B050"/>
                        </w:rPr>
                      </w:pPr>
                      <w:r w:rsidRPr="00C25269">
                        <w:rPr>
                          <w:color w:val="00B050"/>
                        </w:rPr>
                        <w:t>2</w:t>
                      </w:r>
                      <w:r>
                        <w:rPr>
                          <w:color w:val="00B050"/>
                        </w:rPr>
                        <w:t>5</w:t>
                      </w:r>
                      <w:r w:rsidRPr="00C25269">
                        <w:rPr>
                          <w:color w:val="00B050"/>
                        </w:rPr>
                        <w:t>%</w:t>
                      </w:r>
                    </w:p>
                  </w:txbxContent>
                </v:textbox>
              </v:shape>
            </w:pict>
          </mc:Fallback>
        </mc:AlternateContent>
      </w:r>
      <w:r w:rsidRPr="008913E4">
        <w:rPr>
          <w:noProof/>
          <w:lang w:val="es-ES" w:bidi="en-US"/>
        </w:rPr>
        <mc:AlternateContent>
          <mc:Choice Requires="wps">
            <w:drawing>
              <wp:anchor distT="0" distB="0" distL="114300" distR="114300" simplePos="0" relativeHeight="251734016" behindDoc="0" locked="0" layoutInCell="1" allowOverlap="1" wp14:anchorId="2C1C41C8" wp14:editId="6458C99F">
                <wp:simplePos x="0" y="0"/>
                <wp:positionH relativeFrom="column">
                  <wp:posOffset>457200</wp:posOffset>
                </wp:positionH>
                <wp:positionV relativeFrom="paragraph">
                  <wp:posOffset>495935</wp:posOffset>
                </wp:positionV>
                <wp:extent cx="504825" cy="323850"/>
                <wp:effectExtent l="0" t="0" r="0" b="0"/>
                <wp:wrapNone/>
                <wp:docPr id="226276532" name="Cuadro de texto 1"/>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wps:spPr>
                      <wps:txbx>
                        <w:txbxContent>
                          <w:p w14:paraId="23D10CA5" w14:textId="77777777" w:rsidR="00261A27" w:rsidRPr="00C25269" w:rsidRDefault="00261A27" w:rsidP="00261A27">
                            <w:pPr>
                              <w:rPr>
                                <w:color w:val="00B050"/>
                              </w:rPr>
                            </w:pPr>
                            <w:r w:rsidRPr="00C25269">
                              <w:rPr>
                                <w:color w:val="00B05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C41C8" id="_x0000_s1028" type="#_x0000_t202" style="position:absolute;margin-left:36pt;margin-top:39.05pt;width:39.75pt;height: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" filled="f" stroked="f" strokeweight=".5pt">
                <v:textbox>
                  <w:txbxContent>
                    <w:p w14:paraId="23D10CA5" w14:textId="77777777" w:rsidR="00261A27" w:rsidRPr="00C25269" w:rsidRDefault="00261A27" w:rsidP="00261A27">
                      <w:pPr>
                        <w:rPr>
                          <w:color w:val="00B050"/>
                        </w:rPr>
                      </w:pPr>
                      <w:r w:rsidRPr="00C25269">
                        <w:rPr>
                          <w:color w:val="00B050"/>
                        </w:rPr>
                        <w:t>21%</w:t>
                      </w:r>
                    </w:p>
                  </w:txbxContent>
                </v:textbox>
              </v:shape>
            </w:pict>
          </mc:Fallback>
        </mc:AlternateContent>
      </w:r>
      <w:r w:rsidRPr="008913E4">
        <w:rPr>
          <w:noProof/>
          <w:lang w:val="es-ES" w:bidi="en-US"/>
        </w:rPr>
        <mc:AlternateContent>
          <mc:Choice Requires="wps">
            <w:drawing>
              <wp:anchor distT="0" distB="0" distL="114300" distR="114300" simplePos="0" relativeHeight="251737088" behindDoc="0" locked="0" layoutInCell="1" allowOverlap="1" wp14:anchorId="35F9259F" wp14:editId="11A756FA">
                <wp:simplePos x="0" y="0"/>
                <wp:positionH relativeFrom="column">
                  <wp:posOffset>4154170</wp:posOffset>
                </wp:positionH>
                <wp:positionV relativeFrom="paragraph">
                  <wp:posOffset>196850</wp:posOffset>
                </wp:positionV>
                <wp:extent cx="504825" cy="323850"/>
                <wp:effectExtent l="0" t="0" r="0" b="0"/>
                <wp:wrapNone/>
                <wp:docPr id="1884751886" name="Cuadro de texto 1"/>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wps:spPr>
                      <wps:txbx>
                        <w:txbxContent>
                          <w:p w14:paraId="3D00056D" w14:textId="77777777" w:rsidR="00261A27" w:rsidRPr="00C25269" w:rsidRDefault="00261A27" w:rsidP="00261A27">
                            <w:pPr>
                              <w:rPr>
                                <w:color w:val="00B050"/>
                              </w:rPr>
                            </w:pPr>
                            <w:r>
                              <w:rPr>
                                <w:color w:val="00B050"/>
                              </w:rPr>
                              <w:t>16</w:t>
                            </w:r>
                            <w:r w:rsidRPr="00C25269">
                              <w:rPr>
                                <w:color w:val="00B05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9259F" id="_x0000_s1029" type="#_x0000_t202" style="position:absolute;margin-left:327.1pt;margin-top:15.5pt;width:39.75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" filled="f" stroked="f" strokeweight=".5pt">
                <v:textbox>
                  <w:txbxContent>
                    <w:p w14:paraId="3D00056D" w14:textId="77777777" w:rsidR="00261A27" w:rsidRPr="00C25269" w:rsidRDefault="00261A27" w:rsidP="00261A27">
                      <w:pPr>
                        <w:rPr>
                          <w:color w:val="00B050"/>
                        </w:rPr>
                      </w:pPr>
                      <w:r>
                        <w:rPr>
                          <w:color w:val="00B050"/>
                        </w:rPr>
                        <w:t>16</w:t>
                      </w:r>
                      <w:r w:rsidRPr="00C25269">
                        <w:rPr>
                          <w:color w:val="00B050"/>
                        </w:rPr>
                        <w:t>%</w:t>
                      </w:r>
                    </w:p>
                  </w:txbxContent>
                </v:textbox>
              </v:shape>
            </w:pict>
          </mc:Fallback>
        </mc:AlternateContent>
      </w:r>
      <w:r w:rsidRPr="008913E4">
        <w:rPr>
          <w:noProof/>
          <w:lang w:val="es-ES" w:bidi="en-US"/>
        </w:rPr>
        <mc:AlternateContent>
          <mc:Choice Requires="wps">
            <w:drawing>
              <wp:anchor distT="0" distB="0" distL="114300" distR="114300" simplePos="0" relativeHeight="251736064" behindDoc="0" locked="0" layoutInCell="1" allowOverlap="1" wp14:anchorId="54367593" wp14:editId="2B9154FB">
                <wp:simplePos x="0" y="0"/>
                <wp:positionH relativeFrom="column">
                  <wp:posOffset>2913380</wp:posOffset>
                </wp:positionH>
                <wp:positionV relativeFrom="paragraph">
                  <wp:posOffset>111760</wp:posOffset>
                </wp:positionV>
                <wp:extent cx="504825" cy="323850"/>
                <wp:effectExtent l="0" t="0" r="0" b="0"/>
                <wp:wrapNone/>
                <wp:docPr id="631150965" name="Cuadro de texto 1"/>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wps:spPr>
                      <wps:txbx>
                        <w:txbxContent>
                          <w:p w14:paraId="44DD0768" w14:textId="77777777" w:rsidR="00261A27" w:rsidRPr="00C25269" w:rsidRDefault="00261A27" w:rsidP="00261A27">
                            <w:pPr>
                              <w:rPr>
                                <w:color w:val="00B050"/>
                              </w:rPr>
                            </w:pPr>
                            <w:r>
                              <w:rPr>
                                <w:color w:val="00B050"/>
                              </w:rPr>
                              <w:t>32</w:t>
                            </w:r>
                            <w:r w:rsidRPr="00C25269">
                              <w:rPr>
                                <w:color w:val="00B05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7593" id="_x0000_s1030" type="#_x0000_t202" style="position:absolute;margin-left:229.4pt;margin-top:8.8pt;width:39.75pt;height: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" filled="f" stroked="f" strokeweight=".5pt">
                <v:textbox>
                  <w:txbxContent>
                    <w:p w14:paraId="44DD0768" w14:textId="77777777" w:rsidR="00261A27" w:rsidRPr="00C25269" w:rsidRDefault="00261A27" w:rsidP="00261A27">
                      <w:pPr>
                        <w:rPr>
                          <w:color w:val="00B050"/>
                        </w:rPr>
                      </w:pPr>
                      <w:r>
                        <w:rPr>
                          <w:color w:val="00B050"/>
                        </w:rPr>
                        <w:t>32</w:t>
                      </w:r>
                      <w:r w:rsidRPr="00C25269">
                        <w:rPr>
                          <w:color w:val="00B050"/>
                        </w:rPr>
                        <w:t>%</w:t>
                      </w:r>
                    </w:p>
                  </w:txbxContent>
                </v:textbox>
              </v:shape>
            </w:pict>
          </mc:Fallback>
        </mc:AlternateContent>
      </w:r>
      <w:r w:rsidR="00261A27" w:rsidRPr="008913E4">
        <w:rPr>
          <w:noProof/>
          <w:lang w:val="es-ES" w:bidi="en-US"/>
        </w:rPr>
        <w:drawing>
          <wp:inline distT="0" distB="0" distL="0" distR="0" wp14:anchorId="4EB632F6" wp14:editId="48261658">
            <wp:extent cx="5467350" cy="2205318"/>
            <wp:effectExtent l="0" t="0" r="6350" b="17780"/>
            <wp:docPr id="765485301" name="Gráfico 1">
              <a:extLst xmlns:a="http://schemas.openxmlformats.org/drawingml/2006/main">
                <a:ext uri="{FF2B5EF4-FFF2-40B4-BE49-F238E27FC236}">
                  <a16:creationId xmlns:a16="http://schemas.microsoft.com/office/drawing/2014/main" id="{05F02FE9-D0E8-FE64-FB6A-7847573FB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00339D" w14:textId="458F2A91" w:rsidR="00261A27" w:rsidRPr="008913E4" w:rsidRDefault="00261A27" w:rsidP="00B205BA">
      <w:pPr>
        <w:spacing w:after="120" w:line="240" w:lineRule="auto"/>
        <w:rPr>
          <w:rFonts w:cs="Arial"/>
          <w:color w:val="000000" w:themeColor="text1"/>
          <w:sz w:val="18"/>
          <w:szCs w:val="18"/>
          <w:lang w:val="es-ES_tradnl"/>
        </w:rPr>
      </w:pPr>
      <w:r w:rsidRPr="008913E4">
        <w:rPr>
          <w:rFonts w:cs="Arial"/>
          <w:color w:val="000000" w:themeColor="text1"/>
          <w:sz w:val="18"/>
          <w:szCs w:val="18"/>
          <w:lang w:val="es-ES_tradnl"/>
        </w:rPr>
        <w:t>Fuente: Dirección de Ingresos de Tesorería Municipal.</w:t>
      </w:r>
    </w:p>
    <w:p w14:paraId="4D2BC364" w14:textId="510EF30D" w:rsidR="00261A27" w:rsidRPr="00626AB9" w:rsidRDefault="00261A27" w:rsidP="00626AB9">
      <w:pPr>
        <w:spacing w:after="120" w:line="240" w:lineRule="auto"/>
        <w:ind w:right="51"/>
        <w:rPr>
          <w:rFonts w:cs="Arial"/>
        </w:rPr>
      </w:pPr>
      <w:r>
        <w:rPr>
          <w:rFonts w:cs="Arial"/>
        </w:rPr>
        <w:t>En esta dinámica de</w:t>
      </w:r>
      <w:r w:rsidRPr="008913E4">
        <w:rPr>
          <w:rFonts w:cs="Arial"/>
        </w:rPr>
        <w:t xml:space="preserve"> incremento sostenido de los ingresos presupuestados y</w:t>
      </w:r>
      <w:r>
        <w:rPr>
          <w:rFonts w:cs="Arial"/>
        </w:rPr>
        <w:t xml:space="preserve"> los</w:t>
      </w:r>
      <w:r w:rsidRPr="008913E4">
        <w:rPr>
          <w:rFonts w:cs="Arial"/>
        </w:rPr>
        <w:t xml:space="preserve"> recaudados, se destaca que los principales ingresos propios del </w:t>
      </w:r>
      <w:r>
        <w:rPr>
          <w:rFonts w:cs="Arial"/>
        </w:rPr>
        <w:t>A</w:t>
      </w:r>
      <w:r w:rsidRPr="008913E4">
        <w:rPr>
          <w:rFonts w:cs="Arial"/>
        </w:rPr>
        <w:t>yuntamiento</w:t>
      </w:r>
      <w:r>
        <w:rPr>
          <w:rFonts w:cs="Arial"/>
        </w:rPr>
        <w:t xml:space="preserve"> de Hermosillo</w:t>
      </w:r>
      <w:r w:rsidRPr="008913E4">
        <w:rPr>
          <w:rFonts w:cs="Arial"/>
        </w:rPr>
        <w:t xml:space="preserve"> provienen del impuesto predial y </w:t>
      </w:r>
      <w:r>
        <w:rPr>
          <w:rFonts w:cs="Arial"/>
        </w:rPr>
        <w:t xml:space="preserve">del impuesto por </w:t>
      </w:r>
      <w:r w:rsidRPr="008913E4">
        <w:rPr>
          <w:rFonts w:cs="Arial"/>
        </w:rPr>
        <w:t>traslado de dominio, los cuales tuvieron un crecimiento anual compuesto (CAC) de 83</w:t>
      </w:r>
      <w:r>
        <w:rPr>
          <w:rFonts w:cs="Arial"/>
        </w:rPr>
        <w:t xml:space="preserve"> </w:t>
      </w:r>
      <w:r w:rsidRPr="008913E4">
        <w:rPr>
          <w:rFonts w:cs="Arial"/>
        </w:rPr>
        <w:t xml:space="preserve">% </w:t>
      </w:r>
      <w:r>
        <w:rPr>
          <w:rFonts w:cs="Arial"/>
        </w:rPr>
        <w:t>entre</w:t>
      </w:r>
      <w:r w:rsidRPr="008913E4">
        <w:rPr>
          <w:rFonts w:cs="Arial"/>
        </w:rPr>
        <w:t xml:space="preserve"> 2021 </w:t>
      </w:r>
      <w:r>
        <w:rPr>
          <w:rFonts w:cs="Arial"/>
        </w:rPr>
        <w:t>y</w:t>
      </w:r>
      <w:r w:rsidRPr="008913E4">
        <w:rPr>
          <w:rFonts w:cs="Arial"/>
        </w:rPr>
        <w:t xml:space="preserve"> 2023.</w:t>
      </w:r>
    </w:p>
    <w:p w14:paraId="781949DE" w14:textId="11BBF014" w:rsidR="00261A27" w:rsidRPr="00AF0E23" w:rsidRDefault="00BD09D3" w:rsidP="00B205BA">
      <w:pPr>
        <w:spacing w:after="120" w:line="240" w:lineRule="auto"/>
        <w:rPr>
          <w:rFonts w:cs="Arial"/>
          <w:b/>
          <w:bCs/>
          <w:color w:val="000000" w:themeColor="text1"/>
          <w:sz w:val="20"/>
          <w:szCs w:val="20"/>
          <w:lang w:val="es-ES_tradnl"/>
        </w:rPr>
      </w:pPr>
      <w:r w:rsidRPr="00AF0E23">
        <w:rPr>
          <w:rFonts w:cs="Arial"/>
          <w:b/>
          <w:bCs/>
          <w:color w:val="000000" w:themeColor="text1"/>
          <w:sz w:val="20"/>
          <w:szCs w:val="20"/>
          <w:lang w:val="es-ES_tradnl"/>
        </w:rPr>
        <w:t>TABLA 1. INGRESOS POR IMPUESTOS EN EL AYUNTAMIENTO DE HERMOSILLO</w:t>
      </w:r>
      <w:r>
        <w:rPr>
          <w:rFonts w:cs="Arial"/>
          <w:b/>
          <w:bCs/>
          <w:color w:val="000000" w:themeColor="text1"/>
          <w:sz w:val="20"/>
          <w:szCs w:val="20"/>
          <w:lang w:val="es-ES_tradnl"/>
        </w:rPr>
        <w:t xml:space="preserve"> DE</w:t>
      </w:r>
      <w:r w:rsidRPr="00AF0E23">
        <w:rPr>
          <w:rFonts w:cs="Arial"/>
          <w:b/>
          <w:bCs/>
          <w:color w:val="000000" w:themeColor="text1"/>
          <w:sz w:val="20"/>
          <w:szCs w:val="20"/>
          <w:lang w:val="es-ES_tradnl"/>
        </w:rPr>
        <w:t xml:space="preserve"> 2021</w:t>
      </w:r>
      <w:r>
        <w:rPr>
          <w:rFonts w:cs="Arial"/>
          <w:b/>
          <w:bCs/>
          <w:color w:val="000000" w:themeColor="text1"/>
          <w:sz w:val="20"/>
          <w:szCs w:val="20"/>
          <w:lang w:val="es-ES_tradnl"/>
        </w:rPr>
        <w:t xml:space="preserve"> A </w:t>
      </w:r>
      <w:r w:rsidRPr="00AF0E23">
        <w:rPr>
          <w:rFonts w:cs="Arial"/>
          <w:b/>
          <w:bCs/>
          <w:color w:val="000000" w:themeColor="text1"/>
          <w:sz w:val="20"/>
          <w:szCs w:val="20"/>
          <w:lang w:val="es-ES_tradnl"/>
        </w:rPr>
        <w:t>2023</w:t>
      </w:r>
      <w:r>
        <w:rPr>
          <w:rFonts w:cs="Arial"/>
          <w:b/>
          <w:bCs/>
          <w:color w:val="000000" w:themeColor="text1"/>
          <w:sz w:val="20"/>
          <w:szCs w:val="20"/>
          <w:lang w:val="es-ES_tradnl"/>
        </w:rPr>
        <w:t xml:space="preserve"> POR CONCEPTO</w:t>
      </w:r>
      <w:r w:rsidRPr="00AF0E23">
        <w:rPr>
          <w:rFonts w:cs="Arial"/>
          <w:b/>
          <w:bCs/>
          <w:color w:val="000000" w:themeColor="text1"/>
          <w:sz w:val="20"/>
          <w:szCs w:val="20"/>
          <w:lang w:val="es-ES_tradnl"/>
        </w:rPr>
        <w:t xml:space="preserve"> (MILLONES DE PESOS).</w:t>
      </w:r>
    </w:p>
    <w:tbl>
      <w:tblPr>
        <w:tblW w:w="8409" w:type="dxa"/>
        <w:tblCellMar>
          <w:left w:w="70" w:type="dxa"/>
          <w:right w:w="70" w:type="dxa"/>
        </w:tblCellMar>
        <w:tblLook w:val="04A0" w:firstRow="1" w:lastRow="0" w:firstColumn="1" w:lastColumn="0" w:noHBand="0" w:noVBand="1"/>
      </w:tblPr>
      <w:tblGrid>
        <w:gridCol w:w="4596"/>
        <w:gridCol w:w="998"/>
        <w:gridCol w:w="998"/>
        <w:gridCol w:w="999"/>
        <w:gridCol w:w="818"/>
      </w:tblGrid>
      <w:tr w:rsidR="00261A27" w:rsidRPr="008913E4" w14:paraId="186A4883" w14:textId="77777777" w:rsidTr="000635AB">
        <w:trPr>
          <w:trHeight w:val="228"/>
        </w:trPr>
        <w:tc>
          <w:tcPr>
            <w:tcW w:w="4596" w:type="dxa"/>
            <w:vMerge w:val="restart"/>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7D33D41D" w14:textId="77777777" w:rsidR="00261A27" w:rsidRPr="008913E4" w:rsidRDefault="00261A27" w:rsidP="00B205BA">
            <w:pPr>
              <w:spacing w:after="120" w:line="240" w:lineRule="auto"/>
              <w:jc w:val="center"/>
              <w:rPr>
                <w:rFonts w:cs="Arial"/>
                <w:lang w:eastAsia="es-MX"/>
              </w:rPr>
            </w:pPr>
            <w:r w:rsidRPr="008913E4">
              <w:rPr>
                <w:rFonts w:cs="Arial"/>
                <w:b/>
                <w:bCs/>
                <w:lang w:eastAsia="es-MX"/>
              </w:rPr>
              <w:t>Concepto</w:t>
            </w:r>
          </w:p>
        </w:tc>
        <w:tc>
          <w:tcPr>
            <w:tcW w:w="2995" w:type="dxa"/>
            <w:gridSpan w:val="3"/>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485D5026" w14:textId="77777777" w:rsidR="00261A27" w:rsidRPr="008913E4" w:rsidRDefault="00261A27" w:rsidP="00B205BA">
            <w:pPr>
              <w:spacing w:after="120" w:line="240" w:lineRule="auto"/>
              <w:jc w:val="center"/>
              <w:rPr>
                <w:rFonts w:cs="Arial"/>
                <w:lang w:eastAsia="es-MX"/>
              </w:rPr>
            </w:pPr>
            <w:r w:rsidRPr="008913E4">
              <w:rPr>
                <w:rFonts w:cs="Arial"/>
                <w:b/>
                <w:bCs/>
                <w:color w:val="000000"/>
                <w:lang w:eastAsia="es-MX"/>
              </w:rPr>
              <w:t>Ingresos recibidos</w:t>
            </w:r>
          </w:p>
        </w:tc>
        <w:tc>
          <w:tcPr>
            <w:tcW w:w="818" w:type="dxa"/>
            <w:vMerge w:val="restart"/>
            <w:tcBorders>
              <w:top w:val="single" w:sz="4" w:space="0" w:color="auto"/>
              <w:left w:val="nil"/>
              <w:bottom w:val="single" w:sz="4" w:space="0" w:color="auto"/>
              <w:right w:val="single" w:sz="4" w:space="0" w:color="auto"/>
            </w:tcBorders>
            <w:shd w:val="clear" w:color="auto" w:fill="ED7D31" w:themeFill="accent2"/>
            <w:noWrap/>
            <w:vAlign w:val="center"/>
          </w:tcPr>
          <w:p w14:paraId="3ED8A622" w14:textId="77777777" w:rsidR="00261A27" w:rsidRPr="008913E4" w:rsidRDefault="00261A27" w:rsidP="00B205BA">
            <w:pPr>
              <w:spacing w:after="120" w:line="240" w:lineRule="auto"/>
              <w:jc w:val="right"/>
              <w:rPr>
                <w:rFonts w:cs="Arial"/>
                <w:lang w:eastAsia="es-MX"/>
              </w:rPr>
            </w:pPr>
            <w:r w:rsidRPr="008913E4">
              <w:rPr>
                <w:rFonts w:cs="Arial"/>
                <w:b/>
                <w:bCs/>
                <w:color w:val="000000"/>
                <w:lang w:eastAsia="es-MX"/>
              </w:rPr>
              <w:t>CAC%</w:t>
            </w:r>
          </w:p>
        </w:tc>
      </w:tr>
      <w:tr w:rsidR="00261A27" w:rsidRPr="008913E4" w14:paraId="25D52DEB" w14:textId="77777777" w:rsidTr="000635AB">
        <w:trPr>
          <w:trHeight w:val="339"/>
        </w:trPr>
        <w:tc>
          <w:tcPr>
            <w:tcW w:w="4596" w:type="dxa"/>
            <w:vMerge/>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06C7B1E" w14:textId="77777777" w:rsidR="00261A27" w:rsidRPr="008913E4" w:rsidRDefault="00261A27" w:rsidP="00B205BA">
            <w:pPr>
              <w:spacing w:after="120" w:line="240" w:lineRule="auto"/>
              <w:rPr>
                <w:rFonts w:cs="Arial"/>
                <w:lang w:eastAsia="es-MX"/>
              </w:rPr>
            </w:pPr>
          </w:p>
        </w:tc>
        <w:tc>
          <w:tcPr>
            <w:tcW w:w="998"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1CBC0A36" w14:textId="77777777" w:rsidR="00261A27" w:rsidRPr="008913E4" w:rsidRDefault="00261A27" w:rsidP="00B205BA">
            <w:pPr>
              <w:spacing w:after="120" w:line="240" w:lineRule="auto"/>
              <w:jc w:val="center"/>
              <w:rPr>
                <w:rFonts w:cs="Arial"/>
                <w:lang w:eastAsia="es-MX"/>
              </w:rPr>
            </w:pPr>
            <w:r w:rsidRPr="008913E4">
              <w:rPr>
                <w:rFonts w:cs="Arial"/>
                <w:b/>
                <w:bCs/>
                <w:color w:val="000000"/>
                <w:lang w:eastAsia="es-MX"/>
              </w:rPr>
              <w:t>2021</w:t>
            </w:r>
          </w:p>
        </w:tc>
        <w:tc>
          <w:tcPr>
            <w:tcW w:w="998" w:type="dxa"/>
            <w:tcBorders>
              <w:top w:val="single" w:sz="4" w:space="0" w:color="auto"/>
              <w:left w:val="nil"/>
              <w:bottom w:val="single" w:sz="4" w:space="0" w:color="auto"/>
              <w:right w:val="single" w:sz="4" w:space="0" w:color="auto"/>
            </w:tcBorders>
            <w:shd w:val="clear" w:color="auto" w:fill="ED7D31" w:themeFill="accent2"/>
            <w:noWrap/>
            <w:vAlign w:val="center"/>
          </w:tcPr>
          <w:p w14:paraId="74E08B10" w14:textId="77777777" w:rsidR="00261A27" w:rsidRPr="008913E4" w:rsidRDefault="00261A27" w:rsidP="00B205BA">
            <w:pPr>
              <w:spacing w:after="120" w:line="240" w:lineRule="auto"/>
              <w:jc w:val="center"/>
              <w:rPr>
                <w:rFonts w:cs="Arial"/>
                <w:lang w:eastAsia="es-MX"/>
              </w:rPr>
            </w:pPr>
            <w:r w:rsidRPr="008913E4">
              <w:rPr>
                <w:rFonts w:cs="Arial"/>
                <w:b/>
                <w:bCs/>
                <w:color w:val="000000"/>
                <w:lang w:eastAsia="es-MX"/>
              </w:rPr>
              <w:t>2022</w:t>
            </w:r>
          </w:p>
        </w:tc>
        <w:tc>
          <w:tcPr>
            <w:tcW w:w="999" w:type="dxa"/>
            <w:tcBorders>
              <w:top w:val="single" w:sz="4" w:space="0" w:color="auto"/>
              <w:left w:val="nil"/>
              <w:bottom w:val="single" w:sz="4" w:space="0" w:color="auto"/>
              <w:right w:val="single" w:sz="4" w:space="0" w:color="auto"/>
            </w:tcBorders>
            <w:shd w:val="clear" w:color="auto" w:fill="ED7D31" w:themeFill="accent2"/>
            <w:noWrap/>
            <w:vAlign w:val="center"/>
          </w:tcPr>
          <w:p w14:paraId="6543CFA9" w14:textId="77777777" w:rsidR="00261A27" w:rsidRPr="008913E4" w:rsidRDefault="00261A27" w:rsidP="00B205BA">
            <w:pPr>
              <w:spacing w:after="120" w:line="240" w:lineRule="auto"/>
              <w:jc w:val="center"/>
              <w:rPr>
                <w:rFonts w:cs="Arial"/>
                <w:lang w:eastAsia="es-MX"/>
              </w:rPr>
            </w:pPr>
            <w:r w:rsidRPr="008913E4">
              <w:rPr>
                <w:rFonts w:cs="Arial"/>
                <w:b/>
                <w:bCs/>
                <w:color w:val="000000"/>
                <w:lang w:eastAsia="es-MX"/>
              </w:rPr>
              <w:t>2023</w:t>
            </w:r>
          </w:p>
        </w:tc>
        <w:tc>
          <w:tcPr>
            <w:tcW w:w="818" w:type="dxa"/>
            <w:vMerge/>
            <w:tcBorders>
              <w:top w:val="single" w:sz="4" w:space="0" w:color="auto"/>
              <w:left w:val="nil"/>
              <w:bottom w:val="single" w:sz="4" w:space="0" w:color="auto"/>
              <w:right w:val="single" w:sz="4" w:space="0" w:color="auto"/>
            </w:tcBorders>
            <w:shd w:val="clear" w:color="auto" w:fill="ED7D31" w:themeFill="accent2"/>
            <w:noWrap/>
            <w:vAlign w:val="center"/>
          </w:tcPr>
          <w:p w14:paraId="75826121" w14:textId="77777777" w:rsidR="00261A27" w:rsidRPr="008913E4" w:rsidRDefault="00261A27" w:rsidP="00B205BA">
            <w:pPr>
              <w:spacing w:after="120" w:line="240" w:lineRule="auto"/>
              <w:jc w:val="right"/>
              <w:rPr>
                <w:rFonts w:cs="Arial"/>
                <w:lang w:eastAsia="es-MX"/>
              </w:rPr>
            </w:pPr>
          </w:p>
        </w:tc>
      </w:tr>
      <w:tr w:rsidR="00261A27" w:rsidRPr="008913E4" w14:paraId="0F7B9771" w14:textId="77777777" w:rsidTr="000635AB">
        <w:trPr>
          <w:trHeight w:val="228"/>
        </w:trPr>
        <w:tc>
          <w:tcPr>
            <w:tcW w:w="4596" w:type="dxa"/>
            <w:tcBorders>
              <w:top w:val="nil"/>
              <w:left w:val="single" w:sz="4" w:space="0" w:color="auto"/>
              <w:bottom w:val="single" w:sz="4" w:space="0" w:color="auto"/>
              <w:right w:val="single" w:sz="4" w:space="0" w:color="auto"/>
            </w:tcBorders>
            <w:shd w:val="clear" w:color="000000" w:fill="FFFFFF"/>
            <w:vAlign w:val="center"/>
            <w:hideMark/>
          </w:tcPr>
          <w:p w14:paraId="7E4F5ED1" w14:textId="23B215F5" w:rsidR="00261A27" w:rsidRPr="008913E4" w:rsidRDefault="00261A27" w:rsidP="00B205BA">
            <w:pPr>
              <w:spacing w:after="120" w:line="240" w:lineRule="auto"/>
              <w:rPr>
                <w:rFonts w:cs="Arial"/>
                <w:lang w:eastAsia="es-MX"/>
              </w:rPr>
            </w:pPr>
            <w:r w:rsidRPr="008913E4">
              <w:rPr>
                <w:rFonts w:cs="Arial"/>
                <w:lang w:eastAsia="es-MX"/>
              </w:rPr>
              <w:t xml:space="preserve">Recaudación anual </w:t>
            </w:r>
            <w:r w:rsidR="007503ED">
              <w:rPr>
                <w:rFonts w:cs="Arial"/>
                <w:lang w:eastAsia="es-MX"/>
              </w:rPr>
              <w:t>predial</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57EF2" w14:textId="77777777" w:rsidR="00261A27" w:rsidRPr="008913E4" w:rsidRDefault="00261A27" w:rsidP="00B205BA">
            <w:pPr>
              <w:spacing w:after="120" w:line="240" w:lineRule="auto"/>
              <w:jc w:val="center"/>
              <w:rPr>
                <w:rFonts w:cs="Arial"/>
                <w:lang w:eastAsia="es-MX"/>
              </w:rPr>
            </w:pPr>
            <w:r w:rsidRPr="008913E4">
              <w:rPr>
                <w:rFonts w:cs="Arial"/>
                <w:lang w:eastAsia="es-MX"/>
              </w:rPr>
              <w:t>432</w:t>
            </w:r>
          </w:p>
        </w:tc>
        <w:tc>
          <w:tcPr>
            <w:tcW w:w="998" w:type="dxa"/>
            <w:tcBorders>
              <w:top w:val="nil"/>
              <w:left w:val="nil"/>
              <w:bottom w:val="single" w:sz="4" w:space="0" w:color="auto"/>
              <w:right w:val="single" w:sz="4" w:space="0" w:color="auto"/>
            </w:tcBorders>
            <w:shd w:val="clear" w:color="000000" w:fill="FFFFFF"/>
            <w:noWrap/>
            <w:vAlign w:val="center"/>
            <w:hideMark/>
          </w:tcPr>
          <w:p w14:paraId="7613F00A" w14:textId="77777777" w:rsidR="00261A27" w:rsidRPr="008913E4" w:rsidRDefault="00261A27" w:rsidP="00B205BA">
            <w:pPr>
              <w:spacing w:after="120" w:line="240" w:lineRule="auto"/>
              <w:jc w:val="center"/>
              <w:rPr>
                <w:rFonts w:cs="Arial"/>
                <w:lang w:eastAsia="es-MX"/>
              </w:rPr>
            </w:pPr>
            <w:r w:rsidRPr="008913E4">
              <w:rPr>
                <w:rFonts w:cs="Arial"/>
                <w:lang w:eastAsia="es-MX"/>
              </w:rPr>
              <w:t>604</w:t>
            </w:r>
          </w:p>
        </w:tc>
        <w:tc>
          <w:tcPr>
            <w:tcW w:w="999" w:type="dxa"/>
            <w:tcBorders>
              <w:top w:val="nil"/>
              <w:left w:val="nil"/>
              <w:bottom w:val="single" w:sz="4" w:space="0" w:color="auto"/>
              <w:right w:val="single" w:sz="4" w:space="0" w:color="auto"/>
            </w:tcBorders>
            <w:shd w:val="clear" w:color="000000" w:fill="FFFFFF"/>
            <w:noWrap/>
            <w:vAlign w:val="center"/>
            <w:hideMark/>
          </w:tcPr>
          <w:p w14:paraId="75EC9F93" w14:textId="77777777" w:rsidR="00261A27" w:rsidRPr="008913E4" w:rsidRDefault="00261A27" w:rsidP="00B205BA">
            <w:pPr>
              <w:spacing w:after="120" w:line="240" w:lineRule="auto"/>
              <w:jc w:val="center"/>
              <w:rPr>
                <w:rFonts w:cs="Arial"/>
                <w:lang w:eastAsia="es-MX"/>
              </w:rPr>
            </w:pPr>
            <w:r w:rsidRPr="008913E4">
              <w:rPr>
                <w:rFonts w:cs="Arial"/>
                <w:lang w:eastAsia="es-MX"/>
              </w:rPr>
              <w:t>703</w:t>
            </w:r>
          </w:p>
        </w:tc>
        <w:tc>
          <w:tcPr>
            <w:tcW w:w="818" w:type="dxa"/>
            <w:tcBorders>
              <w:top w:val="nil"/>
              <w:left w:val="nil"/>
              <w:bottom w:val="single" w:sz="4" w:space="0" w:color="auto"/>
              <w:right w:val="single" w:sz="4" w:space="0" w:color="auto"/>
            </w:tcBorders>
            <w:shd w:val="clear" w:color="000000" w:fill="FFFFFF"/>
            <w:noWrap/>
            <w:vAlign w:val="center"/>
            <w:hideMark/>
          </w:tcPr>
          <w:p w14:paraId="11B2B2A1" w14:textId="77777777" w:rsidR="00261A27" w:rsidRPr="008913E4" w:rsidRDefault="00261A27" w:rsidP="00B205BA">
            <w:pPr>
              <w:spacing w:after="120" w:line="240" w:lineRule="auto"/>
              <w:jc w:val="center"/>
              <w:rPr>
                <w:rFonts w:cs="Arial"/>
                <w:lang w:eastAsia="es-MX"/>
              </w:rPr>
            </w:pPr>
            <w:r w:rsidRPr="008913E4">
              <w:rPr>
                <w:rFonts w:cs="Arial"/>
                <w:lang w:eastAsia="es-MX"/>
              </w:rPr>
              <w:t>63</w:t>
            </w:r>
            <w:r>
              <w:rPr>
                <w:rFonts w:cs="Arial"/>
                <w:lang w:eastAsia="es-MX"/>
              </w:rPr>
              <w:t xml:space="preserve"> </w:t>
            </w:r>
            <w:r w:rsidRPr="008913E4">
              <w:rPr>
                <w:rFonts w:cs="Arial"/>
                <w:lang w:eastAsia="es-MX"/>
              </w:rPr>
              <w:t>%</w:t>
            </w:r>
          </w:p>
        </w:tc>
      </w:tr>
      <w:tr w:rsidR="00261A27" w:rsidRPr="008913E4" w14:paraId="421D39E2" w14:textId="77777777" w:rsidTr="000635AB">
        <w:trPr>
          <w:trHeight w:val="228"/>
        </w:trPr>
        <w:tc>
          <w:tcPr>
            <w:tcW w:w="4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6D926F" w14:textId="34549F49" w:rsidR="00261A27" w:rsidRPr="008913E4" w:rsidRDefault="00261A27" w:rsidP="00B205BA">
            <w:pPr>
              <w:spacing w:after="120" w:line="240" w:lineRule="auto"/>
              <w:rPr>
                <w:rFonts w:cs="Arial"/>
                <w:lang w:eastAsia="es-MX"/>
              </w:rPr>
            </w:pPr>
            <w:r w:rsidRPr="008913E4">
              <w:rPr>
                <w:rFonts w:cs="Arial"/>
                <w:lang w:eastAsia="es-MX"/>
              </w:rPr>
              <w:t xml:space="preserve">Recuperación de rezagos </w:t>
            </w:r>
            <w:r w:rsidR="007503ED">
              <w:rPr>
                <w:rFonts w:cs="Arial"/>
                <w:lang w:eastAsia="es-MX"/>
              </w:rPr>
              <w:t>predial</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9771A1" w14:textId="77777777" w:rsidR="00261A27" w:rsidRPr="008913E4" w:rsidRDefault="00261A27" w:rsidP="00B205BA">
            <w:pPr>
              <w:spacing w:after="120" w:line="240" w:lineRule="auto"/>
              <w:jc w:val="center"/>
              <w:rPr>
                <w:rFonts w:cs="Arial"/>
                <w:lang w:eastAsia="es-MX"/>
              </w:rPr>
            </w:pPr>
            <w:r w:rsidRPr="008913E4">
              <w:rPr>
                <w:rFonts w:cs="Arial"/>
                <w:lang w:eastAsia="es-MX"/>
              </w:rPr>
              <w:t>158</w:t>
            </w:r>
          </w:p>
        </w:tc>
        <w:tc>
          <w:tcPr>
            <w:tcW w:w="998" w:type="dxa"/>
            <w:tcBorders>
              <w:top w:val="single" w:sz="4" w:space="0" w:color="auto"/>
              <w:left w:val="nil"/>
              <w:bottom w:val="single" w:sz="4" w:space="0" w:color="auto"/>
              <w:right w:val="single" w:sz="4" w:space="0" w:color="auto"/>
            </w:tcBorders>
            <w:shd w:val="clear" w:color="000000" w:fill="FFFFFF"/>
            <w:noWrap/>
            <w:vAlign w:val="center"/>
            <w:hideMark/>
          </w:tcPr>
          <w:p w14:paraId="65EF2E5D" w14:textId="77777777" w:rsidR="00261A27" w:rsidRPr="008913E4" w:rsidRDefault="00261A27" w:rsidP="00B205BA">
            <w:pPr>
              <w:spacing w:after="120" w:line="240" w:lineRule="auto"/>
              <w:jc w:val="center"/>
              <w:rPr>
                <w:rFonts w:cs="Arial"/>
                <w:lang w:eastAsia="es-MX"/>
              </w:rPr>
            </w:pPr>
            <w:r w:rsidRPr="008913E4">
              <w:rPr>
                <w:rFonts w:cs="Arial"/>
                <w:lang w:eastAsia="es-MX"/>
              </w:rPr>
              <w:t>156</w:t>
            </w:r>
          </w:p>
        </w:tc>
        <w:tc>
          <w:tcPr>
            <w:tcW w:w="999" w:type="dxa"/>
            <w:tcBorders>
              <w:top w:val="single" w:sz="4" w:space="0" w:color="auto"/>
              <w:left w:val="nil"/>
              <w:bottom w:val="single" w:sz="4" w:space="0" w:color="auto"/>
              <w:right w:val="single" w:sz="4" w:space="0" w:color="auto"/>
            </w:tcBorders>
            <w:shd w:val="clear" w:color="000000" w:fill="FFFFFF"/>
            <w:noWrap/>
            <w:vAlign w:val="center"/>
            <w:hideMark/>
          </w:tcPr>
          <w:p w14:paraId="23D28FD0" w14:textId="77777777" w:rsidR="00261A27" w:rsidRPr="008913E4" w:rsidRDefault="00261A27" w:rsidP="00B205BA">
            <w:pPr>
              <w:spacing w:after="120" w:line="240" w:lineRule="auto"/>
              <w:jc w:val="center"/>
              <w:rPr>
                <w:rFonts w:cs="Arial"/>
                <w:lang w:eastAsia="es-MX"/>
              </w:rPr>
            </w:pPr>
            <w:r w:rsidRPr="008913E4">
              <w:rPr>
                <w:rFonts w:cs="Arial"/>
                <w:lang w:eastAsia="es-MX"/>
              </w:rPr>
              <w:t>203</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14:paraId="5FE3D2DC" w14:textId="77777777" w:rsidR="00261A27" w:rsidRPr="008913E4" w:rsidRDefault="00261A27" w:rsidP="00B205BA">
            <w:pPr>
              <w:spacing w:after="120" w:line="240" w:lineRule="auto"/>
              <w:jc w:val="center"/>
              <w:rPr>
                <w:rFonts w:cs="Arial"/>
                <w:lang w:eastAsia="es-MX"/>
              </w:rPr>
            </w:pPr>
            <w:r w:rsidRPr="008913E4">
              <w:rPr>
                <w:rFonts w:cs="Arial"/>
                <w:lang w:eastAsia="es-MX"/>
              </w:rPr>
              <w:t>29</w:t>
            </w:r>
            <w:r>
              <w:rPr>
                <w:rFonts w:cs="Arial"/>
                <w:lang w:eastAsia="es-MX"/>
              </w:rPr>
              <w:t xml:space="preserve"> </w:t>
            </w:r>
            <w:r w:rsidRPr="008913E4">
              <w:rPr>
                <w:rFonts w:cs="Arial"/>
                <w:lang w:eastAsia="es-MX"/>
              </w:rPr>
              <w:t>%</w:t>
            </w:r>
          </w:p>
        </w:tc>
      </w:tr>
      <w:tr w:rsidR="00261A27" w:rsidRPr="008913E4" w14:paraId="4FB0A679" w14:textId="77777777" w:rsidTr="007503ED">
        <w:trPr>
          <w:trHeight w:val="228"/>
        </w:trPr>
        <w:tc>
          <w:tcPr>
            <w:tcW w:w="459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6426585" w14:textId="77777777" w:rsidR="00261A27" w:rsidRPr="008913E4" w:rsidRDefault="00261A27" w:rsidP="00B205BA">
            <w:pPr>
              <w:spacing w:after="120" w:line="240" w:lineRule="auto"/>
              <w:rPr>
                <w:rFonts w:cs="Arial"/>
                <w:lang w:eastAsia="es-MX"/>
              </w:rPr>
            </w:pPr>
            <w:r w:rsidRPr="008913E4">
              <w:rPr>
                <w:rFonts w:cs="Arial"/>
                <w:lang w:eastAsia="es-MX"/>
              </w:rPr>
              <w:t>Impuesto predial total</w:t>
            </w:r>
          </w:p>
        </w:tc>
        <w:tc>
          <w:tcPr>
            <w:tcW w:w="9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C3D9806" w14:textId="77777777" w:rsidR="00261A27" w:rsidRPr="008913E4" w:rsidRDefault="00261A27" w:rsidP="00B205BA">
            <w:pPr>
              <w:spacing w:after="120" w:line="240" w:lineRule="auto"/>
              <w:jc w:val="center"/>
              <w:rPr>
                <w:rFonts w:cs="Arial"/>
                <w:lang w:eastAsia="es-MX"/>
              </w:rPr>
            </w:pPr>
            <w:r w:rsidRPr="008913E4">
              <w:rPr>
                <w:rFonts w:cs="Arial"/>
                <w:lang w:eastAsia="es-MX"/>
              </w:rPr>
              <w:t>590</w:t>
            </w:r>
          </w:p>
        </w:tc>
        <w:tc>
          <w:tcPr>
            <w:tcW w:w="998"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1FE1000" w14:textId="77777777" w:rsidR="00261A27" w:rsidRPr="008913E4" w:rsidRDefault="00261A27" w:rsidP="00B205BA">
            <w:pPr>
              <w:spacing w:after="120" w:line="240" w:lineRule="auto"/>
              <w:jc w:val="center"/>
              <w:rPr>
                <w:rFonts w:cs="Arial"/>
                <w:lang w:eastAsia="es-MX"/>
              </w:rPr>
            </w:pPr>
            <w:r w:rsidRPr="008913E4">
              <w:rPr>
                <w:rFonts w:cs="Arial"/>
                <w:lang w:eastAsia="es-MX"/>
              </w:rPr>
              <w:t>759</w:t>
            </w:r>
          </w:p>
        </w:tc>
        <w:tc>
          <w:tcPr>
            <w:tcW w:w="999"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5AB8802D" w14:textId="77777777" w:rsidR="00261A27" w:rsidRPr="008913E4" w:rsidRDefault="00261A27" w:rsidP="00B205BA">
            <w:pPr>
              <w:spacing w:after="120" w:line="240" w:lineRule="auto"/>
              <w:jc w:val="center"/>
              <w:rPr>
                <w:rFonts w:cs="Arial"/>
                <w:lang w:eastAsia="es-MX"/>
              </w:rPr>
            </w:pPr>
            <w:r w:rsidRPr="008913E4">
              <w:rPr>
                <w:rFonts w:cs="Arial"/>
                <w:lang w:eastAsia="es-MX"/>
              </w:rPr>
              <w:t>906</w:t>
            </w:r>
          </w:p>
        </w:tc>
        <w:tc>
          <w:tcPr>
            <w:tcW w:w="818"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31A36AE" w14:textId="77777777" w:rsidR="00261A27" w:rsidRPr="008913E4" w:rsidRDefault="00261A27" w:rsidP="00B205BA">
            <w:pPr>
              <w:spacing w:after="120" w:line="240" w:lineRule="auto"/>
              <w:jc w:val="center"/>
              <w:rPr>
                <w:rFonts w:cs="Arial"/>
                <w:lang w:eastAsia="es-MX"/>
              </w:rPr>
            </w:pPr>
            <w:r w:rsidRPr="008913E4">
              <w:rPr>
                <w:rFonts w:cs="Arial"/>
                <w:lang w:eastAsia="es-MX"/>
              </w:rPr>
              <w:t>54</w:t>
            </w:r>
            <w:r>
              <w:rPr>
                <w:rFonts w:cs="Arial"/>
                <w:lang w:eastAsia="es-MX"/>
              </w:rPr>
              <w:t xml:space="preserve"> </w:t>
            </w:r>
            <w:r w:rsidRPr="008913E4">
              <w:rPr>
                <w:rFonts w:cs="Arial"/>
                <w:lang w:eastAsia="es-MX"/>
              </w:rPr>
              <w:t>%</w:t>
            </w:r>
          </w:p>
        </w:tc>
      </w:tr>
      <w:tr w:rsidR="00261A27" w:rsidRPr="008913E4" w14:paraId="3EDD27F4" w14:textId="77777777" w:rsidTr="000635AB">
        <w:trPr>
          <w:trHeight w:val="228"/>
        </w:trPr>
        <w:tc>
          <w:tcPr>
            <w:tcW w:w="4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EF5423" w14:textId="77777777" w:rsidR="00261A27" w:rsidRPr="008913E4" w:rsidRDefault="00261A27" w:rsidP="00B205BA">
            <w:pPr>
              <w:spacing w:after="120" w:line="240" w:lineRule="auto"/>
              <w:rPr>
                <w:rFonts w:cs="Arial"/>
                <w:lang w:eastAsia="es-MX"/>
              </w:rPr>
            </w:pPr>
            <w:r w:rsidRPr="008913E4">
              <w:rPr>
                <w:rFonts w:cs="Arial"/>
                <w:lang w:eastAsia="es-MX"/>
              </w:rPr>
              <w:t xml:space="preserve">Impuesto sobre traslación de dominio de bienes inmuebles </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7B96EF" w14:textId="77777777" w:rsidR="00261A27" w:rsidRPr="008913E4" w:rsidRDefault="00261A27" w:rsidP="00B205BA">
            <w:pPr>
              <w:spacing w:after="120" w:line="240" w:lineRule="auto"/>
              <w:jc w:val="center"/>
              <w:rPr>
                <w:rFonts w:cs="Arial"/>
                <w:lang w:eastAsia="es-MX"/>
              </w:rPr>
            </w:pPr>
            <w:r w:rsidRPr="008913E4">
              <w:rPr>
                <w:rFonts w:cs="Arial"/>
                <w:lang w:eastAsia="es-MX"/>
              </w:rPr>
              <w:t>348</w:t>
            </w:r>
          </w:p>
        </w:tc>
        <w:tc>
          <w:tcPr>
            <w:tcW w:w="998" w:type="dxa"/>
            <w:tcBorders>
              <w:top w:val="single" w:sz="4" w:space="0" w:color="auto"/>
              <w:left w:val="nil"/>
              <w:bottom w:val="single" w:sz="4" w:space="0" w:color="auto"/>
              <w:right w:val="single" w:sz="4" w:space="0" w:color="auto"/>
            </w:tcBorders>
            <w:shd w:val="clear" w:color="000000" w:fill="FFFFFF"/>
            <w:noWrap/>
            <w:vAlign w:val="center"/>
            <w:hideMark/>
          </w:tcPr>
          <w:p w14:paraId="2E5A2EF5" w14:textId="77777777" w:rsidR="00261A27" w:rsidRPr="008913E4" w:rsidRDefault="00261A27" w:rsidP="00B205BA">
            <w:pPr>
              <w:spacing w:after="120" w:line="240" w:lineRule="auto"/>
              <w:jc w:val="center"/>
              <w:rPr>
                <w:rFonts w:cs="Arial"/>
                <w:lang w:eastAsia="es-MX"/>
              </w:rPr>
            </w:pPr>
            <w:r w:rsidRPr="008913E4">
              <w:rPr>
                <w:rFonts w:cs="Arial"/>
                <w:lang w:eastAsia="es-MX"/>
              </w:rPr>
              <w:t>475</w:t>
            </w:r>
          </w:p>
        </w:tc>
        <w:tc>
          <w:tcPr>
            <w:tcW w:w="999" w:type="dxa"/>
            <w:tcBorders>
              <w:top w:val="single" w:sz="4" w:space="0" w:color="auto"/>
              <w:left w:val="nil"/>
              <w:bottom w:val="single" w:sz="4" w:space="0" w:color="auto"/>
              <w:right w:val="single" w:sz="4" w:space="0" w:color="auto"/>
            </w:tcBorders>
            <w:shd w:val="clear" w:color="000000" w:fill="FFFFFF"/>
            <w:noWrap/>
            <w:vAlign w:val="center"/>
            <w:hideMark/>
          </w:tcPr>
          <w:p w14:paraId="54C84891" w14:textId="77777777" w:rsidR="00261A27" w:rsidRPr="008913E4" w:rsidRDefault="00261A27" w:rsidP="00B205BA">
            <w:pPr>
              <w:spacing w:after="120" w:line="240" w:lineRule="auto"/>
              <w:jc w:val="center"/>
              <w:rPr>
                <w:rFonts w:cs="Arial"/>
                <w:lang w:eastAsia="es-MX"/>
              </w:rPr>
            </w:pPr>
            <w:r w:rsidRPr="008913E4">
              <w:rPr>
                <w:rFonts w:cs="Arial"/>
                <w:lang w:eastAsia="es-MX"/>
              </w:rPr>
              <w:t>617</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14:paraId="2294BB2B" w14:textId="77777777" w:rsidR="00261A27" w:rsidRPr="008913E4" w:rsidRDefault="00261A27" w:rsidP="00B205BA">
            <w:pPr>
              <w:spacing w:after="120" w:line="240" w:lineRule="auto"/>
              <w:jc w:val="center"/>
              <w:rPr>
                <w:rFonts w:cs="Arial"/>
                <w:lang w:eastAsia="es-MX"/>
              </w:rPr>
            </w:pPr>
            <w:r w:rsidRPr="008913E4">
              <w:rPr>
                <w:rFonts w:cs="Arial"/>
                <w:lang w:eastAsia="es-MX"/>
              </w:rPr>
              <w:t>77</w:t>
            </w:r>
            <w:r>
              <w:rPr>
                <w:rFonts w:cs="Arial"/>
                <w:lang w:eastAsia="es-MX"/>
              </w:rPr>
              <w:t xml:space="preserve"> </w:t>
            </w:r>
            <w:r w:rsidRPr="008913E4">
              <w:rPr>
                <w:rFonts w:cs="Arial"/>
                <w:lang w:eastAsia="es-MX"/>
              </w:rPr>
              <w:t>%</w:t>
            </w:r>
          </w:p>
        </w:tc>
      </w:tr>
      <w:tr w:rsidR="00261A27" w:rsidRPr="008913E4" w14:paraId="3536379E" w14:textId="77777777" w:rsidTr="000635AB">
        <w:trPr>
          <w:trHeight w:val="228"/>
        </w:trPr>
        <w:tc>
          <w:tcPr>
            <w:tcW w:w="4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52927C" w14:textId="77777777" w:rsidR="00261A27" w:rsidRPr="008913E4" w:rsidRDefault="00261A27" w:rsidP="00B205BA">
            <w:pPr>
              <w:spacing w:after="120" w:line="240" w:lineRule="auto"/>
              <w:rPr>
                <w:rFonts w:cs="Arial"/>
                <w:lang w:eastAsia="es-MX"/>
              </w:rPr>
            </w:pPr>
            <w:r w:rsidRPr="008913E4">
              <w:rPr>
                <w:rFonts w:cs="Arial"/>
                <w:lang w:eastAsia="es-MX"/>
              </w:rPr>
              <w:t>Diversiones y espectáculos públicos</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CA6688" w14:textId="77777777" w:rsidR="00261A27" w:rsidRPr="008913E4" w:rsidRDefault="00261A27" w:rsidP="00B205BA">
            <w:pPr>
              <w:spacing w:after="120" w:line="240" w:lineRule="auto"/>
              <w:jc w:val="center"/>
              <w:rPr>
                <w:rFonts w:cs="Arial"/>
                <w:lang w:eastAsia="es-MX"/>
              </w:rPr>
            </w:pPr>
            <w:r w:rsidRPr="008913E4">
              <w:rPr>
                <w:rFonts w:cs="Arial"/>
                <w:lang w:eastAsia="es-MX"/>
              </w:rPr>
              <w:t>4</w:t>
            </w:r>
          </w:p>
        </w:tc>
        <w:tc>
          <w:tcPr>
            <w:tcW w:w="998" w:type="dxa"/>
            <w:tcBorders>
              <w:top w:val="single" w:sz="4" w:space="0" w:color="auto"/>
              <w:left w:val="nil"/>
              <w:bottom w:val="single" w:sz="4" w:space="0" w:color="auto"/>
              <w:right w:val="single" w:sz="4" w:space="0" w:color="auto"/>
            </w:tcBorders>
            <w:shd w:val="clear" w:color="000000" w:fill="FFFFFF"/>
            <w:noWrap/>
            <w:vAlign w:val="center"/>
            <w:hideMark/>
          </w:tcPr>
          <w:p w14:paraId="6ECC2DD2" w14:textId="77777777" w:rsidR="00261A27" w:rsidRPr="008913E4" w:rsidRDefault="00261A27" w:rsidP="00B205BA">
            <w:pPr>
              <w:spacing w:after="120" w:line="240" w:lineRule="auto"/>
              <w:jc w:val="center"/>
              <w:rPr>
                <w:rFonts w:cs="Arial"/>
                <w:lang w:eastAsia="es-MX"/>
              </w:rPr>
            </w:pPr>
            <w:r w:rsidRPr="008913E4">
              <w:rPr>
                <w:rFonts w:cs="Arial"/>
                <w:lang w:eastAsia="es-MX"/>
              </w:rPr>
              <w:t>20</w:t>
            </w:r>
          </w:p>
        </w:tc>
        <w:tc>
          <w:tcPr>
            <w:tcW w:w="999" w:type="dxa"/>
            <w:tcBorders>
              <w:top w:val="single" w:sz="4" w:space="0" w:color="auto"/>
              <w:left w:val="nil"/>
              <w:bottom w:val="single" w:sz="4" w:space="0" w:color="auto"/>
              <w:right w:val="single" w:sz="4" w:space="0" w:color="auto"/>
            </w:tcBorders>
            <w:shd w:val="clear" w:color="000000" w:fill="FFFFFF"/>
            <w:noWrap/>
            <w:vAlign w:val="center"/>
            <w:hideMark/>
          </w:tcPr>
          <w:p w14:paraId="2A06B6E5" w14:textId="77777777" w:rsidR="00261A27" w:rsidRPr="008913E4" w:rsidRDefault="00261A27" w:rsidP="00B205BA">
            <w:pPr>
              <w:spacing w:after="120" w:line="240" w:lineRule="auto"/>
              <w:jc w:val="center"/>
              <w:rPr>
                <w:rFonts w:cs="Arial"/>
                <w:lang w:eastAsia="es-MX"/>
              </w:rPr>
            </w:pPr>
            <w:r w:rsidRPr="008913E4">
              <w:rPr>
                <w:rFonts w:cs="Arial"/>
                <w:lang w:eastAsia="es-MX"/>
              </w:rPr>
              <w:t>33</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14:paraId="5EA32E5B" w14:textId="77777777" w:rsidR="00261A27" w:rsidRPr="008913E4" w:rsidRDefault="00261A27" w:rsidP="00B205BA">
            <w:pPr>
              <w:spacing w:after="120" w:line="240" w:lineRule="auto"/>
              <w:jc w:val="center"/>
              <w:rPr>
                <w:rFonts w:cs="Arial"/>
                <w:lang w:eastAsia="es-MX"/>
              </w:rPr>
            </w:pPr>
            <w:r w:rsidRPr="008913E4">
              <w:rPr>
                <w:rFonts w:cs="Arial"/>
                <w:lang w:eastAsia="es-MX"/>
              </w:rPr>
              <w:t>722</w:t>
            </w:r>
            <w:r>
              <w:rPr>
                <w:rFonts w:cs="Arial"/>
                <w:lang w:eastAsia="es-MX"/>
              </w:rPr>
              <w:t xml:space="preserve"> </w:t>
            </w:r>
            <w:r w:rsidRPr="008913E4">
              <w:rPr>
                <w:rFonts w:cs="Arial"/>
                <w:lang w:eastAsia="es-MX"/>
              </w:rPr>
              <w:t>%</w:t>
            </w:r>
          </w:p>
        </w:tc>
      </w:tr>
      <w:tr w:rsidR="00261A27" w:rsidRPr="008913E4" w14:paraId="6B122A6F" w14:textId="77777777" w:rsidTr="000635AB">
        <w:trPr>
          <w:trHeight w:val="228"/>
        </w:trPr>
        <w:tc>
          <w:tcPr>
            <w:tcW w:w="4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08B13" w14:textId="77777777" w:rsidR="00261A27" w:rsidRPr="008913E4" w:rsidRDefault="00261A27" w:rsidP="00B205BA">
            <w:pPr>
              <w:spacing w:after="120" w:line="240" w:lineRule="auto"/>
              <w:rPr>
                <w:rFonts w:cs="Arial"/>
                <w:lang w:eastAsia="es-MX"/>
              </w:rPr>
            </w:pPr>
            <w:r w:rsidRPr="008913E4">
              <w:rPr>
                <w:rFonts w:cs="Arial"/>
                <w:lang w:eastAsia="es-MX"/>
              </w:rPr>
              <w:t>Máquinas y equipos de sorteo</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E46092" w14:textId="77777777" w:rsidR="00261A27" w:rsidRPr="008913E4" w:rsidRDefault="00261A27" w:rsidP="00B205BA">
            <w:pPr>
              <w:spacing w:after="120" w:line="240" w:lineRule="auto"/>
              <w:jc w:val="center"/>
              <w:rPr>
                <w:rFonts w:cs="Arial"/>
                <w:lang w:eastAsia="es-MX"/>
              </w:rPr>
            </w:pPr>
            <w:r w:rsidRPr="008913E4">
              <w:rPr>
                <w:rFonts w:cs="Arial"/>
                <w:lang w:eastAsia="es-MX"/>
              </w:rPr>
              <w:t>24</w:t>
            </w:r>
          </w:p>
        </w:tc>
        <w:tc>
          <w:tcPr>
            <w:tcW w:w="998" w:type="dxa"/>
            <w:tcBorders>
              <w:top w:val="single" w:sz="4" w:space="0" w:color="auto"/>
              <w:left w:val="nil"/>
              <w:bottom w:val="single" w:sz="4" w:space="0" w:color="auto"/>
              <w:right w:val="single" w:sz="4" w:space="0" w:color="auto"/>
            </w:tcBorders>
            <w:shd w:val="clear" w:color="000000" w:fill="FFFFFF"/>
            <w:noWrap/>
            <w:vAlign w:val="center"/>
            <w:hideMark/>
          </w:tcPr>
          <w:p w14:paraId="4359A6DE" w14:textId="77777777" w:rsidR="00261A27" w:rsidRPr="008913E4" w:rsidRDefault="00261A27" w:rsidP="00B205BA">
            <w:pPr>
              <w:spacing w:after="120" w:line="240" w:lineRule="auto"/>
              <w:jc w:val="center"/>
              <w:rPr>
                <w:rFonts w:cs="Arial"/>
                <w:lang w:eastAsia="es-MX"/>
              </w:rPr>
            </w:pPr>
            <w:r w:rsidRPr="008913E4">
              <w:rPr>
                <w:rFonts w:cs="Arial"/>
                <w:lang w:eastAsia="es-MX"/>
              </w:rPr>
              <w:t>64</w:t>
            </w:r>
          </w:p>
        </w:tc>
        <w:tc>
          <w:tcPr>
            <w:tcW w:w="999" w:type="dxa"/>
            <w:tcBorders>
              <w:top w:val="single" w:sz="4" w:space="0" w:color="auto"/>
              <w:left w:val="nil"/>
              <w:bottom w:val="single" w:sz="4" w:space="0" w:color="auto"/>
              <w:right w:val="single" w:sz="4" w:space="0" w:color="auto"/>
            </w:tcBorders>
            <w:shd w:val="clear" w:color="000000" w:fill="FFFFFF"/>
            <w:noWrap/>
            <w:vAlign w:val="center"/>
            <w:hideMark/>
          </w:tcPr>
          <w:p w14:paraId="616366B7" w14:textId="77777777" w:rsidR="00261A27" w:rsidRPr="008913E4" w:rsidRDefault="00261A27" w:rsidP="00B205BA">
            <w:pPr>
              <w:spacing w:after="120" w:line="240" w:lineRule="auto"/>
              <w:jc w:val="center"/>
              <w:rPr>
                <w:rFonts w:cs="Arial"/>
                <w:lang w:eastAsia="es-MX"/>
              </w:rPr>
            </w:pPr>
            <w:r w:rsidRPr="008913E4">
              <w:rPr>
                <w:rFonts w:cs="Arial"/>
                <w:lang w:eastAsia="es-MX"/>
              </w:rPr>
              <w:t>42</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14:paraId="3D68730A" w14:textId="77777777" w:rsidR="00261A27" w:rsidRPr="008913E4" w:rsidRDefault="00261A27" w:rsidP="00B205BA">
            <w:pPr>
              <w:spacing w:after="120" w:line="240" w:lineRule="auto"/>
              <w:jc w:val="center"/>
              <w:rPr>
                <w:rFonts w:cs="Arial"/>
                <w:lang w:eastAsia="es-MX"/>
              </w:rPr>
            </w:pPr>
            <w:r w:rsidRPr="008913E4">
              <w:rPr>
                <w:rFonts w:cs="Arial"/>
                <w:lang w:eastAsia="es-MX"/>
              </w:rPr>
              <w:t>79</w:t>
            </w:r>
            <w:r>
              <w:rPr>
                <w:rFonts w:cs="Arial"/>
                <w:lang w:eastAsia="es-MX"/>
              </w:rPr>
              <w:t xml:space="preserve"> </w:t>
            </w:r>
            <w:r w:rsidRPr="008913E4">
              <w:rPr>
                <w:rFonts w:cs="Arial"/>
                <w:lang w:eastAsia="es-MX"/>
              </w:rPr>
              <w:t>%</w:t>
            </w:r>
          </w:p>
        </w:tc>
      </w:tr>
      <w:tr w:rsidR="00261A27" w:rsidRPr="008913E4" w14:paraId="1E402FFA" w14:textId="77777777" w:rsidTr="000635AB">
        <w:trPr>
          <w:trHeight w:val="228"/>
        </w:trPr>
        <w:tc>
          <w:tcPr>
            <w:tcW w:w="4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F2E26E" w14:textId="77777777" w:rsidR="00261A27" w:rsidRPr="008913E4" w:rsidRDefault="00261A27" w:rsidP="00B205BA">
            <w:pPr>
              <w:spacing w:after="120" w:line="240" w:lineRule="auto"/>
              <w:rPr>
                <w:rFonts w:cs="Arial"/>
                <w:lang w:eastAsia="es-MX"/>
              </w:rPr>
            </w:pPr>
            <w:r w:rsidRPr="008913E4">
              <w:rPr>
                <w:rFonts w:cs="Arial"/>
                <w:lang w:eastAsia="es-MX"/>
              </w:rPr>
              <w:t>Recargos</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5646A" w14:textId="77777777" w:rsidR="00261A27" w:rsidRPr="008913E4" w:rsidRDefault="00261A27" w:rsidP="00B205BA">
            <w:pPr>
              <w:spacing w:after="120" w:line="240" w:lineRule="auto"/>
              <w:jc w:val="center"/>
              <w:rPr>
                <w:rFonts w:cs="Arial"/>
                <w:lang w:eastAsia="es-MX"/>
              </w:rPr>
            </w:pPr>
            <w:r w:rsidRPr="008913E4">
              <w:rPr>
                <w:rFonts w:cs="Arial"/>
                <w:lang w:eastAsia="es-MX"/>
              </w:rPr>
              <w:t>37</w:t>
            </w:r>
          </w:p>
        </w:tc>
        <w:tc>
          <w:tcPr>
            <w:tcW w:w="998" w:type="dxa"/>
            <w:tcBorders>
              <w:top w:val="single" w:sz="4" w:space="0" w:color="auto"/>
              <w:left w:val="nil"/>
              <w:bottom w:val="single" w:sz="4" w:space="0" w:color="auto"/>
              <w:right w:val="single" w:sz="4" w:space="0" w:color="auto"/>
            </w:tcBorders>
            <w:shd w:val="clear" w:color="000000" w:fill="FFFFFF"/>
            <w:noWrap/>
            <w:vAlign w:val="center"/>
            <w:hideMark/>
          </w:tcPr>
          <w:p w14:paraId="3D49F0CD" w14:textId="77777777" w:rsidR="00261A27" w:rsidRPr="008913E4" w:rsidRDefault="00261A27" w:rsidP="00B205BA">
            <w:pPr>
              <w:spacing w:after="120" w:line="240" w:lineRule="auto"/>
              <w:jc w:val="center"/>
              <w:rPr>
                <w:rFonts w:cs="Arial"/>
                <w:lang w:eastAsia="es-MX"/>
              </w:rPr>
            </w:pPr>
            <w:r w:rsidRPr="008913E4">
              <w:rPr>
                <w:rFonts w:cs="Arial"/>
                <w:lang w:eastAsia="es-MX"/>
              </w:rPr>
              <w:t>168</w:t>
            </w:r>
          </w:p>
        </w:tc>
        <w:tc>
          <w:tcPr>
            <w:tcW w:w="999" w:type="dxa"/>
            <w:tcBorders>
              <w:top w:val="single" w:sz="4" w:space="0" w:color="auto"/>
              <w:left w:val="nil"/>
              <w:bottom w:val="single" w:sz="4" w:space="0" w:color="auto"/>
              <w:right w:val="single" w:sz="4" w:space="0" w:color="auto"/>
            </w:tcBorders>
            <w:shd w:val="clear" w:color="000000" w:fill="FFFFFF"/>
            <w:noWrap/>
            <w:vAlign w:val="center"/>
            <w:hideMark/>
          </w:tcPr>
          <w:p w14:paraId="58A7CE73" w14:textId="77777777" w:rsidR="00261A27" w:rsidRPr="008913E4" w:rsidRDefault="00261A27" w:rsidP="00B205BA">
            <w:pPr>
              <w:spacing w:after="120" w:line="240" w:lineRule="auto"/>
              <w:jc w:val="center"/>
              <w:rPr>
                <w:rFonts w:cs="Arial"/>
                <w:lang w:eastAsia="es-MX"/>
              </w:rPr>
            </w:pPr>
            <w:r w:rsidRPr="008913E4">
              <w:rPr>
                <w:rFonts w:cs="Arial"/>
                <w:lang w:eastAsia="es-MX"/>
              </w:rPr>
              <w:t>196</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14:paraId="38A7F3C9" w14:textId="77777777" w:rsidR="00261A27" w:rsidRPr="008913E4" w:rsidRDefault="00261A27" w:rsidP="00B205BA">
            <w:pPr>
              <w:spacing w:after="120" w:line="240" w:lineRule="auto"/>
              <w:jc w:val="center"/>
              <w:rPr>
                <w:rFonts w:cs="Arial"/>
                <w:lang w:eastAsia="es-MX"/>
              </w:rPr>
            </w:pPr>
            <w:r w:rsidRPr="008913E4">
              <w:rPr>
                <w:rFonts w:cs="Arial"/>
                <w:lang w:eastAsia="es-MX"/>
              </w:rPr>
              <w:t>432</w:t>
            </w:r>
            <w:r>
              <w:rPr>
                <w:rFonts w:cs="Arial"/>
                <w:lang w:eastAsia="es-MX"/>
              </w:rPr>
              <w:t xml:space="preserve"> </w:t>
            </w:r>
            <w:r w:rsidRPr="008913E4">
              <w:rPr>
                <w:rFonts w:cs="Arial"/>
                <w:lang w:eastAsia="es-MX"/>
              </w:rPr>
              <w:t>%</w:t>
            </w:r>
          </w:p>
        </w:tc>
      </w:tr>
      <w:tr w:rsidR="00261A27" w:rsidRPr="008913E4" w14:paraId="6418E3FC" w14:textId="77777777" w:rsidTr="000635AB">
        <w:trPr>
          <w:trHeight w:val="228"/>
        </w:trPr>
        <w:tc>
          <w:tcPr>
            <w:tcW w:w="45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7D4803" w14:textId="77777777" w:rsidR="00261A27" w:rsidRPr="008913E4" w:rsidRDefault="00261A27" w:rsidP="00B205BA">
            <w:pPr>
              <w:spacing w:after="120" w:line="240" w:lineRule="auto"/>
              <w:rPr>
                <w:rFonts w:cs="Arial"/>
                <w:lang w:eastAsia="es-MX"/>
              </w:rPr>
            </w:pPr>
            <w:r w:rsidRPr="008913E4">
              <w:rPr>
                <w:rFonts w:cs="Arial"/>
                <w:lang w:eastAsia="es-MX"/>
              </w:rPr>
              <w:t xml:space="preserve">Otros </w:t>
            </w:r>
          </w:p>
        </w:tc>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06BCA" w14:textId="77777777" w:rsidR="00261A27" w:rsidRPr="008913E4" w:rsidRDefault="00261A27" w:rsidP="00B205BA">
            <w:pPr>
              <w:spacing w:after="120" w:line="240" w:lineRule="auto"/>
              <w:jc w:val="center"/>
              <w:rPr>
                <w:rFonts w:cs="Arial"/>
                <w:lang w:eastAsia="es-MX"/>
              </w:rPr>
            </w:pPr>
            <w:r w:rsidRPr="008913E4">
              <w:rPr>
                <w:rFonts w:cs="Arial"/>
                <w:lang w:eastAsia="es-MX"/>
              </w:rPr>
              <w:t>19</w:t>
            </w:r>
          </w:p>
        </w:tc>
        <w:tc>
          <w:tcPr>
            <w:tcW w:w="998" w:type="dxa"/>
            <w:tcBorders>
              <w:top w:val="single" w:sz="4" w:space="0" w:color="auto"/>
              <w:left w:val="nil"/>
              <w:bottom w:val="single" w:sz="4" w:space="0" w:color="auto"/>
              <w:right w:val="single" w:sz="4" w:space="0" w:color="auto"/>
            </w:tcBorders>
            <w:shd w:val="clear" w:color="000000" w:fill="FFFFFF"/>
            <w:noWrap/>
            <w:vAlign w:val="center"/>
            <w:hideMark/>
          </w:tcPr>
          <w:p w14:paraId="5673EFE9" w14:textId="77777777" w:rsidR="00261A27" w:rsidRPr="008913E4" w:rsidRDefault="00261A27" w:rsidP="00B205BA">
            <w:pPr>
              <w:spacing w:after="120" w:line="240" w:lineRule="auto"/>
              <w:jc w:val="center"/>
              <w:rPr>
                <w:rFonts w:cs="Arial"/>
                <w:lang w:eastAsia="es-MX"/>
              </w:rPr>
            </w:pPr>
            <w:r w:rsidRPr="008913E4">
              <w:rPr>
                <w:rFonts w:cs="Arial"/>
                <w:lang w:eastAsia="es-MX"/>
              </w:rPr>
              <w:t>67</w:t>
            </w:r>
          </w:p>
        </w:tc>
        <w:tc>
          <w:tcPr>
            <w:tcW w:w="999" w:type="dxa"/>
            <w:tcBorders>
              <w:top w:val="single" w:sz="4" w:space="0" w:color="auto"/>
              <w:left w:val="nil"/>
              <w:bottom w:val="single" w:sz="4" w:space="0" w:color="auto"/>
              <w:right w:val="single" w:sz="4" w:space="0" w:color="auto"/>
            </w:tcBorders>
            <w:shd w:val="clear" w:color="000000" w:fill="FFFFFF"/>
            <w:noWrap/>
            <w:vAlign w:val="center"/>
            <w:hideMark/>
          </w:tcPr>
          <w:p w14:paraId="38C79B15" w14:textId="77777777" w:rsidR="00261A27" w:rsidRPr="008913E4" w:rsidRDefault="00261A27" w:rsidP="00B205BA">
            <w:pPr>
              <w:spacing w:after="120" w:line="240" w:lineRule="auto"/>
              <w:jc w:val="center"/>
              <w:rPr>
                <w:rFonts w:cs="Arial"/>
                <w:lang w:eastAsia="es-MX"/>
              </w:rPr>
            </w:pPr>
            <w:r w:rsidRPr="008913E4">
              <w:rPr>
                <w:rFonts w:cs="Arial"/>
                <w:lang w:eastAsia="es-MX"/>
              </w:rPr>
              <w:t>75</w:t>
            </w:r>
          </w:p>
        </w:tc>
        <w:tc>
          <w:tcPr>
            <w:tcW w:w="818" w:type="dxa"/>
            <w:tcBorders>
              <w:top w:val="single" w:sz="4" w:space="0" w:color="auto"/>
              <w:left w:val="nil"/>
              <w:bottom w:val="single" w:sz="4" w:space="0" w:color="auto"/>
              <w:right w:val="single" w:sz="4" w:space="0" w:color="auto"/>
            </w:tcBorders>
            <w:shd w:val="clear" w:color="000000" w:fill="FFFFFF"/>
            <w:noWrap/>
            <w:vAlign w:val="center"/>
            <w:hideMark/>
          </w:tcPr>
          <w:p w14:paraId="5C953B82" w14:textId="77777777" w:rsidR="00261A27" w:rsidRPr="008913E4" w:rsidRDefault="00261A27" w:rsidP="00B205BA">
            <w:pPr>
              <w:spacing w:after="120" w:line="240" w:lineRule="auto"/>
              <w:jc w:val="center"/>
              <w:rPr>
                <w:rFonts w:cs="Arial"/>
                <w:lang w:eastAsia="es-MX"/>
              </w:rPr>
            </w:pPr>
            <w:r w:rsidRPr="008913E4">
              <w:rPr>
                <w:rFonts w:cs="Arial"/>
                <w:lang w:eastAsia="es-MX"/>
              </w:rPr>
              <w:t>295</w:t>
            </w:r>
            <w:r>
              <w:rPr>
                <w:rFonts w:cs="Arial"/>
                <w:lang w:eastAsia="es-MX"/>
              </w:rPr>
              <w:t xml:space="preserve"> </w:t>
            </w:r>
            <w:r w:rsidRPr="008913E4">
              <w:rPr>
                <w:rFonts w:cs="Arial"/>
                <w:lang w:eastAsia="es-MX"/>
              </w:rPr>
              <w:t>%</w:t>
            </w:r>
          </w:p>
        </w:tc>
      </w:tr>
      <w:tr w:rsidR="00261A27" w:rsidRPr="008913E4" w14:paraId="4AE8BFB4" w14:textId="77777777" w:rsidTr="007503ED">
        <w:trPr>
          <w:trHeight w:val="404"/>
        </w:trPr>
        <w:tc>
          <w:tcPr>
            <w:tcW w:w="459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9EF1AC2" w14:textId="77777777" w:rsidR="00261A27" w:rsidRPr="008913E4" w:rsidRDefault="00261A27" w:rsidP="00B205BA">
            <w:pPr>
              <w:spacing w:after="120" w:line="240" w:lineRule="auto"/>
              <w:rPr>
                <w:rFonts w:cs="Arial"/>
                <w:b/>
                <w:bCs/>
                <w:lang w:eastAsia="es-MX"/>
              </w:rPr>
            </w:pPr>
            <w:r w:rsidRPr="008913E4">
              <w:rPr>
                <w:rFonts w:cs="Arial"/>
                <w:b/>
                <w:bCs/>
                <w:lang w:eastAsia="es-MX"/>
              </w:rPr>
              <w:t>TOTAL</w:t>
            </w:r>
          </w:p>
        </w:tc>
        <w:tc>
          <w:tcPr>
            <w:tcW w:w="99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E240A5" w14:textId="77777777" w:rsidR="00261A27" w:rsidRPr="008913E4" w:rsidRDefault="00261A27" w:rsidP="00B205BA">
            <w:pPr>
              <w:spacing w:after="120" w:line="240" w:lineRule="auto"/>
              <w:jc w:val="center"/>
              <w:rPr>
                <w:rFonts w:cs="Arial"/>
                <w:b/>
                <w:bCs/>
                <w:lang w:eastAsia="es-MX"/>
              </w:rPr>
            </w:pPr>
            <w:r w:rsidRPr="008913E4">
              <w:rPr>
                <w:rFonts w:cs="Arial"/>
                <w:b/>
                <w:bCs/>
                <w:lang w:eastAsia="es-MX"/>
              </w:rPr>
              <w:t>1021</w:t>
            </w:r>
          </w:p>
        </w:tc>
        <w:tc>
          <w:tcPr>
            <w:tcW w:w="998"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6D6CE51" w14:textId="77777777" w:rsidR="00261A27" w:rsidRPr="008913E4" w:rsidRDefault="00261A27" w:rsidP="00B205BA">
            <w:pPr>
              <w:spacing w:after="120" w:line="240" w:lineRule="auto"/>
              <w:jc w:val="center"/>
              <w:rPr>
                <w:rFonts w:cs="Arial"/>
                <w:b/>
                <w:bCs/>
                <w:lang w:eastAsia="es-MX"/>
              </w:rPr>
            </w:pPr>
            <w:r w:rsidRPr="008913E4">
              <w:rPr>
                <w:rFonts w:cs="Arial"/>
                <w:b/>
                <w:bCs/>
                <w:lang w:eastAsia="es-MX"/>
              </w:rPr>
              <w:t>1554</w:t>
            </w:r>
          </w:p>
        </w:tc>
        <w:tc>
          <w:tcPr>
            <w:tcW w:w="999"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9B59AC4" w14:textId="77777777" w:rsidR="00261A27" w:rsidRPr="008913E4" w:rsidRDefault="00261A27" w:rsidP="00B205BA">
            <w:pPr>
              <w:spacing w:after="120" w:line="240" w:lineRule="auto"/>
              <w:jc w:val="center"/>
              <w:rPr>
                <w:rFonts w:cs="Arial"/>
                <w:b/>
                <w:bCs/>
                <w:lang w:eastAsia="es-MX"/>
              </w:rPr>
            </w:pPr>
            <w:r w:rsidRPr="008913E4">
              <w:rPr>
                <w:rFonts w:cs="Arial"/>
                <w:b/>
                <w:bCs/>
                <w:lang w:eastAsia="es-MX"/>
              </w:rPr>
              <w:t>1870</w:t>
            </w:r>
          </w:p>
        </w:tc>
        <w:tc>
          <w:tcPr>
            <w:tcW w:w="818"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6FF4AE3" w14:textId="77777777" w:rsidR="00261A27" w:rsidRPr="008913E4" w:rsidRDefault="00261A27" w:rsidP="00B205BA">
            <w:pPr>
              <w:spacing w:after="120" w:line="240" w:lineRule="auto"/>
              <w:jc w:val="center"/>
              <w:rPr>
                <w:rFonts w:cs="Arial"/>
                <w:b/>
                <w:bCs/>
                <w:lang w:eastAsia="es-MX"/>
              </w:rPr>
            </w:pPr>
            <w:r w:rsidRPr="008913E4">
              <w:rPr>
                <w:rFonts w:cs="Arial"/>
                <w:b/>
                <w:bCs/>
                <w:lang w:eastAsia="es-MX"/>
              </w:rPr>
              <w:t>83</w:t>
            </w:r>
            <w:r>
              <w:rPr>
                <w:rFonts w:cs="Arial"/>
                <w:b/>
                <w:bCs/>
                <w:lang w:eastAsia="es-MX"/>
              </w:rPr>
              <w:t xml:space="preserve"> </w:t>
            </w:r>
            <w:r w:rsidRPr="008913E4">
              <w:rPr>
                <w:rFonts w:cs="Arial"/>
                <w:b/>
                <w:bCs/>
                <w:lang w:eastAsia="es-MX"/>
              </w:rPr>
              <w:t>%</w:t>
            </w:r>
          </w:p>
        </w:tc>
      </w:tr>
    </w:tbl>
    <w:p w14:paraId="5E0F430A" w14:textId="77777777" w:rsidR="00261A27" w:rsidRPr="008913E4" w:rsidRDefault="00261A27" w:rsidP="00B205BA">
      <w:pPr>
        <w:spacing w:after="120" w:line="240" w:lineRule="auto"/>
        <w:rPr>
          <w:rFonts w:cs="Arial"/>
          <w:color w:val="000000" w:themeColor="text1"/>
          <w:sz w:val="18"/>
          <w:szCs w:val="18"/>
          <w:lang w:val="es-ES_tradnl"/>
        </w:rPr>
      </w:pPr>
      <w:r w:rsidRPr="008913E4">
        <w:rPr>
          <w:rFonts w:cs="Arial"/>
          <w:color w:val="000000" w:themeColor="text1"/>
          <w:sz w:val="18"/>
          <w:szCs w:val="18"/>
          <w:lang w:val="es-ES_tradnl"/>
        </w:rPr>
        <w:t>Fuente: Dirección de Ingresos de Tesorería Municipal</w:t>
      </w:r>
      <w:r>
        <w:rPr>
          <w:rFonts w:cs="Arial"/>
          <w:color w:val="000000" w:themeColor="text1"/>
          <w:sz w:val="18"/>
          <w:szCs w:val="18"/>
          <w:lang w:val="es-ES_tradnl"/>
        </w:rPr>
        <w:t xml:space="preserve"> de Hermosillo.</w:t>
      </w:r>
    </w:p>
    <w:p w14:paraId="30DD6B81" w14:textId="076D6D22" w:rsidR="00261A27" w:rsidRPr="00261A27" w:rsidRDefault="00261A27" w:rsidP="00B205BA">
      <w:pPr>
        <w:spacing w:after="120" w:line="240" w:lineRule="auto"/>
        <w:ind w:right="49"/>
        <w:rPr>
          <w:rFonts w:cs="Arial"/>
        </w:rPr>
      </w:pPr>
      <w:r w:rsidRPr="008913E4">
        <w:rPr>
          <w:rFonts w:cs="Arial"/>
        </w:rPr>
        <w:t>El impuesto predial (incluyendo rezago) más el impuesto sobre traslación de dominio fueron los conceptos que más contribuyeron en 2023. Por estos conceptos se ingresaron 1523.5 millones de pesos, lo que representa 81</w:t>
      </w:r>
      <w:r>
        <w:rPr>
          <w:rFonts w:cs="Arial"/>
        </w:rPr>
        <w:t xml:space="preserve"> </w:t>
      </w:r>
      <w:r w:rsidRPr="008913E4">
        <w:rPr>
          <w:rFonts w:cs="Arial"/>
        </w:rPr>
        <w:t>% de los ingresos por impuestos y 58</w:t>
      </w:r>
      <w:r>
        <w:rPr>
          <w:rFonts w:cs="Arial"/>
        </w:rPr>
        <w:t xml:space="preserve"> </w:t>
      </w:r>
      <w:r w:rsidRPr="008913E4">
        <w:rPr>
          <w:rFonts w:cs="Arial"/>
        </w:rPr>
        <w:t xml:space="preserve">% de los </w:t>
      </w:r>
      <w:r w:rsidRPr="008913E4">
        <w:rPr>
          <w:rFonts w:cs="Arial"/>
        </w:rPr>
        <w:lastRenderedPageBreak/>
        <w:t>ingresos propios totales</w:t>
      </w:r>
      <w:r>
        <w:rPr>
          <w:rFonts w:cs="Arial"/>
        </w:rPr>
        <w:t>. Es</w:t>
      </w:r>
      <w:r w:rsidRPr="008913E4">
        <w:rPr>
          <w:rFonts w:cs="Arial"/>
        </w:rPr>
        <w:t xml:space="preserve"> decir, de cada peso de ingresos propios que recibe el Ayuntamiento, 58 centavos corresponde</w:t>
      </w:r>
      <w:r>
        <w:rPr>
          <w:rFonts w:cs="Arial"/>
        </w:rPr>
        <w:t>n</w:t>
      </w:r>
      <w:r w:rsidRPr="008913E4">
        <w:rPr>
          <w:rFonts w:cs="Arial"/>
        </w:rPr>
        <w:t xml:space="preserve"> a estos conceptos. </w:t>
      </w:r>
    </w:p>
    <w:p w14:paraId="63E12DF6" w14:textId="48CA0C91" w:rsidR="00261A27" w:rsidRPr="00626AB9" w:rsidRDefault="00BD09D3" w:rsidP="00626AB9">
      <w:pPr>
        <w:spacing w:after="120" w:line="240" w:lineRule="auto"/>
        <w:rPr>
          <w:rFonts w:cs="Arial"/>
          <w:b/>
          <w:sz w:val="20"/>
          <w:szCs w:val="20"/>
          <w:lang w:val="es-ES_tradnl"/>
        </w:rPr>
      </w:pPr>
      <w:r w:rsidRPr="008913E4">
        <w:rPr>
          <w:rFonts w:cs="Arial"/>
          <w:b/>
          <w:sz w:val="20"/>
          <w:szCs w:val="20"/>
          <w:lang w:val="es-ES_tradnl"/>
        </w:rPr>
        <w:t>GRÁFICA 4. CRECIMIENTO DEL IMPUESTO PREDIAL 2021</w:t>
      </w:r>
      <w:r>
        <w:rPr>
          <w:rFonts w:cs="Arial"/>
          <w:b/>
          <w:sz w:val="20"/>
          <w:szCs w:val="20"/>
          <w:lang w:val="es-ES_tradnl"/>
        </w:rPr>
        <w:t xml:space="preserve"> </w:t>
      </w:r>
      <w:r w:rsidRPr="008913E4">
        <w:rPr>
          <w:rFonts w:cs="Arial"/>
          <w:b/>
          <w:sz w:val="20"/>
          <w:szCs w:val="20"/>
          <w:lang w:val="es-ES_tradnl"/>
        </w:rPr>
        <w:t>-</w:t>
      </w:r>
      <w:r>
        <w:rPr>
          <w:rFonts w:cs="Arial"/>
          <w:b/>
          <w:sz w:val="20"/>
          <w:szCs w:val="20"/>
          <w:lang w:val="es-ES_tradnl"/>
        </w:rPr>
        <w:t xml:space="preserve"> </w:t>
      </w:r>
      <w:r w:rsidRPr="008913E4">
        <w:rPr>
          <w:rFonts w:cs="Arial"/>
          <w:b/>
          <w:sz w:val="20"/>
          <w:szCs w:val="20"/>
          <w:lang w:val="es-ES_tradnl"/>
        </w:rPr>
        <w:t>SEPTIEMBRE 2024</w:t>
      </w:r>
      <w:r>
        <w:rPr>
          <w:rFonts w:cs="Arial"/>
          <w:b/>
          <w:sz w:val="20"/>
          <w:szCs w:val="20"/>
          <w:lang w:val="es-ES_tradnl"/>
        </w:rPr>
        <w:t xml:space="preserve"> </w:t>
      </w:r>
      <w:r w:rsidRPr="008913E4">
        <w:rPr>
          <w:rFonts w:cs="Arial"/>
          <w:b/>
          <w:sz w:val="20"/>
          <w:szCs w:val="20"/>
          <w:lang w:val="es-ES_tradnl"/>
        </w:rPr>
        <w:t>(</w:t>
      </w:r>
      <w:r>
        <w:rPr>
          <w:rFonts w:cs="Arial"/>
          <w:b/>
          <w:sz w:val="20"/>
          <w:szCs w:val="20"/>
          <w:lang w:val="es-ES_tradnl"/>
        </w:rPr>
        <w:t>M</w:t>
      </w:r>
      <w:r w:rsidRPr="008913E4">
        <w:rPr>
          <w:rFonts w:cs="Arial"/>
          <w:b/>
          <w:sz w:val="20"/>
          <w:szCs w:val="20"/>
          <w:lang w:val="es-ES_tradnl"/>
        </w:rPr>
        <w:t>ILLONES DE PESOS)</w:t>
      </w:r>
      <w:r>
        <w:rPr>
          <w:rFonts w:cs="Arial"/>
          <w:b/>
          <w:sz w:val="20"/>
          <w:szCs w:val="20"/>
          <w:lang w:val="es-ES_tradnl"/>
        </w:rPr>
        <w:t>.</w:t>
      </w:r>
    </w:p>
    <w:p w14:paraId="50AD2EA0" w14:textId="77777777" w:rsidR="00261A27" w:rsidRPr="008913E4" w:rsidRDefault="00261A27" w:rsidP="00B205BA">
      <w:pPr>
        <w:pStyle w:val="Sinespaciado"/>
        <w:spacing w:after="120"/>
        <w:rPr>
          <w:rFonts w:cs="Arial"/>
          <w:sz w:val="20"/>
          <w:szCs w:val="20"/>
          <w:lang w:val="es-ES_tradnl" w:bidi="en-US"/>
        </w:rPr>
      </w:pPr>
      <w:r w:rsidRPr="008913E4">
        <w:rPr>
          <w:noProof/>
          <w:lang w:val="es-ES" w:bidi="en-US"/>
        </w:rPr>
        <w:drawing>
          <wp:inline distT="0" distB="0" distL="0" distR="0" wp14:anchorId="796B3543" wp14:editId="69441753">
            <wp:extent cx="5410200" cy="2243737"/>
            <wp:effectExtent l="0" t="0" r="12700" b="17145"/>
            <wp:docPr id="386066346" name="Gráfico 1">
              <a:extLst xmlns:a="http://schemas.openxmlformats.org/drawingml/2006/main">
                <a:ext uri="{FF2B5EF4-FFF2-40B4-BE49-F238E27FC236}">
                  <a16:creationId xmlns:a16="http://schemas.microsoft.com/office/drawing/2014/main" id="{950A5A99-9D3D-CDD8-B286-61C489310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E29E6C" w14:textId="77777777" w:rsidR="00261A27" w:rsidRDefault="00261A27" w:rsidP="00B205BA">
      <w:pPr>
        <w:spacing w:after="120" w:line="240" w:lineRule="auto"/>
        <w:rPr>
          <w:rFonts w:cs="Arial"/>
          <w:color w:val="000000" w:themeColor="text1"/>
          <w:sz w:val="18"/>
          <w:szCs w:val="18"/>
          <w:lang w:val="es-ES_tradnl"/>
        </w:rPr>
      </w:pPr>
      <w:r w:rsidRPr="008913E4">
        <w:rPr>
          <w:rFonts w:cs="Arial"/>
          <w:color w:val="000000" w:themeColor="text1"/>
          <w:sz w:val="18"/>
          <w:szCs w:val="18"/>
          <w:lang w:val="es-ES_tradnl"/>
        </w:rPr>
        <w:t>Fuente: Dirección de Ingresos de Tesorería Municipal</w:t>
      </w:r>
      <w:r>
        <w:rPr>
          <w:rFonts w:cs="Arial"/>
          <w:color w:val="000000" w:themeColor="text1"/>
          <w:sz w:val="18"/>
          <w:szCs w:val="18"/>
          <w:lang w:val="es-ES_tradnl"/>
        </w:rPr>
        <w:t xml:space="preserve"> de Hermosillo.</w:t>
      </w:r>
    </w:p>
    <w:p w14:paraId="3B596CEE" w14:textId="0C005FD0" w:rsidR="00261A27" w:rsidRPr="008913E4" w:rsidRDefault="00261A27" w:rsidP="00B205BA">
      <w:pPr>
        <w:spacing w:after="120" w:line="240" w:lineRule="auto"/>
        <w:ind w:right="49"/>
        <w:rPr>
          <w:rFonts w:cs="Arial"/>
        </w:rPr>
      </w:pPr>
      <w:r w:rsidRPr="008913E4">
        <w:rPr>
          <w:rFonts w:cs="Arial"/>
        </w:rPr>
        <w:t>En 2023</w:t>
      </w:r>
      <w:r>
        <w:rPr>
          <w:rFonts w:cs="Arial"/>
        </w:rPr>
        <w:t>,</w:t>
      </w:r>
      <w:r w:rsidRPr="008913E4">
        <w:rPr>
          <w:rFonts w:cs="Arial"/>
        </w:rPr>
        <w:t xml:space="preserve"> se tuvo un ingreso récord de 906.3 millones de pesos, </w:t>
      </w:r>
      <w:r>
        <w:rPr>
          <w:rFonts w:cs="Arial"/>
        </w:rPr>
        <w:t xml:space="preserve">cifra </w:t>
      </w:r>
      <w:r w:rsidRPr="008913E4">
        <w:rPr>
          <w:rFonts w:cs="Arial"/>
        </w:rPr>
        <w:t>que representó un incremento de 19</w:t>
      </w:r>
      <w:r>
        <w:rPr>
          <w:rFonts w:cs="Arial"/>
        </w:rPr>
        <w:t xml:space="preserve"> </w:t>
      </w:r>
      <w:r w:rsidRPr="008913E4">
        <w:rPr>
          <w:rFonts w:cs="Arial"/>
        </w:rPr>
        <w:t xml:space="preserve">% </w:t>
      </w:r>
      <w:r>
        <w:rPr>
          <w:rFonts w:cs="Arial"/>
        </w:rPr>
        <w:t>(</w:t>
      </w:r>
      <w:r w:rsidRPr="008913E4">
        <w:rPr>
          <w:rFonts w:cs="Arial"/>
        </w:rPr>
        <w:t>147</w:t>
      </w:r>
      <w:r>
        <w:rPr>
          <w:rFonts w:cs="Arial"/>
        </w:rPr>
        <w:t xml:space="preserve"> </w:t>
      </w:r>
      <w:r w:rsidRPr="008913E4">
        <w:rPr>
          <w:rFonts w:cs="Arial"/>
        </w:rPr>
        <w:t>millones de pesos</w:t>
      </w:r>
      <w:r>
        <w:rPr>
          <w:rFonts w:cs="Arial"/>
        </w:rPr>
        <w:t xml:space="preserve">) </w:t>
      </w:r>
      <w:r w:rsidRPr="008913E4">
        <w:rPr>
          <w:rFonts w:cs="Arial"/>
        </w:rPr>
        <w:t xml:space="preserve">respecto </w:t>
      </w:r>
      <w:r>
        <w:rPr>
          <w:rFonts w:cs="Arial"/>
        </w:rPr>
        <w:t>a 2022</w:t>
      </w:r>
      <w:r w:rsidRPr="008913E4">
        <w:rPr>
          <w:rFonts w:cs="Arial"/>
        </w:rPr>
        <w:t>. La eficiencia en la recaudación de</w:t>
      </w:r>
      <w:r>
        <w:rPr>
          <w:rFonts w:cs="Arial"/>
        </w:rPr>
        <w:t>l impuesto</w:t>
      </w:r>
      <w:r w:rsidRPr="008913E4">
        <w:rPr>
          <w:rFonts w:cs="Arial"/>
        </w:rPr>
        <w:t xml:space="preserve"> predial también ha mejorado año con año. En 2021</w:t>
      </w:r>
      <w:r>
        <w:rPr>
          <w:rFonts w:cs="Arial"/>
        </w:rPr>
        <w:t>,</w:t>
      </w:r>
      <w:r w:rsidRPr="008913E4">
        <w:rPr>
          <w:rFonts w:cs="Arial"/>
        </w:rPr>
        <w:t xml:space="preserve"> la eficiencia recaudatoria </w:t>
      </w:r>
      <w:r>
        <w:rPr>
          <w:rFonts w:cs="Arial"/>
        </w:rPr>
        <w:t>fue</w:t>
      </w:r>
      <w:r w:rsidRPr="008913E4">
        <w:rPr>
          <w:rFonts w:cs="Arial"/>
        </w:rPr>
        <w:t xml:space="preserve"> de 57</w:t>
      </w:r>
      <w:r>
        <w:rPr>
          <w:rFonts w:cs="Arial"/>
        </w:rPr>
        <w:t xml:space="preserve"> </w:t>
      </w:r>
      <w:r w:rsidRPr="008913E4">
        <w:rPr>
          <w:rFonts w:cs="Arial"/>
        </w:rPr>
        <w:t xml:space="preserve">%, en 2022 </w:t>
      </w:r>
      <w:r>
        <w:rPr>
          <w:rFonts w:cs="Arial"/>
        </w:rPr>
        <w:t>de</w:t>
      </w:r>
      <w:r w:rsidRPr="008913E4">
        <w:rPr>
          <w:rFonts w:cs="Arial"/>
        </w:rPr>
        <w:t xml:space="preserve"> 65% y para 2023 se alcanzó una eficiencia </w:t>
      </w:r>
      <w:r>
        <w:rPr>
          <w:rFonts w:cs="Arial"/>
        </w:rPr>
        <w:t>de</w:t>
      </w:r>
      <w:r w:rsidRPr="008913E4">
        <w:rPr>
          <w:rFonts w:cs="Arial"/>
        </w:rPr>
        <w:t xml:space="preserve"> 67</w:t>
      </w:r>
      <w:r>
        <w:rPr>
          <w:rFonts w:cs="Arial"/>
        </w:rPr>
        <w:t xml:space="preserve"> </w:t>
      </w:r>
      <w:r w:rsidRPr="008913E4">
        <w:rPr>
          <w:rFonts w:cs="Arial"/>
        </w:rPr>
        <w:t>%.</w:t>
      </w:r>
    </w:p>
    <w:bookmarkEnd w:id="22"/>
    <w:bookmarkEnd w:id="23"/>
    <w:p w14:paraId="70B4BDD3" w14:textId="0C88BF0B" w:rsidR="00261A27" w:rsidRPr="008913E4" w:rsidRDefault="00261A27" w:rsidP="00B205BA">
      <w:pPr>
        <w:tabs>
          <w:tab w:val="left" w:pos="4849"/>
        </w:tabs>
        <w:spacing w:after="120" w:line="240" w:lineRule="auto"/>
        <w:rPr>
          <w:rFonts w:cs="Arial"/>
          <w:b/>
          <w:bCs/>
        </w:rPr>
      </w:pPr>
      <w:r w:rsidRPr="008913E4">
        <w:rPr>
          <w:rFonts w:cs="Arial"/>
          <w:b/>
          <w:bCs/>
        </w:rPr>
        <w:t>Presupuesto de egresos</w:t>
      </w:r>
      <w:r w:rsidR="002E58A2">
        <w:rPr>
          <w:rFonts w:cs="Arial"/>
          <w:b/>
          <w:bCs/>
        </w:rPr>
        <w:t>.</w:t>
      </w:r>
    </w:p>
    <w:p w14:paraId="5B76F548" w14:textId="211CF9B5" w:rsidR="002951A3" w:rsidRPr="002951A3" w:rsidRDefault="002951A3" w:rsidP="002951A3">
      <w:pPr>
        <w:widowControl w:val="0"/>
        <w:autoSpaceDE w:val="0"/>
        <w:autoSpaceDN w:val="0"/>
        <w:spacing w:after="120" w:line="240" w:lineRule="auto"/>
        <w:rPr>
          <w:rFonts w:cs="Arial"/>
        </w:rPr>
      </w:pPr>
      <w:r w:rsidRPr="002951A3">
        <w:rPr>
          <w:rFonts w:cs="Arial"/>
        </w:rPr>
        <w:t xml:space="preserve">El Presupuesto de Egresos es el documento en el que se establecen las proyecciones de recursos que el gobierno ejerce durante un ejercicio fiscal para alcanzar los objetivos y metas previstos, consignados en los programas presupuestarios. </w:t>
      </w:r>
    </w:p>
    <w:p w14:paraId="64C3CAFA" w14:textId="6FA454E4" w:rsidR="002951A3" w:rsidRPr="002951A3" w:rsidRDefault="002951A3" w:rsidP="002951A3">
      <w:pPr>
        <w:widowControl w:val="0"/>
        <w:autoSpaceDE w:val="0"/>
        <w:autoSpaceDN w:val="0"/>
        <w:spacing w:after="120" w:line="240" w:lineRule="auto"/>
        <w:rPr>
          <w:rFonts w:cs="Arial"/>
        </w:rPr>
      </w:pPr>
      <w:r w:rsidRPr="002951A3">
        <w:rPr>
          <w:rFonts w:cs="Arial"/>
        </w:rPr>
        <w:t>La política de gasto municipal de Hermosillo se ha orientado bajo los siguientes principios:</w:t>
      </w:r>
    </w:p>
    <w:p w14:paraId="5792A7C0" w14:textId="58CB0DAB" w:rsidR="002951A3" w:rsidRPr="002951A3" w:rsidRDefault="002951A3" w:rsidP="002951A3">
      <w:pPr>
        <w:pStyle w:val="Prrafodelista"/>
        <w:widowControl w:val="0"/>
        <w:numPr>
          <w:ilvl w:val="1"/>
          <w:numId w:val="13"/>
        </w:numPr>
        <w:autoSpaceDE w:val="0"/>
        <w:autoSpaceDN w:val="0"/>
        <w:spacing w:after="120" w:line="240" w:lineRule="auto"/>
        <w:ind w:left="851" w:hanging="567"/>
        <w:rPr>
          <w:rFonts w:cs="Arial"/>
        </w:rPr>
      </w:pPr>
      <w:r w:rsidRPr="002951A3">
        <w:rPr>
          <w:rFonts w:cs="Arial"/>
        </w:rPr>
        <w:t>Mejorar la calidad del gasto municipal, maximizando los recursos dirigidos a la atención de las necesidades ciudadanas y al fortalecimiento de las capacidades institucionales del H. Ayuntamiento de Hermosillo.</w:t>
      </w:r>
    </w:p>
    <w:p w14:paraId="4934FE8B" w14:textId="5633D995" w:rsidR="002951A3" w:rsidRPr="002951A3" w:rsidRDefault="002951A3" w:rsidP="002951A3">
      <w:pPr>
        <w:pStyle w:val="Prrafodelista"/>
        <w:widowControl w:val="0"/>
        <w:numPr>
          <w:ilvl w:val="1"/>
          <w:numId w:val="13"/>
        </w:numPr>
        <w:autoSpaceDE w:val="0"/>
        <w:autoSpaceDN w:val="0"/>
        <w:spacing w:after="120" w:line="240" w:lineRule="auto"/>
        <w:ind w:left="851" w:hanging="567"/>
        <w:rPr>
          <w:rFonts w:cs="Arial"/>
        </w:rPr>
      </w:pPr>
      <w:r w:rsidRPr="002951A3">
        <w:rPr>
          <w:rFonts w:cs="Arial"/>
        </w:rPr>
        <w:t>Brindar el espacio presupuestal y financiero requerido para evitar el crecimiento de pasivos derivado del gasto de operación del H. Ayuntamiento de Hermosillo.</w:t>
      </w:r>
    </w:p>
    <w:p w14:paraId="1115E9D9" w14:textId="283BADD3" w:rsidR="002951A3" w:rsidRPr="002951A3" w:rsidRDefault="002951A3" w:rsidP="002951A3">
      <w:pPr>
        <w:pStyle w:val="Prrafodelista"/>
        <w:widowControl w:val="0"/>
        <w:numPr>
          <w:ilvl w:val="1"/>
          <w:numId w:val="13"/>
        </w:numPr>
        <w:autoSpaceDE w:val="0"/>
        <w:autoSpaceDN w:val="0"/>
        <w:spacing w:after="120" w:line="240" w:lineRule="auto"/>
        <w:ind w:left="851" w:hanging="567"/>
        <w:rPr>
          <w:rFonts w:cs="Arial"/>
        </w:rPr>
      </w:pPr>
      <w:r w:rsidRPr="002951A3">
        <w:rPr>
          <w:rFonts w:cs="Arial"/>
        </w:rPr>
        <w:t>Mantener el gasto total dentro de límites que garanticen un balance presupuestario sostenible.</w:t>
      </w:r>
    </w:p>
    <w:p w14:paraId="6052CB5B" w14:textId="77777777" w:rsidR="002951A3" w:rsidRDefault="002951A3" w:rsidP="002951A3">
      <w:pPr>
        <w:widowControl w:val="0"/>
        <w:autoSpaceDE w:val="0"/>
        <w:autoSpaceDN w:val="0"/>
        <w:spacing w:after="120" w:line="240" w:lineRule="auto"/>
        <w:rPr>
          <w:rFonts w:cs="Arial"/>
        </w:rPr>
      </w:pPr>
      <w:r w:rsidRPr="002951A3">
        <w:rPr>
          <w:rFonts w:cs="Arial"/>
        </w:rPr>
        <w:t>El control de los egresos del municipio se realiza conforme a la legislación en materia financiera y contable y aplicando el Presupuesto Basado en Resultados (PbR) para organizar las asignaciones presupuestales en función de los objetivos y resultados esperados de cada programa para cumplir con la planeación estratégica.</w:t>
      </w:r>
    </w:p>
    <w:p w14:paraId="76B051E8" w14:textId="4A8EB8C2" w:rsidR="00261A27" w:rsidRPr="008913E4" w:rsidRDefault="00261A27" w:rsidP="002951A3">
      <w:pPr>
        <w:widowControl w:val="0"/>
        <w:autoSpaceDE w:val="0"/>
        <w:autoSpaceDN w:val="0"/>
        <w:spacing w:after="120" w:line="240" w:lineRule="auto"/>
        <w:rPr>
          <w:rFonts w:cs="Arial"/>
        </w:rPr>
      </w:pPr>
      <w:r w:rsidRPr="008913E4">
        <w:rPr>
          <w:rFonts w:cs="Arial"/>
          <w:lang w:eastAsia="es-ES_tradnl"/>
        </w:rPr>
        <w:t xml:space="preserve">La Secretaría de Hacienda y Crédito Público </w:t>
      </w:r>
      <w:r>
        <w:rPr>
          <w:rFonts w:cs="Arial"/>
          <w:lang w:eastAsia="es-ES_tradnl"/>
        </w:rPr>
        <w:t xml:space="preserve">(SHCP) </w:t>
      </w:r>
      <w:r w:rsidRPr="008913E4">
        <w:rPr>
          <w:rFonts w:cs="Arial"/>
          <w:lang w:eastAsia="es-ES_tradnl"/>
        </w:rPr>
        <w:t xml:space="preserve">presenta anualmente los resultados de las entidades federativas, los municipios y demarcaciones territoriales de la Ciudad de México con el fin de medir el avance en la implementación </w:t>
      </w:r>
      <w:r>
        <w:rPr>
          <w:rFonts w:cs="Arial"/>
          <w:lang w:eastAsia="es-ES_tradnl"/>
        </w:rPr>
        <w:t>del PbR</w:t>
      </w:r>
      <w:r w:rsidRPr="008913E4">
        <w:rPr>
          <w:rFonts w:cs="Arial"/>
          <w:lang w:eastAsia="es-ES_tradnl"/>
        </w:rPr>
        <w:t xml:space="preserve">. Los resultados generales del Diagnóstico PbR-SED 2023 del </w:t>
      </w:r>
      <w:r>
        <w:rPr>
          <w:rFonts w:cs="Arial"/>
          <w:lang w:eastAsia="es-ES_tradnl"/>
        </w:rPr>
        <w:t>m</w:t>
      </w:r>
      <w:r w:rsidRPr="008913E4">
        <w:rPr>
          <w:rFonts w:cs="Arial"/>
          <w:lang w:eastAsia="es-ES_tradnl"/>
        </w:rPr>
        <w:t xml:space="preserve">unicipio de Hermosillo </w:t>
      </w:r>
      <w:r>
        <w:rPr>
          <w:rFonts w:cs="Arial"/>
          <w:lang w:eastAsia="es-ES_tradnl"/>
        </w:rPr>
        <w:t>permiten apreciar</w:t>
      </w:r>
      <w:r w:rsidRPr="008913E4">
        <w:rPr>
          <w:rFonts w:cs="Arial"/>
          <w:lang w:eastAsia="es-ES_tradnl"/>
        </w:rPr>
        <w:t xml:space="preserve"> un avance favorable.</w:t>
      </w:r>
    </w:p>
    <w:p w14:paraId="6543190E" w14:textId="50949232" w:rsidR="00261A27" w:rsidRPr="008913E4" w:rsidRDefault="00BD09D3" w:rsidP="00B205BA">
      <w:pPr>
        <w:spacing w:before="100" w:beforeAutospacing="1" w:after="120" w:line="240" w:lineRule="auto"/>
        <w:jc w:val="center"/>
        <w:rPr>
          <w:rFonts w:cs="Arial"/>
          <w:b/>
          <w:bCs/>
          <w:lang w:eastAsia="es-ES_tradnl"/>
        </w:rPr>
      </w:pPr>
      <w:r w:rsidRPr="008913E4">
        <w:rPr>
          <w:rFonts w:cs="Arial"/>
          <w:b/>
          <w:bCs/>
          <w:lang w:eastAsia="es-ES_tradnl"/>
        </w:rPr>
        <w:lastRenderedPageBreak/>
        <w:t xml:space="preserve">GRÁFICA 5. PORCENTAJE DE AVANCE </w:t>
      </w:r>
      <w:r>
        <w:rPr>
          <w:rFonts w:cs="Arial"/>
          <w:b/>
          <w:bCs/>
          <w:lang w:eastAsia="es-ES_tradnl"/>
        </w:rPr>
        <w:t>EN</w:t>
      </w:r>
      <w:r w:rsidRPr="008913E4">
        <w:rPr>
          <w:rFonts w:cs="Arial"/>
          <w:b/>
          <w:bCs/>
          <w:lang w:eastAsia="es-ES_tradnl"/>
        </w:rPr>
        <w:t xml:space="preserve"> LA IMPLEMENTACIÓN DEL PBR-SED EN HERMOSILLO DE 2014 </w:t>
      </w:r>
      <w:r>
        <w:rPr>
          <w:rFonts w:cs="Arial"/>
          <w:b/>
          <w:bCs/>
          <w:lang w:eastAsia="es-ES_tradnl"/>
        </w:rPr>
        <w:t>A</w:t>
      </w:r>
      <w:r w:rsidRPr="008913E4">
        <w:rPr>
          <w:rFonts w:cs="Arial"/>
          <w:b/>
          <w:bCs/>
          <w:lang w:eastAsia="es-ES_tradnl"/>
        </w:rPr>
        <w:t xml:space="preserve"> 2024.</w:t>
      </w:r>
    </w:p>
    <w:p w14:paraId="5A251DF4" w14:textId="77777777" w:rsidR="00261A27" w:rsidRPr="008913E4" w:rsidRDefault="00261A27" w:rsidP="00B205BA">
      <w:pPr>
        <w:pStyle w:val="Sinespaciado"/>
        <w:spacing w:after="120"/>
        <w:rPr>
          <w:rFonts w:ascii="Arial" w:hAnsi="Arial" w:cs="Arial"/>
          <w:lang w:eastAsia="es-ES_tradnl"/>
        </w:rPr>
      </w:pPr>
      <w:r w:rsidRPr="008913E4">
        <w:rPr>
          <w:noProof/>
          <w:lang w:eastAsia="es-MX"/>
        </w:rPr>
        <w:drawing>
          <wp:inline distT="0" distB="0" distL="0" distR="0" wp14:anchorId="62A3582D" wp14:editId="0BB4BCAC">
            <wp:extent cx="5476875" cy="2166897"/>
            <wp:effectExtent l="0" t="0" r="9525" b="17780"/>
            <wp:docPr id="1733270909" name="Gráfico 1">
              <a:extLst xmlns:a="http://schemas.openxmlformats.org/drawingml/2006/main">
                <a:ext uri="{FF2B5EF4-FFF2-40B4-BE49-F238E27FC236}">
                  <a16:creationId xmlns:a16="http://schemas.microsoft.com/office/drawing/2014/main" id="{52338923-ADCA-0212-4419-983DC7C41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512A6D7" w14:textId="3C433B89" w:rsidR="00261A27" w:rsidRPr="00261A27" w:rsidRDefault="00261A27" w:rsidP="00B205BA">
      <w:pPr>
        <w:widowControl w:val="0"/>
        <w:autoSpaceDE w:val="0"/>
        <w:autoSpaceDN w:val="0"/>
        <w:spacing w:before="94" w:after="120" w:line="240" w:lineRule="auto"/>
        <w:rPr>
          <w:rFonts w:eastAsia="Verdana" w:cs="Arial"/>
          <w:spacing w:val="-10"/>
          <w:sz w:val="18"/>
          <w:szCs w:val="18"/>
        </w:rPr>
      </w:pPr>
      <w:r w:rsidRPr="008913E4">
        <w:rPr>
          <w:rFonts w:eastAsia="Verdana" w:cs="Arial"/>
          <w:spacing w:val="-10"/>
          <w:sz w:val="18"/>
          <w:szCs w:val="18"/>
        </w:rPr>
        <w:t xml:space="preserve"> Fuente: Elaboración propia con datos de la </w:t>
      </w:r>
      <w:r>
        <w:rPr>
          <w:rFonts w:eastAsia="Verdana" w:cs="Arial"/>
          <w:spacing w:val="-10"/>
          <w:sz w:val="18"/>
          <w:szCs w:val="18"/>
        </w:rPr>
        <w:t>Secretaría de Hacienda y Crédito Público</w:t>
      </w:r>
      <w:r w:rsidRPr="008913E4">
        <w:rPr>
          <w:rFonts w:eastAsia="Verdana" w:cs="Arial"/>
          <w:spacing w:val="-10"/>
          <w:sz w:val="18"/>
          <w:szCs w:val="18"/>
        </w:rPr>
        <w:t>.</w:t>
      </w:r>
    </w:p>
    <w:p w14:paraId="23DD969B" w14:textId="77777777" w:rsidR="002951A3" w:rsidRDefault="00261A27" w:rsidP="002951A3">
      <w:pPr>
        <w:spacing w:after="120" w:line="240" w:lineRule="auto"/>
        <w:ind w:right="49"/>
        <w:rPr>
          <w:rFonts w:cs="Arial"/>
          <w:color w:val="000000" w:themeColor="text1"/>
        </w:rPr>
      </w:pPr>
      <w:r w:rsidRPr="008913E4">
        <w:rPr>
          <w:rFonts w:cs="Arial"/>
          <w:color w:val="000000" w:themeColor="text1"/>
        </w:rPr>
        <w:t>Las estrategias de la hacienda pública municipal que han dado como resultado un crecimiento sostenido de los ingresos propios de 202</w:t>
      </w:r>
      <w:r w:rsidR="002951A3">
        <w:rPr>
          <w:rFonts w:cs="Arial"/>
          <w:color w:val="000000" w:themeColor="text1"/>
        </w:rPr>
        <w:t>2</w:t>
      </w:r>
      <w:r w:rsidRPr="008913E4">
        <w:rPr>
          <w:rFonts w:cs="Arial"/>
          <w:color w:val="000000" w:themeColor="text1"/>
        </w:rPr>
        <w:t xml:space="preserve"> a 2024</w:t>
      </w:r>
      <w:r>
        <w:rPr>
          <w:rFonts w:cs="Arial"/>
          <w:color w:val="000000" w:themeColor="text1"/>
        </w:rPr>
        <w:t xml:space="preserve"> y</w:t>
      </w:r>
      <w:r w:rsidRPr="008913E4">
        <w:rPr>
          <w:rFonts w:cs="Arial"/>
          <w:color w:val="000000" w:themeColor="text1"/>
        </w:rPr>
        <w:t xml:space="preserve"> la disminución de la dependencia financiera </w:t>
      </w:r>
      <w:r>
        <w:rPr>
          <w:rFonts w:cs="Arial"/>
          <w:color w:val="000000" w:themeColor="text1"/>
        </w:rPr>
        <w:t>de</w:t>
      </w:r>
      <w:r w:rsidRPr="008913E4">
        <w:rPr>
          <w:rFonts w:cs="Arial"/>
          <w:color w:val="000000" w:themeColor="text1"/>
        </w:rPr>
        <w:t xml:space="preserve"> </w:t>
      </w:r>
      <w:r>
        <w:rPr>
          <w:rFonts w:cs="Arial"/>
          <w:color w:val="000000" w:themeColor="text1"/>
        </w:rPr>
        <w:t>las</w:t>
      </w:r>
      <w:r w:rsidRPr="008913E4">
        <w:rPr>
          <w:rFonts w:cs="Arial"/>
          <w:color w:val="000000" w:themeColor="text1"/>
        </w:rPr>
        <w:t xml:space="preserve"> participaciones y aportaciones federales y estatales</w:t>
      </w:r>
      <w:r>
        <w:rPr>
          <w:rFonts w:cs="Arial"/>
          <w:color w:val="000000" w:themeColor="text1"/>
        </w:rPr>
        <w:t>,</w:t>
      </w:r>
      <w:r w:rsidRPr="008913E4">
        <w:rPr>
          <w:rFonts w:cs="Arial"/>
          <w:color w:val="000000" w:themeColor="text1"/>
        </w:rPr>
        <w:t xml:space="preserve"> ha</w:t>
      </w:r>
      <w:r>
        <w:rPr>
          <w:rFonts w:cs="Arial"/>
          <w:color w:val="000000" w:themeColor="text1"/>
        </w:rPr>
        <w:t>n</w:t>
      </w:r>
      <w:r w:rsidRPr="008913E4">
        <w:rPr>
          <w:rFonts w:cs="Arial"/>
          <w:color w:val="000000" w:themeColor="text1"/>
        </w:rPr>
        <w:t xml:space="preserve"> permitido incrementar el gasto </w:t>
      </w:r>
      <w:r>
        <w:rPr>
          <w:rFonts w:cs="Arial"/>
          <w:color w:val="000000" w:themeColor="text1"/>
        </w:rPr>
        <w:t>destinado a</w:t>
      </w:r>
      <w:r w:rsidRPr="008913E4">
        <w:rPr>
          <w:rFonts w:cs="Arial"/>
          <w:color w:val="000000" w:themeColor="text1"/>
        </w:rPr>
        <w:t xml:space="preserve"> inversión en obra pública y</w:t>
      </w:r>
      <w:r w:rsidR="002951A3">
        <w:rPr>
          <w:rFonts w:cs="Arial"/>
          <w:color w:val="000000" w:themeColor="text1"/>
        </w:rPr>
        <w:t>,</w:t>
      </w:r>
      <w:r w:rsidRPr="008913E4">
        <w:rPr>
          <w:rFonts w:cs="Arial"/>
          <w:color w:val="000000" w:themeColor="text1"/>
        </w:rPr>
        <w:t xml:space="preserve"> </w:t>
      </w:r>
      <w:r w:rsidR="002951A3" w:rsidRPr="002951A3">
        <w:rPr>
          <w:rFonts w:cs="Arial"/>
          <w:color w:val="000000" w:themeColor="text1"/>
        </w:rPr>
        <w:t>simultáneamente, fortalecer el financiamiento de las funciones y servicios del gobierno municipal.</w:t>
      </w:r>
    </w:p>
    <w:p w14:paraId="05674548" w14:textId="77777777" w:rsidR="002951A3" w:rsidRDefault="002951A3" w:rsidP="002951A3">
      <w:pPr>
        <w:spacing w:after="120" w:line="240" w:lineRule="auto"/>
        <w:ind w:right="49"/>
        <w:rPr>
          <w:rFonts w:cs="Arial"/>
          <w:color w:val="000000" w:themeColor="text1"/>
        </w:rPr>
      </w:pPr>
      <w:r w:rsidRPr="002951A3">
        <w:rPr>
          <w:rFonts w:cs="Arial"/>
          <w:color w:val="000000" w:themeColor="text1"/>
        </w:rPr>
        <w:t>Es importante destacar que se aprecia un significativo crecimiento de 54.1 % en el Gasto Público Municipal en el periodo de 2022 a 2024, en relación a lo observado en el trienio de 2019 a 2021:</w:t>
      </w:r>
    </w:p>
    <w:p w14:paraId="63D9EBAB" w14:textId="4B82E7EA" w:rsidR="00261A27" w:rsidRPr="0086730D" w:rsidRDefault="0086730D" w:rsidP="0086730D">
      <w:pPr>
        <w:pStyle w:val="TableParagraph"/>
        <w:spacing w:line="276" w:lineRule="auto"/>
        <w:ind w:right="96"/>
        <w:jc w:val="center"/>
        <w:rPr>
          <w:b/>
          <w:sz w:val="22"/>
          <w:szCs w:val="22"/>
        </w:rPr>
      </w:pPr>
      <w:r w:rsidRPr="00261A27">
        <w:rPr>
          <w:b/>
          <w:sz w:val="22"/>
          <w:szCs w:val="22"/>
        </w:rPr>
        <w:t xml:space="preserve">GRÁFICA 6. EVOLUCIÓN DEL PRESUPUESTO DE EGRESOS </w:t>
      </w:r>
      <w:r>
        <w:rPr>
          <w:b/>
          <w:sz w:val="22"/>
          <w:szCs w:val="22"/>
        </w:rPr>
        <w:t>DE LA ADMINISTRACIÓN ANTERIOR 2019-2021 AL 2022-2024.</w:t>
      </w:r>
    </w:p>
    <w:p w14:paraId="3A32F822" w14:textId="19745E4F" w:rsidR="00261A27" w:rsidRPr="008913E4" w:rsidRDefault="002951A3" w:rsidP="002951A3">
      <w:pPr>
        <w:spacing w:after="120" w:line="240" w:lineRule="auto"/>
        <w:rPr>
          <w:rFonts w:ascii="Calibri" w:hAnsi="Calibri" w:cs="Calibri"/>
          <w:b/>
          <w:bCs/>
          <w:color w:val="000000" w:themeColor="text1"/>
        </w:rPr>
      </w:pPr>
      <w:r>
        <w:rPr>
          <w:noProof/>
        </w:rPr>
        <w:drawing>
          <wp:inline distT="0" distB="0" distL="0" distR="0" wp14:anchorId="2052CCA7" wp14:editId="0F4849FA">
            <wp:extent cx="5495925" cy="2787015"/>
            <wp:effectExtent l="0" t="0" r="0" b="0"/>
            <wp:docPr id="1824022851" name="Gráfico 1824022851">
              <a:extLst xmlns:a="http://schemas.openxmlformats.org/drawingml/2006/main">
                <a:ext uri="{FF2B5EF4-FFF2-40B4-BE49-F238E27FC236}">
                  <a16:creationId xmlns:a16="http://schemas.microsoft.com/office/drawing/2014/main" id="{56CADBBF-1C01-4845-8546-3377CE964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C75D32" w14:textId="45D36A60" w:rsidR="002951A3" w:rsidRDefault="002951A3" w:rsidP="00B205BA">
      <w:pPr>
        <w:widowControl w:val="0"/>
        <w:autoSpaceDE w:val="0"/>
        <w:autoSpaceDN w:val="0"/>
        <w:spacing w:after="120" w:line="240" w:lineRule="auto"/>
        <w:ind w:right="96"/>
        <w:rPr>
          <w:rFonts w:eastAsia="Arial" w:cs="Arial"/>
          <w:sz w:val="18"/>
          <w:szCs w:val="18"/>
          <w:lang w:eastAsia="es-ES_tradnl"/>
        </w:rPr>
      </w:pPr>
      <w:r w:rsidRPr="002951A3">
        <w:rPr>
          <w:rFonts w:eastAsia="Arial" w:cs="Arial"/>
          <w:sz w:val="18"/>
          <w:szCs w:val="18"/>
          <w:lang w:eastAsia="es-ES_tradnl"/>
        </w:rPr>
        <w:t>*2024 Estimado</w:t>
      </w:r>
    </w:p>
    <w:p w14:paraId="71E49689" w14:textId="5AA4C11C" w:rsidR="00261A27" w:rsidRPr="002951A3" w:rsidRDefault="00261A27" w:rsidP="002951A3">
      <w:pPr>
        <w:widowControl w:val="0"/>
        <w:autoSpaceDE w:val="0"/>
        <w:autoSpaceDN w:val="0"/>
        <w:spacing w:after="120" w:line="240" w:lineRule="auto"/>
        <w:ind w:right="96"/>
        <w:rPr>
          <w:rFonts w:eastAsia="Times New Roman" w:cs="Arial"/>
          <w:color w:val="000000" w:themeColor="text1"/>
          <w:lang w:eastAsia="es-ES_tradnl"/>
        </w:rPr>
      </w:pPr>
      <w:r w:rsidRPr="008913E4">
        <w:rPr>
          <w:rFonts w:eastAsia="Arial" w:cs="Arial"/>
          <w:sz w:val="18"/>
          <w:szCs w:val="18"/>
          <w:lang w:eastAsia="es-ES_tradnl"/>
        </w:rPr>
        <w:t>Fuente: Elaborado por la Dirección de Egresos y Control Presupuestal de la Tesorería Municipal de Hermosillo</w:t>
      </w:r>
      <w:r>
        <w:rPr>
          <w:rFonts w:eastAsia="Arial" w:cs="Arial"/>
          <w:sz w:val="18"/>
          <w:szCs w:val="18"/>
          <w:lang w:eastAsia="es-ES_tradnl"/>
        </w:rPr>
        <w:t>.</w:t>
      </w:r>
    </w:p>
    <w:p w14:paraId="001DEF83" w14:textId="77777777" w:rsidR="002951A3" w:rsidRPr="002951A3" w:rsidRDefault="002951A3" w:rsidP="002951A3">
      <w:pPr>
        <w:spacing w:after="120" w:line="240" w:lineRule="auto"/>
        <w:rPr>
          <w:rFonts w:cs="Arial"/>
          <w:color w:val="000000"/>
          <w:shd w:val="clear" w:color="auto" w:fill="FFFFFF"/>
          <w:lang w:eastAsia="es-MX"/>
        </w:rPr>
      </w:pPr>
      <w:r w:rsidRPr="002951A3">
        <w:rPr>
          <w:rFonts w:cs="Arial"/>
          <w:color w:val="000000"/>
          <w:shd w:val="clear" w:color="auto" w:fill="FFFFFF"/>
          <w:lang w:eastAsia="es-MX"/>
        </w:rPr>
        <w:lastRenderedPageBreak/>
        <w:t xml:space="preserve">De forma paralela al crecimiento del gasto municipal entre 2022 y 2024 se reconfiguró la estructura del presupuesto municipal respecto al periodo de 2019 a 2021, a través de la reasignación de mayores proporciones del gasto programable hacia la inversión en infraestructura y equipamiento. </w:t>
      </w:r>
    </w:p>
    <w:p w14:paraId="45235D0E" w14:textId="77777777" w:rsidR="002951A3" w:rsidRPr="002951A3" w:rsidRDefault="002951A3" w:rsidP="002951A3">
      <w:pPr>
        <w:spacing w:after="120" w:line="240" w:lineRule="auto"/>
        <w:rPr>
          <w:rFonts w:cs="Arial"/>
          <w:color w:val="000000"/>
          <w:shd w:val="clear" w:color="auto" w:fill="FFFFFF"/>
          <w:lang w:eastAsia="es-MX"/>
        </w:rPr>
      </w:pPr>
      <w:r w:rsidRPr="002951A3">
        <w:rPr>
          <w:rFonts w:cs="Arial"/>
          <w:color w:val="000000"/>
          <w:shd w:val="clear" w:color="auto" w:fill="FFFFFF"/>
          <w:lang w:eastAsia="es-MX"/>
        </w:rPr>
        <w:t>Esto ha sido factible a través de la instrumentación sostenida de medidas de racionalidad y control sobre el gasto de operación, tanto en dependencias como en organismos paramunicipales, acotando el presupuesto de la nomina municipal y reduciendo el costo de los servicios a la deuda pública, entre otras acciones previstas en el Plan de Fortalecimiento Financiero 2022-2024.</w:t>
      </w:r>
    </w:p>
    <w:p w14:paraId="6F4CC8F0" w14:textId="77777777" w:rsidR="002951A3" w:rsidRPr="002951A3" w:rsidRDefault="002951A3" w:rsidP="002951A3">
      <w:pPr>
        <w:spacing w:after="120" w:line="240" w:lineRule="auto"/>
        <w:rPr>
          <w:rFonts w:cs="Arial"/>
          <w:color w:val="000000"/>
          <w:shd w:val="clear" w:color="auto" w:fill="FFFFFF"/>
          <w:lang w:eastAsia="es-MX"/>
        </w:rPr>
      </w:pPr>
      <w:r w:rsidRPr="002951A3">
        <w:rPr>
          <w:rFonts w:cs="Arial"/>
          <w:color w:val="000000"/>
          <w:shd w:val="clear" w:color="auto" w:fill="FFFFFF"/>
          <w:lang w:eastAsia="es-MX"/>
        </w:rPr>
        <w:t xml:space="preserve">Dichas acciones, aunadas al mayor espacio presupuestal que han obtenido en base al crecimiento sostenible de la recaudación de ingresos municipales, hicieron posible que el gasto corriente del municipio disminuyera de un 83.3 % del gasto programable en el periodo 2019-2021 a un 77.2 % en el trienio de 2022 a 2024. </w:t>
      </w:r>
    </w:p>
    <w:p w14:paraId="32776B66" w14:textId="0A94DBAF" w:rsidR="002951A3" w:rsidRDefault="002951A3" w:rsidP="002951A3">
      <w:pPr>
        <w:spacing w:after="120" w:line="240" w:lineRule="auto"/>
        <w:rPr>
          <w:rFonts w:cs="Arial"/>
          <w:color w:val="000000"/>
          <w:shd w:val="clear" w:color="auto" w:fill="FFFFFF"/>
          <w:lang w:eastAsia="es-MX"/>
        </w:rPr>
      </w:pPr>
      <w:r w:rsidRPr="002951A3">
        <w:rPr>
          <w:rFonts w:cs="Arial"/>
          <w:color w:val="000000"/>
          <w:shd w:val="clear" w:color="auto" w:fill="FFFFFF"/>
          <w:lang w:eastAsia="es-MX"/>
        </w:rPr>
        <w:t>En contraposición, la inversión de nueva infraestructura y su mantenimiento, así como mayor equipamiento para la prestación de servicios públicos y el cumplimiento de las responsabilidades del Gobierno Municipal, creció en un 16.7 % del gasto programable ejercido entre 2019 a 2021, a un 22.8 % en el lapso de 2022 a 2024.</w:t>
      </w:r>
    </w:p>
    <w:p w14:paraId="58D311B0" w14:textId="220F8CEF" w:rsidR="002951A3" w:rsidRPr="002951A3" w:rsidRDefault="002951A3" w:rsidP="002951A3">
      <w:pPr>
        <w:spacing w:after="120" w:line="240" w:lineRule="auto"/>
        <w:rPr>
          <w:rFonts w:cs="Arial"/>
          <w:b/>
          <w:bCs/>
          <w:color w:val="000000"/>
          <w:shd w:val="clear" w:color="auto" w:fill="FFFFFF"/>
          <w:lang w:eastAsia="es-MX"/>
        </w:rPr>
      </w:pPr>
      <w:r w:rsidRPr="002951A3">
        <w:rPr>
          <w:rFonts w:cs="Arial"/>
          <w:b/>
          <w:bCs/>
          <w:color w:val="000000"/>
          <w:shd w:val="clear" w:color="auto" w:fill="FFFFFF"/>
          <w:lang w:eastAsia="es-MX"/>
        </w:rPr>
        <w:t>GRÁFICA 7. EVOLUCIÓN DEL GASTO PROGRAMABLE MUNICIPAL EN HERMOSILLO (MILLONES DE PESOS)</w:t>
      </w:r>
      <w:r w:rsidR="007F3B9E">
        <w:rPr>
          <w:rFonts w:cs="Arial"/>
          <w:b/>
          <w:bCs/>
          <w:color w:val="000000"/>
          <w:shd w:val="clear" w:color="auto" w:fill="FFFFFF"/>
          <w:lang w:eastAsia="es-MX"/>
        </w:rPr>
        <w:t>.</w:t>
      </w:r>
    </w:p>
    <w:p w14:paraId="0B81ADD4" w14:textId="39616B84" w:rsidR="002951A3" w:rsidRDefault="002951A3" w:rsidP="002951A3">
      <w:pPr>
        <w:spacing w:after="120" w:line="240" w:lineRule="auto"/>
        <w:rPr>
          <w:rFonts w:cs="Arial"/>
          <w:color w:val="000000"/>
          <w:shd w:val="clear" w:color="auto" w:fill="FFFFFF"/>
          <w:lang w:eastAsia="es-MX"/>
        </w:rPr>
      </w:pPr>
      <w:r w:rsidRPr="001827DF">
        <w:rPr>
          <w:noProof/>
          <w:shd w:val="clear" w:color="auto" w:fill="222A35" w:themeFill="text2" w:themeFillShade="80"/>
        </w:rPr>
        <w:drawing>
          <wp:inline distT="0" distB="0" distL="0" distR="0" wp14:anchorId="601E26E0" wp14:editId="7FC656BB">
            <wp:extent cx="2662732" cy="2743200"/>
            <wp:effectExtent l="0" t="0" r="4445" b="0"/>
            <wp:docPr id="1262848760" name="Gráfico 1262848760">
              <a:extLst xmlns:a="http://schemas.openxmlformats.org/drawingml/2006/main">
                <a:ext uri="{FF2B5EF4-FFF2-40B4-BE49-F238E27FC236}">
                  <a16:creationId xmlns:a16="http://schemas.microsoft.com/office/drawing/2014/main" id="{9EB1B546-3937-4366-89D6-0E659A95F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14:anchorId="696673C1" wp14:editId="1A7393EC">
            <wp:extent cx="2596515" cy="2734869"/>
            <wp:effectExtent l="0" t="0" r="0" b="8890"/>
            <wp:docPr id="1346607163" name="Gráfico 1346607163">
              <a:extLst xmlns:a="http://schemas.openxmlformats.org/drawingml/2006/main">
                <a:ext uri="{FF2B5EF4-FFF2-40B4-BE49-F238E27FC236}">
                  <a16:creationId xmlns:a16="http://schemas.microsoft.com/office/drawing/2014/main" id="{7E7523F1-A8F6-4FF4-B4F5-BEE5E8FB2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930439F" w14:textId="77777777" w:rsidR="002951A3" w:rsidRDefault="002951A3" w:rsidP="002951A3">
      <w:pPr>
        <w:spacing w:after="0" w:line="240" w:lineRule="auto"/>
        <w:rPr>
          <w:rFonts w:cs="Arial"/>
          <w:sz w:val="20"/>
          <w:szCs w:val="20"/>
        </w:rPr>
      </w:pPr>
      <w:r w:rsidRPr="00141AD3">
        <w:rPr>
          <w:rFonts w:cs="Arial"/>
          <w:sz w:val="20"/>
          <w:szCs w:val="20"/>
        </w:rPr>
        <w:t>*2024 Estimado</w:t>
      </w:r>
    </w:p>
    <w:p w14:paraId="6962F68F" w14:textId="3F9A9AC5" w:rsidR="002951A3" w:rsidRPr="002951A3" w:rsidRDefault="002951A3" w:rsidP="002951A3">
      <w:pPr>
        <w:spacing w:after="0" w:line="240" w:lineRule="auto"/>
        <w:rPr>
          <w:rFonts w:cs="Arial"/>
          <w:sz w:val="20"/>
          <w:szCs w:val="20"/>
        </w:rPr>
      </w:pPr>
      <w:r w:rsidRPr="00215B3C">
        <w:rPr>
          <w:rFonts w:cs="Arial"/>
          <w:sz w:val="18"/>
          <w:szCs w:val="18"/>
        </w:rPr>
        <w:t>Fuente: Elaborado por la Dirección de Egresos y Control Presupuestal de la Tesorería Municipal de Hermosillo.</w:t>
      </w:r>
    </w:p>
    <w:p w14:paraId="6FCBBBF9" w14:textId="77777777" w:rsidR="002951A3" w:rsidRPr="002951A3" w:rsidRDefault="002951A3" w:rsidP="002951A3">
      <w:pPr>
        <w:spacing w:after="120" w:line="240" w:lineRule="auto"/>
        <w:rPr>
          <w:rFonts w:cs="Arial"/>
          <w:color w:val="000000"/>
          <w:shd w:val="clear" w:color="auto" w:fill="FFFFFF"/>
          <w:lang w:eastAsia="es-MX"/>
        </w:rPr>
      </w:pPr>
    </w:p>
    <w:p w14:paraId="696FFCC1" w14:textId="288FD6D0" w:rsidR="00261A27" w:rsidRPr="008913E4" w:rsidRDefault="00261A27" w:rsidP="00B205BA">
      <w:pPr>
        <w:spacing w:after="120" w:line="240" w:lineRule="auto"/>
        <w:rPr>
          <w:rFonts w:cs="Arial"/>
          <w:b/>
          <w:bCs/>
          <w:color w:val="000000"/>
          <w:shd w:val="clear" w:color="auto" w:fill="FFFFFF"/>
          <w:lang w:eastAsia="es-MX"/>
        </w:rPr>
      </w:pPr>
      <w:r w:rsidRPr="008913E4">
        <w:rPr>
          <w:rFonts w:cs="Arial"/>
          <w:b/>
          <w:bCs/>
          <w:color w:val="000000"/>
          <w:shd w:val="clear" w:color="auto" w:fill="FFFFFF"/>
          <w:lang w:eastAsia="es-MX"/>
        </w:rPr>
        <w:t>Presupuesto con participación ciudadana</w:t>
      </w:r>
      <w:r w:rsidR="002951A3">
        <w:rPr>
          <w:rFonts w:cs="Arial"/>
          <w:b/>
          <w:bCs/>
          <w:color w:val="000000"/>
          <w:shd w:val="clear" w:color="auto" w:fill="FFFFFF"/>
          <w:lang w:eastAsia="es-MX"/>
        </w:rPr>
        <w:t>.</w:t>
      </w:r>
    </w:p>
    <w:p w14:paraId="0840630A" w14:textId="77777777" w:rsidR="00261A27" w:rsidRPr="008913E4" w:rsidRDefault="00261A27" w:rsidP="00B205BA">
      <w:pPr>
        <w:spacing w:after="120" w:line="240" w:lineRule="auto"/>
        <w:rPr>
          <w:rFonts w:cs="Arial"/>
          <w:color w:val="000000"/>
          <w:shd w:val="clear" w:color="auto" w:fill="FFFFFF"/>
          <w:lang w:eastAsia="es-MX"/>
        </w:rPr>
      </w:pPr>
      <w:r w:rsidRPr="008913E4">
        <w:rPr>
          <w:rFonts w:cs="Arial"/>
          <w:color w:val="000000"/>
          <w:shd w:val="clear" w:color="auto" w:fill="FFFFFF"/>
          <w:lang w:eastAsia="es-MX"/>
        </w:rPr>
        <w:t xml:space="preserve">El </w:t>
      </w:r>
      <w:r>
        <w:rPr>
          <w:rFonts w:cs="Arial"/>
          <w:color w:val="000000"/>
          <w:shd w:val="clear" w:color="auto" w:fill="FFFFFF"/>
          <w:lang w:eastAsia="es-MX"/>
        </w:rPr>
        <w:t>p</w:t>
      </w:r>
      <w:r w:rsidRPr="008913E4">
        <w:rPr>
          <w:rFonts w:cs="Arial"/>
          <w:color w:val="000000"/>
          <w:shd w:val="clear" w:color="auto" w:fill="FFFFFF"/>
          <w:lang w:eastAsia="es-MX"/>
        </w:rPr>
        <w:t>rograma Corresponsabilidad Ciudadana para la Equidad Social (CRECES) tiene por objeto mejorar la infraestructura en Hermosillo, realizando proyectos de obra pública con presupuesto participativo</w:t>
      </w:r>
      <w:r>
        <w:rPr>
          <w:rFonts w:cs="Arial"/>
          <w:color w:val="000000"/>
          <w:shd w:val="clear" w:color="auto" w:fill="FFFFFF"/>
          <w:lang w:eastAsia="es-MX"/>
        </w:rPr>
        <w:t>. En esta modalidad,</w:t>
      </w:r>
      <w:r w:rsidRPr="008913E4">
        <w:rPr>
          <w:rFonts w:cs="Arial"/>
          <w:color w:val="000000"/>
          <w:shd w:val="clear" w:color="auto" w:fill="FFFFFF"/>
          <w:lang w:eastAsia="es-MX"/>
        </w:rPr>
        <w:t xml:space="preserve"> los comités ciudadanos del municipio deciden las prioridades de su entorno a las cuales se </w:t>
      </w:r>
      <w:r>
        <w:rPr>
          <w:rFonts w:cs="Arial"/>
          <w:color w:val="000000"/>
          <w:shd w:val="clear" w:color="auto" w:fill="FFFFFF"/>
          <w:lang w:eastAsia="es-MX"/>
        </w:rPr>
        <w:t>destinarán</w:t>
      </w:r>
      <w:r w:rsidRPr="008913E4">
        <w:rPr>
          <w:rFonts w:cs="Arial"/>
          <w:color w:val="000000"/>
          <w:shd w:val="clear" w:color="auto" w:fill="FFFFFF"/>
          <w:lang w:eastAsia="es-MX"/>
        </w:rPr>
        <w:t xml:space="preserve"> los recursos en beneficio de su comunidad</w:t>
      </w:r>
      <w:r>
        <w:rPr>
          <w:rFonts w:cs="Arial"/>
          <w:color w:val="000000"/>
          <w:shd w:val="clear" w:color="auto" w:fill="FFFFFF"/>
          <w:lang w:eastAsia="es-MX"/>
        </w:rPr>
        <w:t>. Un beneficio adicional es la</w:t>
      </w:r>
      <w:r w:rsidRPr="008913E4">
        <w:rPr>
          <w:rFonts w:cs="Arial"/>
          <w:color w:val="000000"/>
          <w:shd w:val="clear" w:color="auto" w:fill="FFFFFF"/>
          <w:lang w:eastAsia="es-MX"/>
        </w:rPr>
        <w:t xml:space="preserve"> </w:t>
      </w:r>
      <w:r>
        <w:rPr>
          <w:rFonts w:cs="Arial"/>
          <w:color w:val="000000"/>
          <w:shd w:val="clear" w:color="auto" w:fill="FFFFFF"/>
          <w:lang w:eastAsia="es-MX"/>
        </w:rPr>
        <w:t>formación de</w:t>
      </w:r>
      <w:r w:rsidRPr="008913E4">
        <w:rPr>
          <w:rFonts w:cs="Arial"/>
          <w:color w:val="000000"/>
          <w:shd w:val="clear" w:color="auto" w:fill="FFFFFF"/>
          <w:lang w:eastAsia="es-MX"/>
        </w:rPr>
        <w:t xml:space="preserve"> agentes de cambio con ciudadanos preocupados y ocupados en hacer de Hermosillo una mejor ciudad para las generaciones futuras.</w:t>
      </w:r>
    </w:p>
    <w:p w14:paraId="292431D4" w14:textId="77777777" w:rsidR="00261A27" w:rsidRPr="008913E4" w:rsidRDefault="00261A27" w:rsidP="00B205BA">
      <w:pPr>
        <w:spacing w:after="120" w:line="240" w:lineRule="auto"/>
        <w:rPr>
          <w:rFonts w:cs="Arial"/>
          <w:color w:val="000000"/>
          <w:shd w:val="clear" w:color="auto" w:fill="FFFFFF"/>
          <w:lang w:eastAsia="es-MX"/>
        </w:rPr>
      </w:pPr>
      <w:r w:rsidRPr="008913E4">
        <w:rPr>
          <w:rFonts w:cs="Arial"/>
          <w:color w:val="000000"/>
          <w:shd w:val="clear" w:color="auto" w:fill="FFFFFF"/>
          <w:lang w:eastAsia="es-MX"/>
        </w:rPr>
        <w:lastRenderedPageBreak/>
        <w:t>Durante el per</w:t>
      </w:r>
      <w:r>
        <w:rPr>
          <w:rFonts w:cs="Arial"/>
          <w:color w:val="000000"/>
          <w:shd w:val="clear" w:color="auto" w:fill="FFFFFF"/>
          <w:lang w:eastAsia="es-MX"/>
        </w:rPr>
        <w:t>í</w:t>
      </w:r>
      <w:r w:rsidRPr="008913E4">
        <w:rPr>
          <w:rFonts w:cs="Arial"/>
          <w:color w:val="000000"/>
          <w:shd w:val="clear" w:color="auto" w:fill="FFFFFF"/>
          <w:lang w:eastAsia="es-MX"/>
        </w:rPr>
        <w:t>odo 2022-2024</w:t>
      </w:r>
      <w:r>
        <w:rPr>
          <w:rFonts w:cs="Arial"/>
          <w:color w:val="000000"/>
          <w:shd w:val="clear" w:color="auto" w:fill="FFFFFF"/>
          <w:lang w:eastAsia="es-MX"/>
        </w:rPr>
        <w:t>,</w:t>
      </w:r>
      <w:r w:rsidRPr="008913E4">
        <w:rPr>
          <w:rFonts w:cs="Arial"/>
          <w:color w:val="000000"/>
          <w:shd w:val="clear" w:color="auto" w:fill="FFFFFF"/>
          <w:lang w:eastAsia="es-MX"/>
        </w:rPr>
        <w:t xml:space="preserve"> se invirtieron 100 millones de pesos en 138 proyectos para resolver problemas públicos elegidos por los ciudadanos mediante votación</w:t>
      </w:r>
      <w:r>
        <w:rPr>
          <w:rFonts w:cs="Arial"/>
          <w:color w:val="000000"/>
          <w:shd w:val="clear" w:color="auto" w:fill="FFFFFF"/>
          <w:lang w:eastAsia="es-MX"/>
        </w:rPr>
        <w:t>.</w:t>
      </w:r>
      <w:r w:rsidRPr="008913E4">
        <w:rPr>
          <w:rFonts w:cs="Arial"/>
          <w:color w:val="000000"/>
          <w:shd w:val="clear" w:color="auto" w:fill="FFFFFF"/>
          <w:lang w:eastAsia="es-MX"/>
        </w:rPr>
        <w:t xml:space="preserve"> </w:t>
      </w:r>
      <w:r>
        <w:rPr>
          <w:rFonts w:cs="Arial"/>
          <w:color w:val="000000"/>
          <w:shd w:val="clear" w:color="auto" w:fill="FFFFFF"/>
          <w:lang w:eastAsia="es-MX"/>
        </w:rPr>
        <w:t>Durante su realización, l</w:t>
      </w:r>
      <w:r w:rsidRPr="008913E4">
        <w:rPr>
          <w:rFonts w:cs="Arial"/>
          <w:color w:val="000000"/>
          <w:shd w:val="clear" w:color="auto" w:fill="FFFFFF"/>
          <w:lang w:eastAsia="es-MX"/>
        </w:rPr>
        <w:t xml:space="preserve">os </w:t>
      </w:r>
      <w:r>
        <w:rPr>
          <w:rFonts w:cs="Arial"/>
          <w:color w:val="000000"/>
          <w:shd w:val="clear" w:color="auto" w:fill="FFFFFF"/>
          <w:lang w:eastAsia="es-MX"/>
        </w:rPr>
        <w:t>proyectos de infraestructura recibieron</w:t>
      </w:r>
      <w:r w:rsidRPr="008913E4">
        <w:rPr>
          <w:rFonts w:cs="Arial"/>
          <w:color w:val="000000"/>
          <w:shd w:val="clear" w:color="auto" w:fill="FFFFFF"/>
          <w:lang w:eastAsia="es-MX"/>
        </w:rPr>
        <w:t xml:space="preserve"> auditorías en tiempo real, con el fin de asegurar </w:t>
      </w:r>
      <w:r>
        <w:rPr>
          <w:rFonts w:cs="Arial"/>
          <w:color w:val="000000"/>
          <w:shd w:val="clear" w:color="auto" w:fill="FFFFFF"/>
          <w:lang w:eastAsia="es-MX"/>
        </w:rPr>
        <w:t>su</w:t>
      </w:r>
      <w:r w:rsidRPr="008913E4">
        <w:rPr>
          <w:rFonts w:cs="Arial"/>
          <w:color w:val="000000"/>
          <w:shd w:val="clear" w:color="auto" w:fill="FFFFFF"/>
          <w:lang w:eastAsia="es-MX"/>
        </w:rPr>
        <w:t xml:space="preserve"> cumplimiento normativo, transparencia, eficiencia y correcta ejecución.</w:t>
      </w:r>
    </w:p>
    <w:p w14:paraId="1251CF30" w14:textId="67863236" w:rsidR="001633B5" w:rsidRDefault="00261A27" w:rsidP="001633B5">
      <w:pPr>
        <w:spacing w:after="120" w:line="240" w:lineRule="auto"/>
        <w:rPr>
          <w:rFonts w:cs="Arial"/>
          <w:color w:val="000000"/>
          <w:shd w:val="clear" w:color="auto" w:fill="FFFFFF"/>
          <w:lang w:eastAsia="es-MX"/>
        </w:rPr>
      </w:pPr>
      <w:r w:rsidRPr="008913E4">
        <w:rPr>
          <w:rFonts w:cs="Arial"/>
          <w:color w:val="000000"/>
          <w:shd w:val="clear" w:color="auto" w:fill="FFFFFF"/>
          <w:lang w:eastAsia="es-MX"/>
        </w:rPr>
        <w:t>El gran reto para este per</w:t>
      </w:r>
      <w:r>
        <w:rPr>
          <w:rFonts w:cs="Arial"/>
          <w:color w:val="000000"/>
          <w:shd w:val="clear" w:color="auto" w:fill="FFFFFF"/>
          <w:lang w:eastAsia="es-MX"/>
        </w:rPr>
        <w:t>í</w:t>
      </w:r>
      <w:r w:rsidRPr="008913E4">
        <w:rPr>
          <w:rFonts w:cs="Arial"/>
          <w:color w:val="000000"/>
          <w:shd w:val="clear" w:color="auto" w:fill="FFFFFF"/>
          <w:lang w:eastAsia="es-MX"/>
        </w:rPr>
        <w:t xml:space="preserve">odo gubernamental es consolidar los cimientos y avances logrados </w:t>
      </w:r>
      <w:r>
        <w:rPr>
          <w:rFonts w:cs="Arial"/>
          <w:color w:val="000000"/>
          <w:shd w:val="clear" w:color="auto" w:fill="FFFFFF"/>
          <w:lang w:eastAsia="es-MX"/>
        </w:rPr>
        <w:t>para fortalecer la</w:t>
      </w:r>
      <w:r w:rsidRPr="008913E4">
        <w:rPr>
          <w:rFonts w:cs="Arial"/>
          <w:color w:val="000000"/>
          <w:shd w:val="clear" w:color="auto" w:fill="FFFFFF"/>
          <w:lang w:eastAsia="es-MX"/>
        </w:rPr>
        <w:t xml:space="preserve"> participación de la ciudadanía en las gestiones gubernamentales.</w:t>
      </w:r>
    </w:p>
    <w:p w14:paraId="075A5AEA" w14:textId="04DBD8D4" w:rsidR="001633B5" w:rsidRPr="001633B5" w:rsidRDefault="001633B5" w:rsidP="001633B5">
      <w:pPr>
        <w:spacing w:after="120" w:line="240" w:lineRule="auto"/>
        <w:rPr>
          <w:rFonts w:cs="Arial"/>
          <w:b/>
          <w:bCs/>
          <w:color w:val="000000"/>
          <w:shd w:val="clear" w:color="auto" w:fill="FFFFFF"/>
          <w:lang w:eastAsia="es-MX"/>
        </w:rPr>
      </w:pPr>
      <w:r w:rsidRPr="001633B5">
        <w:rPr>
          <w:rFonts w:cs="Arial"/>
          <w:b/>
          <w:bCs/>
          <w:color w:val="000000"/>
          <w:shd w:val="clear" w:color="auto" w:fill="FFFFFF"/>
          <w:lang w:eastAsia="es-MX"/>
        </w:rPr>
        <w:t>I</w:t>
      </w:r>
      <w:r w:rsidRPr="001633B5">
        <w:rPr>
          <w:rFonts w:eastAsia="Times New Roman" w:cs="Arial"/>
          <w:b/>
          <w:bCs/>
          <w:lang w:val="es-MX" w:eastAsia="es-ES_tradnl" w:bidi="ar-SA"/>
        </w:rPr>
        <w:t>nversión Municipal</w:t>
      </w:r>
      <w:r>
        <w:rPr>
          <w:rFonts w:eastAsia="Times New Roman" w:cs="Arial"/>
          <w:b/>
          <w:bCs/>
          <w:lang w:val="es-MX" w:eastAsia="es-ES_tradnl" w:bidi="ar-SA"/>
        </w:rPr>
        <w:t>.</w:t>
      </w:r>
    </w:p>
    <w:p w14:paraId="3C89F404" w14:textId="77777777" w:rsidR="001633B5" w:rsidRPr="001633B5" w:rsidRDefault="001633B5" w:rsidP="001633B5">
      <w:pPr>
        <w:spacing w:after="120" w:line="240" w:lineRule="auto"/>
        <w:ind w:right="51"/>
        <w:rPr>
          <w:rFonts w:eastAsia="Times New Roman" w:cs="Arial"/>
          <w:b/>
          <w:bCs/>
          <w:lang w:val="es-MX" w:eastAsia="es-ES_tradnl" w:bidi="ar-SA"/>
        </w:rPr>
      </w:pPr>
      <w:r w:rsidRPr="001633B5">
        <w:rPr>
          <w:rFonts w:eastAsia="Times New Roman" w:cs="Arial"/>
          <w:lang w:val="es-MX" w:eastAsia="es-ES_tradnl" w:bidi="ar-SA"/>
        </w:rPr>
        <w:t>Durante el periodo de 2019-2024 se observa un notable crecimiento del gasto de inversión en infraestructura a través de la ejecución de obras realizadas por la administración municipal centralizada y de la transferencia de recursos a organismos paramunicipales, para que estos ejerzan los gastos de inversión correspondiente.</w:t>
      </w:r>
    </w:p>
    <w:p w14:paraId="18E73B9E" w14:textId="0BE6D61A" w:rsidR="001633B5" w:rsidRPr="001633B5" w:rsidRDefault="001633B5" w:rsidP="001633B5">
      <w:pPr>
        <w:spacing w:after="120" w:line="240" w:lineRule="auto"/>
        <w:ind w:right="51"/>
        <w:rPr>
          <w:rFonts w:eastAsia="Times New Roman" w:cs="Arial"/>
          <w:b/>
          <w:bCs/>
          <w:lang w:val="es-MX" w:eastAsia="es-ES_tradnl" w:bidi="ar-SA"/>
        </w:rPr>
      </w:pPr>
      <w:r w:rsidRPr="001633B5">
        <w:rPr>
          <w:rFonts w:eastAsia="Times New Roman" w:cs="Arial"/>
          <w:lang w:val="es-MX" w:eastAsia="es-ES_tradnl" w:bidi="ar-SA"/>
        </w:rPr>
        <w:t>La reconfiguración del gasto municipal, los mayores recursos aportados por una mayor eficacia en la recaudación de contribuciones municipales, pero especialmente la instrumentación de un esquema de obra pública multianual entre 2022 y 2024, constituyeron los factores que han impulsado la inversión en obra pública en Hermosillo.</w:t>
      </w:r>
    </w:p>
    <w:p w14:paraId="066D1DA5" w14:textId="77777777" w:rsidR="001633B5" w:rsidRPr="001633B5" w:rsidRDefault="001633B5" w:rsidP="001633B5">
      <w:pPr>
        <w:spacing w:after="120" w:line="240" w:lineRule="auto"/>
        <w:ind w:right="51"/>
        <w:rPr>
          <w:rFonts w:eastAsia="Times New Roman" w:cs="Arial"/>
          <w:b/>
          <w:bCs/>
          <w:lang w:val="es-MX" w:eastAsia="es-ES_tradnl" w:bidi="ar-SA"/>
        </w:rPr>
      </w:pPr>
      <w:r w:rsidRPr="001633B5">
        <w:rPr>
          <w:rFonts w:eastAsia="Times New Roman" w:cs="Arial"/>
          <w:lang w:val="es-MX" w:eastAsia="es-ES_tradnl" w:bidi="ar-SA"/>
        </w:rPr>
        <w:t>Lo anterior adquiere particular relevancia dentro de un contexto de ausencia de transferencias federales y estatales para gasto de inversión, salvo las previstas en la Ley de Coordinación Fiscal, obliga a realizar mayores esfuerzos para continuar generando la infraestructura y adquiriendo el equipamiento que exige el Municipio.</w:t>
      </w:r>
    </w:p>
    <w:p w14:paraId="343BC5ED" w14:textId="77777777" w:rsidR="001633B5" w:rsidRPr="001633B5" w:rsidRDefault="001633B5" w:rsidP="001633B5">
      <w:pPr>
        <w:spacing w:after="120" w:line="240" w:lineRule="auto"/>
        <w:ind w:right="51"/>
        <w:rPr>
          <w:rFonts w:eastAsia="Times New Roman" w:cs="Arial"/>
          <w:b/>
          <w:bCs/>
          <w:lang w:val="es-MX" w:eastAsia="es-ES_tradnl" w:bidi="ar-SA"/>
        </w:rPr>
      </w:pPr>
      <w:r w:rsidRPr="001633B5">
        <w:rPr>
          <w:rFonts w:eastAsia="Times New Roman" w:cs="Arial"/>
          <w:lang w:val="es-MX" w:eastAsia="es-ES_tradnl" w:bidi="ar-SA"/>
        </w:rPr>
        <w:t>Ante ello, la inversión en obra pública y equipamiento (Gasto de Capital) ejecutada entre 2022 y 2024, que alcanzó 3,344.5 mdp se financió en un 76.1 % con recursos municipales, en tanto que un 19.2 % provino de los fondos de aportaciones previstos en la Ley de Coordinación Fiscal y el restante 4.6 % con recursos provenientes de subsidios federales.</w:t>
      </w:r>
    </w:p>
    <w:p w14:paraId="64630F5F" w14:textId="537C7EFE" w:rsidR="001633B5" w:rsidRPr="001633B5" w:rsidRDefault="001633B5" w:rsidP="001633B5">
      <w:pPr>
        <w:spacing w:after="120" w:line="240" w:lineRule="auto"/>
        <w:ind w:right="51"/>
        <w:rPr>
          <w:rFonts w:eastAsia="Times New Roman" w:cs="Arial"/>
          <w:b/>
          <w:bCs/>
          <w:lang w:val="es-MX" w:eastAsia="es-ES_tradnl" w:bidi="ar-SA"/>
        </w:rPr>
      </w:pPr>
      <w:r w:rsidRPr="001633B5">
        <w:rPr>
          <w:rFonts w:eastAsia="Times New Roman" w:cs="Arial"/>
          <w:lang w:val="es-MX" w:eastAsia="es-ES_tradnl" w:bidi="ar-SA"/>
        </w:rPr>
        <w:t xml:space="preserve">En contraposición, en el periodo de 2019 a 2021 el gasto de capital se ubicó en 1,464.4 mdp, siendo financiado en un 58.0 % por recursos municipales, 25.8 % por aportaciones previstas en la Ley de </w:t>
      </w:r>
      <w:r w:rsidRPr="00384441">
        <w:rPr>
          <w:rFonts w:eastAsia="Times New Roman" w:cs="Arial"/>
          <w:lang w:val="es-MX" w:eastAsia="es-ES_tradnl" w:bidi="ar-SA"/>
        </w:rPr>
        <w:t>Coordinación</w:t>
      </w:r>
      <w:r w:rsidRPr="001633B5">
        <w:rPr>
          <w:rFonts w:eastAsia="Times New Roman" w:cs="Arial"/>
          <w:lang w:val="es-MX" w:eastAsia="es-ES_tradnl" w:bidi="ar-SA"/>
        </w:rPr>
        <w:t xml:space="preserve"> Fiscal y en un 15.6 % con recursos federales, en tanto que el restante 0.6 % con financiamiento:</w:t>
      </w:r>
    </w:p>
    <w:p w14:paraId="2C342684" w14:textId="499E81F1" w:rsidR="001633B5" w:rsidRPr="00384441" w:rsidRDefault="001633B5" w:rsidP="001633B5">
      <w:pPr>
        <w:ind w:right="49"/>
        <w:rPr>
          <w:rFonts w:cs="Arial"/>
          <w:b/>
          <w:bCs/>
        </w:rPr>
      </w:pPr>
      <w:r w:rsidRPr="00384441">
        <w:rPr>
          <w:rFonts w:cs="Arial"/>
          <w:b/>
          <w:bCs/>
        </w:rPr>
        <w:t>GRÁFICA 8. FINANCIAMIENTO DEL GASTO MUNICIPAL DE CAPITAL EN HERMOSILLO</w:t>
      </w:r>
      <w:r w:rsidR="007F3B9E">
        <w:rPr>
          <w:rFonts w:cs="Arial"/>
          <w:b/>
          <w:bCs/>
        </w:rPr>
        <w:t>.</w:t>
      </w:r>
    </w:p>
    <w:p w14:paraId="67B65737" w14:textId="77777777" w:rsidR="001633B5" w:rsidRDefault="001633B5" w:rsidP="001633B5">
      <w:pPr>
        <w:ind w:left="-284" w:right="-143"/>
        <w:jc w:val="center"/>
        <w:rPr>
          <w:rFonts w:cs="Arial"/>
        </w:rPr>
      </w:pPr>
      <w:r>
        <w:rPr>
          <w:noProof/>
        </w:rPr>
        <w:lastRenderedPageBreak/>
        <w:drawing>
          <wp:inline distT="0" distB="0" distL="0" distR="0" wp14:anchorId="09D88620" wp14:editId="2F83F061">
            <wp:extent cx="2725947" cy="3251200"/>
            <wp:effectExtent l="0" t="0" r="0" b="6350"/>
            <wp:docPr id="511417830" name="Gráfico 511417830">
              <a:extLst xmlns:a="http://schemas.openxmlformats.org/drawingml/2006/main">
                <a:ext uri="{FF2B5EF4-FFF2-40B4-BE49-F238E27FC236}">
                  <a16:creationId xmlns:a16="http://schemas.microsoft.com/office/drawing/2014/main" id="{F0731C58-35FC-4753-91A7-56A6B9655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cs="Arial"/>
        </w:rPr>
        <w:t xml:space="preserve">  </w:t>
      </w:r>
      <w:r>
        <w:rPr>
          <w:noProof/>
        </w:rPr>
        <w:drawing>
          <wp:inline distT="0" distB="0" distL="0" distR="0" wp14:anchorId="1C0C4F66" wp14:editId="1F4ECEA1">
            <wp:extent cx="2760453" cy="3240405"/>
            <wp:effectExtent l="0" t="0" r="1905" b="0"/>
            <wp:docPr id="1178107982" name="Gráfico 1178107982">
              <a:extLst xmlns:a="http://schemas.openxmlformats.org/drawingml/2006/main">
                <a:ext uri="{FF2B5EF4-FFF2-40B4-BE49-F238E27FC236}">
                  <a16:creationId xmlns:a16="http://schemas.microsoft.com/office/drawing/2014/main" id="{CC224D20-BD4F-4982-B093-2540DF620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9E3448" w14:textId="66507350" w:rsidR="001633B5" w:rsidRPr="001633B5" w:rsidRDefault="001633B5" w:rsidP="001633B5">
      <w:pPr>
        <w:rPr>
          <w:rFonts w:cs="Arial"/>
          <w:sz w:val="18"/>
          <w:szCs w:val="18"/>
        </w:rPr>
      </w:pPr>
      <w:r w:rsidRPr="00215B3C">
        <w:rPr>
          <w:rFonts w:cs="Arial"/>
          <w:sz w:val="18"/>
          <w:szCs w:val="18"/>
        </w:rPr>
        <w:t>Fuente: Elaborado por la Dirección de Egresos y Control Presupuestal de la Tesorería Municipal de Hermosillo.</w:t>
      </w:r>
    </w:p>
    <w:p w14:paraId="12FE6703" w14:textId="660F8A66" w:rsidR="00384441" w:rsidRPr="00384441" w:rsidRDefault="00384441" w:rsidP="00384441">
      <w:pPr>
        <w:spacing w:after="120" w:line="240" w:lineRule="auto"/>
        <w:ind w:right="51"/>
        <w:rPr>
          <w:rFonts w:cs="Arial"/>
        </w:rPr>
      </w:pPr>
      <w:r w:rsidRPr="00384441">
        <w:rPr>
          <w:rFonts w:cs="Arial"/>
        </w:rPr>
        <w:t xml:space="preserve">Como puede apreciarse, de 2019 a 2021 los recursos municipales aplicados en inversión en obra pública y equipamiento pasaron de 894.4 mdp a 2733.1 mdp entre 2022 y 2024, con un crecimiento de 221.8%. </w:t>
      </w:r>
    </w:p>
    <w:p w14:paraId="44C295B0" w14:textId="77777777" w:rsidR="00384441" w:rsidRPr="00384441" w:rsidRDefault="00384441" w:rsidP="00384441">
      <w:pPr>
        <w:spacing w:after="120" w:line="240" w:lineRule="auto"/>
        <w:ind w:right="51"/>
        <w:rPr>
          <w:rFonts w:cs="Arial"/>
        </w:rPr>
      </w:pPr>
      <w:r w:rsidRPr="00384441">
        <w:rPr>
          <w:rFonts w:cs="Arial"/>
        </w:rPr>
        <w:t xml:space="preserve">En contraste, los recursos federales provenientes de Subsidios para gasto de inversión se redujeron entre ambos periodos en 26.8 %: </w:t>
      </w:r>
    </w:p>
    <w:p w14:paraId="2B9B9696" w14:textId="60EBE193" w:rsidR="00384441" w:rsidRPr="00384441" w:rsidRDefault="00384441" w:rsidP="00384441">
      <w:pPr>
        <w:spacing w:after="120" w:line="240" w:lineRule="auto"/>
        <w:ind w:right="51"/>
        <w:rPr>
          <w:rFonts w:cs="Arial"/>
          <w:b/>
          <w:bCs/>
        </w:rPr>
      </w:pPr>
      <w:r w:rsidRPr="00384441">
        <w:rPr>
          <w:rFonts w:cs="Arial"/>
          <w:b/>
          <w:bCs/>
        </w:rPr>
        <w:t>GRÁFICA 9. GASTO DE INVERSIÓN DEL MUNICIPIO DE HERMOSILLO POR FUENTE DE RECURSOS</w:t>
      </w:r>
      <w:r w:rsidR="007F3B9E">
        <w:rPr>
          <w:rFonts w:cs="Arial"/>
          <w:b/>
          <w:bCs/>
        </w:rPr>
        <w:t>.</w:t>
      </w:r>
    </w:p>
    <w:p w14:paraId="16E357E7" w14:textId="03F2591A" w:rsidR="00384441" w:rsidRPr="00384441" w:rsidRDefault="00384441" w:rsidP="00384441">
      <w:pPr>
        <w:ind w:right="49"/>
        <w:rPr>
          <w:rFonts w:cs="Arial"/>
          <w:highlight w:val="yellow"/>
        </w:rPr>
      </w:pPr>
      <w:r>
        <w:rPr>
          <w:noProof/>
        </w:rPr>
        <w:drawing>
          <wp:inline distT="0" distB="0" distL="0" distR="0" wp14:anchorId="3D99077F" wp14:editId="77F587EB">
            <wp:extent cx="2673985" cy="2686050"/>
            <wp:effectExtent l="0" t="0" r="0" b="0"/>
            <wp:docPr id="547345041" name="Gráfico 547345041">
              <a:extLst xmlns:a="http://schemas.openxmlformats.org/drawingml/2006/main">
                <a:ext uri="{FF2B5EF4-FFF2-40B4-BE49-F238E27FC236}">
                  <a16:creationId xmlns:a16="http://schemas.microsoft.com/office/drawing/2014/main" id="{BEB47E6D-F34C-42B2-AB10-6C77A2865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14:anchorId="41BDC1A6" wp14:editId="25352C54">
            <wp:extent cx="2656840" cy="2647950"/>
            <wp:effectExtent l="0" t="0" r="0" b="0"/>
            <wp:docPr id="10" name="Gráfico 10">
              <a:extLst xmlns:a="http://schemas.openxmlformats.org/drawingml/2006/main">
                <a:ext uri="{FF2B5EF4-FFF2-40B4-BE49-F238E27FC236}">
                  <a16:creationId xmlns:a16="http://schemas.microsoft.com/office/drawing/2014/main" id="{904EB153-6123-46C6-8827-C03954996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215B3C">
        <w:rPr>
          <w:rFonts w:cs="Arial"/>
          <w:sz w:val="18"/>
          <w:szCs w:val="18"/>
        </w:rPr>
        <w:t>Fuente: Elaborado por la Dirección de Egresos y Control Presupuestal de la Tesorería Municipal de Hermosillo.</w:t>
      </w:r>
    </w:p>
    <w:p w14:paraId="53CC9CF8" w14:textId="77777777" w:rsidR="00384441" w:rsidRPr="00384441" w:rsidRDefault="00384441" w:rsidP="00384441">
      <w:pPr>
        <w:spacing w:after="120" w:line="240" w:lineRule="auto"/>
        <w:ind w:right="49"/>
        <w:rPr>
          <w:rFonts w:cs="Arial"/>
        </w:rPr>
      </w:pPr>
      <w:r w:rsidRPr="00384441">
        <w:rPr>
          <w:rFonts w:cs="Arial"/>
        </w:rPr>
        <w:lastRenderedPageBreak/>
        <w:t>En términos más específicos, el crecimiento de la inversión en infraestructura en el periodo de 2022-2024 respecto a los tres años anteriores creció en 134.4 %, alcanzándose un significativo monto de 2,109.2 mdp.</w:t>
      </w:r>
    </w:p>
    <w:p w14:paraId="59D72E22" w14:textId="5439BB3D" w:rsidR="00384441" w:rsidRPr="00384441" w:rsidRDefault="00384441" w:rsidP="00384441">
      <w:pPr>
        <w:pStyle w:val="TableParagraph"/>
        <w:spacing w:line="276" w:lineRule="auto"/>
        <w:ind w:right="96"/>
        <w:jc w:val="both"/>
        <w:rPr>
          <w:b/>
          <w:sz w:val="22"/>
          <w:szCs w:val="22"/>
        </w:rPr>
      </w:pPr>
      <w:r>
        <w:rPr>
          <w:b/>
          <w:sz w:val="22"/>
          <w:szCs w:val="22"/>
        </w:rPr>
        <w:t>GRÁFICA 10. EVOLUCIÓN DEL GASTO DE INVERSIÓN MUNICIPAL EN HERMOSILLO (MILLONES DE PESOS)</w:t>
      </w:r>
      <w:r w:rsidR="007F3B9E">
        <w:rPr>
          <w:b/>
          <w:sz w:val="22"/>
          <w:szCs w:val="22"/>
        </w:rPr>
        <w:t>.</w:t>
      </w:r>
    </w:p>
    <w:p w14:paraId="6BAEB686" w14:textId="58CA81CA" w:rsidR="00384441" w:rsidRDefault="00384441" w:rsidP="00384441">
      <w:pPr>
        <w:spacing w:after="120" w:line="240" w:lineRule="auto"/>
        <w:ind w:right="49"/>
        <w:jc w:val="center"/>
        <w:rPr>
          <w:rFonts w:cs="Arial"/>
          <w:highlight w:val="yellow"/>
        </w:rPr>
      </w:pPr>
      <w:r>
        <w:rPr>
          <w:noProof/>
        </w:rPr>
        <w:drawing>
          <wp:inline distT="0" distB="0" distL="0" distR="0" wp14:anchorId="5191B500" wp14:editId="6BE20E6D">
            <wp:extent cx="4482548" cy="2642566"/>
            <wp:effectExtent l="0" t="0" r="635" b="0"/>
            <wp:docPr id="332859834" name="Gráfico 1">
              <a:extLst xmlns:a="http://schemas.openxmlformats.org/drawingml/2006/main">
                <a:ext uri="{FF2B5EF4-FFF2-40B4-BE49-F238E27FC236}">
                  <a16:creationId xmlns:a16="http://schemas.microsoft.com/office/drawing/2014/main" id="{81C06361-0C33-42EE-B8BA-2B9C6E1E1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9D2A1E" w14:textId="77777777" w:rsidR="00384441" w:rsidRDefault="00384441" w:rsidP="00384441">
      <w:pPr>
        <w:spacing w:after="120" w:line="240" w:lineRule="auto"/>
        <w:ind w:right="49"/>
        <w:rPr>
          <w:rFonts w:cs="Arial"/>
          <w:highlight w:val="yellow"/>
        </w:rPr>
      </w:pPr>
    </w:p>
    <w:p w14:paraId="3065890E" w14:textId="77777777" w:rsidR="00384441" w:rsidRPr="00384441" w:rsidRDefault="00384441" w:rsidP="00384441">
      <w:pPr>
        <w:spacing w:after="0" w:line="240" w:lineRule="auto"/>
        <w:rPr>
          <w:rFonts w:cs="Arial"/>
          <w:sz w:val="18"/>
          <w:szCs w:val="18"/>
        </w:rPr>
      </w:pPr>
      <w:r w:rsidRPr="00141AD3">
        <w:rPr>
          <w:rFonts w:cs="Arial"/>
          <w:sz w:val="20"/>
          <w:szCs w:val="20"/>
        </w:rPr>
        <w:t>*</w:t>
      </w:r>
      <w:r w:rsidRPr="00384441">
        <w:rPr>
          <w:rFonts w:cs="Arial"/>
          <w:sz w:val="18"/>
          <w:szCs w:val="18"/>
        </w:rPr>
        <w:t>2024 Estimado</w:t>
      </w:r>
    </w:p>
    <w:p w14:paraId="4247B4DA" w14:textId="77777777" w:rsidR="00384441" w:rsidRPr="00384441" w:rsidRDefault="00384441" w:rsidP="00384441">
      <w:pPr>
        <w:spacing w:after="0" w:line="240" w:lineRule="auto"/>
        <w:rPr>
          <w:rFonts w:cs="Arial"/>
          <w:sz w:val="18"/>
          <w:szCs w:val="18"/>
        </w:rPr>
      </w:pPr>
      <w:r w:rsidRPr="00384441">
        <w:rPr>
          <w:rFonts w:cs="Arial"/>
          <w:sz w:val="18"/>
          <w:szCs w:val="18"/>
        </w:rPr>
        <w:t>Fuente: Elaborado por la Dirección de Egresos y Control Presupuestal de la Tesorería Municipal de Hermosillo.</w:t>
      </w:r>
    </w:p>
    <w:p w14:paraId="53F1F612" w14:textId="77777777" w:rsidR="00384441" w:rsidRPr="00384441" w:rsidRDefault="00384441" w:rsidP="00384441">
      <w:pPr>
        <w:spacing w:after="120" w:line="240" w:lineRule="auto"/>
        <w:ind w:right="49"/>
        <w:rPr>
          <w:rFonts w:cs="Arial"/>
          <w:sz w:val="18"/>
          <w:szCs w:val="18"/>
          <w:highlight w:val="yellow"/>
        </w:rPr>
      </w:pPr>
    </w:p>
    <w:p w14:paraId="0479F971" w14:textId="568ABAE2" w:rsidR="00384441" w:rsidRPr="00384441" w:rsidRDefault="00384441" w:rsidP="00384441">
      <w:pPr>
        <w:spacing w:after="120" w:line="240" w:lineRule="auto"/>
        <w:ind w:right="49"/>
        <w:rPr>
          <w:rFonts w:cs="Arial"/>
        </w:rPr>
      </w:pPr>
      <w:r w:rsidRPr="00384441">
        <w:rPr>
          <w:rFonts w:cs="Arial"/>
        </w:rPr>
        <w:t>Bajo una perspectiva más amplia, donde en la construcción de obras públicas se le agrega su mantenimiento, así como la adquisición de maquinaria, patrullas, vehículos, sistemas informáticos y, en general, bienes muebles e inmuebles que constituyen gasto de capital, se aprecia que este alcanzó una cifra de 3,344.5 mdp entre 2022 y 2024, con un crecimiento del 128.4% sobre el gasto ejercido en estos conceptos entre 2019 y 2021.</w:t>
      </w:r>
    </w:p>
    <w:p w14:paraId="0DFD23E9" w14:textId="77777777" w:rsidR="00384441" w:rsidRDefault="00261A27" w:rsidP="00384441">
      <w:pPr>
        <w:spacing w:after="120" w:line="240" w:lineRule="auto"/>
        <w:rPr>
          <w:rFonts w:cs="Arial"/>
        </w:rPr>
      </w:pPr>
      <w:r w:rsidRPr="008913E4">
        <w:rPr>
          <w:rFonts w:cs="Arial"/>
          <w:b/>
          <w:bCs/>
          <w:color w:val="000000"/>
          <w:shd w:val="clear" w:color="auto" w:fill="FFFFFF"/>
          <w:lang w:eastAsia="es-MX"/>
        </w:rPr>
        <w:t>Gestión de la deuda pública</w:t>
      </w:r>
      <w:r w:rsidR="00626AB9">
        <w:rPr>
          <w:rFonts w:cs="Arial"/>
          <w:b/>
          <w:bCs/>
          <w:color w:val="000000"/>
          <w:shd w:val="clear" w:color="auto" w:fill="FFFFFF"/>
          <w:lang w:eastAsia="es-MX"/>
        </w:rPr>
        <w:t>.</w:t>
      </w:r>
    </w:p>
    <w:p w14:paraId="4CCD8922" w14:textId="5FE92353" w:rsidR="007503ED" w:rsidRPr="00384441" w:rsidRDefault="00261A27" w:rsidP="00384441">
      <w:pPr>
        <w:spacing w:after="120" w:line="240" w:lineRule="auto"/>
        <w:rPr>
          <w:rFonts w:cs="Arial"/>
          <w:highlight w:val="yellow"/>
        </w:rPr>
      </w:pPr>
      <w:r w:rsidRPr="008913E4">
        <w:rPr>
          <w:rFonts w:cs="Arial"/>
          <w:color w:val="000000"/>
          <w:shd w:val="clear" w:color="auto" w:fill="FFFFFF"/>
          <w:lang w:eastAsia="es-MX"/>
        </w:rPr>
        <w:t>La calificación crediticia del Municipio de Hermosillo muestra un avance positivo en su estabilidad financiera y de gestión, con una perspectiva estable que indica una continuidad en esta tendencia.</w:t>
      </w:r>
      <w:r w:rsidR="00626AB9">
        <w:rPr>
          <w:rFonts w:cs="Arial"/>
          <w:color w:val="000000"/>
          <w:shd w:val="clear" w:color="auto" w:fill="FFFFFF"/>
          <w:lang w:eastAsia="es-MX"/>
        </w:rPr>
        <w:t xml:space="preserve"> </w:t>
      </w:r>
      <w:r>
        <w:rPr>
          <w:rFonts w:cs="Arial"/>
          <w:color w:val="000000"/>
          <w:shd w:val="clear" w:color="auto" w:fill="FFFFFF"/>
          <w:lang w:eastAsia="es-MX"/>
        </w:rPr>
        <w:t>Al respecto, l</w:t>
      </w:r>
      <w:r w:rsidRPr="008913E4">
        <w:rPr>
          <w:rFonts w:cs="Arial"/>
          <w:color w:val="000000"/>
          <w:shd w:val="clear" w:color="auto" w:fill="FFFFFF"/>
          <w:lang w:eastAsia="es-MX"/>
        </w:rPr>
        <w:t xml:space="preserve">a calificadora HR Ratings, </w:t>
      </w:r>
      <w:r>
        <w:rPr>
          <w:rFonts w:cs="Arial"/>
          <w:color w:val="000000"/>
          <w:shd w:val="clear" w:color="auto" w:fill="FFFFFF"/>
          <w:lang w:eastAsia="es-MX"/>
        </w:rPr>
        <w:t>e</w:t>
      </w:r>
      <w:r w:rsidRPr="008913E4">
        <w:rPr>
          <w:rFonts w:cs="Arial"/>
          <w:color w:val="000000"/>
          <w:shd w:val="clear" w:color="auto" w:fill="FFFFFF"/>
          <w:lang w:eastAsia="es-MX"/>
        </w:rPr>
        <w:t>l 30 de mayo de 2024, emitió al alza la calificación</w:t>
      </w:r>
      <w:r>
        <w:rPr>
          <w:rFonts w:cs="Arial"/>
          <w:color w:val="000000"/>
          <w:shd w:val="clear" w:color="auto" w:fill="FFFFFF"/>
          <w:lang w:eastAsia="es-MX"/>
        </w:rPr>
        <w:t>,</w:t>
      </w:r>
      <w:r w:rsidRPr="008913E4">
        <w:rPr>
          <w:rFonts w:cs="Arial"/>
          <w:color w:val="000000"/>
          <w:shd w:val="clear" w:color="auto" w:fill="FFFFFF"/>
          <w:lang w:eastAsia="es-MX"/>
        </w:rPr>
        <w:t xml:space="preserve"> de BBB</w:t>
      </w:r>
      <w:r>
        <w:rPr>
          <w:rFonts w:cs="Arial"/>
          <w:color w:val="000000"/>
          <w:shd w:val="clear" w:color="auto" w:fill="FFFFFF"/>
          <w:lang w:eastAsia="es-MX"/>
        </w:rPr>
        <w:t>,</w:t>
      </w:r>
      <w:r w:rsidRPr="008913E4">
        <w:rPr>
          <w:rFonts w:cs="Arial"/>
          <w:color w:val="000000"/>
          <w:shd w:val="clear" w:color="auto" w:fill="FFFFFF"/>
          <w:lang w:eastAsia="es-MX"/>
        </w:rPr>
        <w:t xml:space="preserve"> a BBB+ con perspectiva estable para el Municipio de Hermosillo. En esta revisión se muestra un comportamiento positivo observado en los ingresos de libre disposición de la entidad, lo que se tradujo en una disminución en las métricas de endeudamiento relativo, sumado a la expectativa de que esta situación continúe en los próximos años.</w:t>
      </w:r>
    </w:p>
    <w:p w14:paraId="47441DCE" w14:textId="6D165C8F" w:rsidR="00261A27" w:rsidRPr="00AF0E23" w:rsidRDefault="00BD09D3" w:rsidP="00B205BA">
      <w:pPr>
        <w:spacing w:before="100" w:beforeAutospacing="1" w:after="120" w:line="240" w:lineRule="auto"/>
        <w:jc w:val="center"/>
        <w:rPr>
          <w:rFonts w:cs="Arial"/>
          <w:b/>
          <w:bCs/>
          <w:color w:val="000000"/>
          <w:shd w:val="clear" w:color="auto" w:fill="FFFFFF"/>
          <w:lang w:eastAsia="es-MX"/>
        </w:rPr>
      </w:pPr>
      <w:r w:rsidRPr="00AF0E23">
        <w:rPr>
          <w:rFonts w:cs="Arial"/>
          <w:b/>
          <w:bCs/>
          <w:color w:val="000000"/>
          <w:shd w:val="clear" w:color="auto" w:fill="FFFFFF"/>
          <w:lang w:eastAsia="es-MX"/>
        </w:rPr>
        <w:t xml:space="preserve">TABLA 2. REPORTE DE CALIFICACIONES </w:t>
      </w:r>
      <w:r>
        <w:rPr>
          <w:rFonts w:cs="Arial"/>
          <w:b/>
          <w:bCs/>
          <w:color w:val="000000"/>
          <w:shd w:val="clear" w:color="auto" w:fill="FFFFFF"/>
          <w:lang w:eastAsia="es-MX"/>
        </w:rPr>
        <w:t xml:space="preserve">AL MUNICIPIO DE HERMOSILLO DE </w:t>
      </w:r>
      <w:r w:rsidRPr="00AF0E23">
        <w:rPr>
          <w:rFonts w:cs="Arial"/>
          <w:b/>
          <w:bCs/>
          <w:color w:val="000000"/>
          <w:shd w:val="clear" w:color="auto" w:fill="FFFFFF"/>
          <w:lang w:eastAsia="es-MX"/>
        </w:rPr>
        <w:t>2021</w:t>
      </w:r>
      <w:r>
        <w:rPr>
          <w:rFonts w:cs="Arial"/>
          <w:b/>
          <w:bCs/>
          <w:color w:val="000000"/>
          <w:shd w:val="clear" w:color="auto" w:fill="FFFFFF"/>
          <w:lang w:eastAsia="es-MX"/>
        </w:rPr>
        <w:t xml:space="preserve"> A </w:t>
      </w:r>
      <w:r w:rsidRPr="00AF0E23">
        <w:rPr>
          <w:rFonts w:cs="Arial"/>
          <w:b/>
          <w:bCs/>
          <w:color w:val="000000"/>
          <w:shd w:val="clear" w:color="auto" w:fill="FFFFFF"/>
          <w:lang w:eastAsia="es-MX"/>
        </w:rPr>
        <w:t>2024.</w:t>
      </w:r>
    </w:p>
    <w:tbl>
      <w:tblPr>
        <w:tblW w:w="8779" w:type="dxa"/>
        <w:tblCellMar>
          <w:left w:w="70" w:type="dxa"/>
          <w:right w:w="70" w:type="dxa"/>
        </w:tblCellMar>
        <w:tblLook w:val="04A0" w:firstRow="1" w:lastRow="0" w:firstColumn="1" w:lastColumn="0" w:noHBand="0" w:noVBand="1"/>
      </w:tblPr>
      <w:tblGrid>
        <w:gridCol w:w="2520"/>
        <w:gridCol w:w="1320"/>
        <w:gridCol w:w="1320"/>
        <w:gridCol w:w="1320"/>
        <w:gridCol w:w="1320"/>
        <w:gridCol w:w="979"/>
      </w:tblGrid>
      <w:tr w:rsidR="00626AB9" w:rsidRPr="00CE18FC" w14:paraId="59808455" w14:textId="77777777" w:rsidTr="00384441">
        <w:trPr>
          <w:trHeight w:val="420"/>
        </w:trPr>
        <w:tc>
          <w:tcPr>
            <w:tcW w:w="2520" w:type="dxa"/>
            <w:tcBorders>
              <w:top w:val="single" w:sz="8" w:space="0" w:color="auto"/>
              <w:left w:val="single" w:sz="8" w:space="0" w:color="auto"/>
              <w:bottom w:val="single" w:sz="4" w:space="0" w:color="auto"/>
              <w:right w:val="single" w:sz="4" w:space="0" w:color="auto"/>
            </w:tcBorders>
            <w:shd w:val="clear" w:color="auto" w:fill="ED7D31" w:themeFill="accent2"/>
            <w:vAlign w:val="center"/>
            <w:hideMark/>
          </w:tcPr>
          <w:p w14:paraId="4AC7D1F3" w14:textId="77777777" w:rsidR="00626AB9" w:rsidRPr="00CE18FC" w:rsidRDefault="00626AB9" w:rsidP="00A556AE">
            <w:pPr>
              <w:spacing w:after="0" w:line="240" w:lineRule="auto"/>
              <w:rPr>
                <w:rFonts w:eastAsia="Times New Roman" w:cs="Arial"/>
                <w:b/>
                <w:bCs/>
                <w:i/>
                <w:iCs/>
              </w:rPr>
            </w:pPr>
            <w:r w:rsidRPr="00CE18FC">
              <w:rPr>
                <w:rFonts w:eastAsia="Times New Roman" w:cs="Arial"/>
                <w:b/>
                <w:bCs/>
                <w:i/>
                <w:iCs/>
              </w:rPr>
              <w:t>HR RATINGS</w:t>
            </w:r>
          </w:p>
        </w:tc>
        <w:tc>
          <w:tcPr>
            <w:tcW w:w="1320" w:type="dxa"/>
            <w:tcBorders>
              <w:top w:val="single" w:sz="8" w:space="0" w:color="auto"/>
              <w:left w:val="nil"/>
              <w:bottom w:val="single" w:sz="4" w:space="0" w:color="auto"/>
              <w:right w:val="single" w:sz="4" w:space="0" w:color="auto"/>
            </w:tcBorders>
            <w:shd w:val="clear" w:color="auto" w:fill="ED7D31" w:themeFill="accent2"/>
            <w:vAlign w:val="center"/>
            <w:hideMark/>
          </w:tcPr>
          <w:p w14:paraId="6ECE2E57" w14:textId="77777777" w:rsidR="00626AB9" w:rsidRPr="00CE18FC" w:rsidRDefault="00626AB9" w:rsidP="00A556AE">
            <w:pPr>
              <w:spacing w:after="0" w:line="240" w:lineRule="auto"/>
              <w:jc w:val="center"/>
              <w:rPr>
                <w:rFonts w:eastAsia="Times New Roman" w:cs="Arial"/>
                <w:b/>
                <w:bCs/>
                <w:i/>
                <w:iCs/>
              </w:rPr>
            </w:pPr>
            <w:r w:rsidRPr="00CE18FC">
              <w:rPr>
                <w:rFonts w:eastAsia="Times New Roman" w:cs="Arial"/>
                <w:b/>
                <w:bCs/>
                <w:i/>
                <w:iCs/>
              </w:rPr>
              <w:t>2021</w:t>
            </w:r>
          </w:p>
        </w:tc>
        <w:tc>
          <w:tcPr>
            <w:tcW w:w="1320" w:type="dxa"/>
            <w:tcBorders>
              <w:top w:val="single" w:sz="8" w:space="0" w:color="auto"/>
              <w:left w:val="nil"/>
              <w:bottom w:val="single" w:sz="4" w:space="0" w:color="auto"/>
              <w:right w:val="single" w:sz="4" w:space="0" w:color="auto"/>
            </w:tcBorders>
            <w:shd w:val="clear" w:color="auto" w:fill="ED7D31" w:themeFill="accent2"/>
            <w:vAlign w:val="center"/>
            <w:hideMark/>
          </w:tcPr>
          <w:p w14:paraId="76D4C25A" w14:textId="77777777" w:rsidR="00626AB9" w:rsidRPr="00CE18FC" w:rsidRDefault="00626AB9" w:rsidP="00A556AE">
            <w:pPr>
              <w:spacing w:after="0" w:line="240" w:lineRule="auto"/>
              <w:jc w:val="center"/>
              <w:rPr>
                <w:rFonts w:eastAsia="Times New Roman" w:cs="Arial"/>
                <w:b/>
                <w:bCs/>
                <w:i/>
                <w:iCs/>
              </w:rPr>
            </w:pPr>
            <w:r w:rsidRPr="00CE18FC">
              <w:rPr>
                <w:rFonts w:eastAsia="Times New Roman" w:cs="Arial"/>
                <w:b/>
                <w:bCs/>
                <w:i/>
                <w:iCs/>
              </w:rPr>
              <w:t>2021</w:t>
            </w:r>
          </w:p>
        </w:tc>
        <w:tc>
          <w:tcPr>
            <w:tcW w:w="1320" w:type="dxa"/>
            <w:tcBorders>
              <w:top w:val="single" w:sz="8" w:space="0" w:color="auto"/>
              <w:left w:val="nil"/>
              <w:bottom w:val="single" w:sz="4" w:space="0" w:color="auto"/>
              <w:right w:val="single" w:sz="4" w:space="0" w:color="auto"/>
            </w:tcBorders>
            <w:shd w:val="clear" w:color="auto" w:fill="ED7D31" w:themeFill="accent2"/>
            <w:vAlign w:val="center"/>
            <w:hideMark/>
          </w:tcPr>
          <w:p w14:paraId="5B30F58C" w14:textId="77777777" w:rsidR="00626AB9" w:rsidRPr="00CE18FC" w:rsidRDefault="00626AB9" w:rsidP="00A556AE">
            <w:pPr>
              <w:spacing w:after="0" w:line="240" w:lineRule="auto"/>
              <w:jc w:val="center"/>
              <w:rPr>
                <w:rFonts w:eastAsia="Times New Roman" w:cs="Arial"/>
                <w:b/>
                <w:bCs/>
                <w:i/>
                <w:iCs/>
              </w:rPr>
            </w:pPr>
            <w:r w:rsidRPr="00CE18FC">
              <w:rPr>
                <w:rFonts w:eastAsia="Times New Roman" w:cs="Arial"/>
                <w:b/>
                <w:bCs/>
                <w:i/>
                <w:iCs/>
              </w:rPr>
              <w:t>2022</w:t>
            </w:r>
          </w:p>
        </w:tc>
        <w:tc>
          <w:tcPr>
            <w:tcW w:w="1320" w:type="dxa"/>
            <w:tcBorders>
              <w:top w:val="single" w:sz="8" w:space="0" w:color="auto"/>
              <w:left w:val="nil"/>
              <w:bottom w:val="single" w:sz="4" w:space="0" w:color="auto"/>
              <w:right w:val="single" w:sz="4" w:space="0" w:color="auto"/>
            </w:tcBorders>
            <w:shd w:val="clear" w:color="auto" w:fill="ED7D31" w:themeFill="accent2"/>
            <w:vAlign w:val="center"/>
            <w:hideMark/>
          </w:tcPr>
          <w:p w14:paraId="0048E9A2" w14:textId="77777777" w:rsidR="00626AB9" w:rsidRPr="00CE18FC" w:rsidRDefault="00626AB9" w:rsidP="00A556AE">
            <w:pPr>
              <w:spacing w:after="0" w:line="240" w:lineRule="auto"/>
              <w:jc w:val="center"/>
              <w:rPr>
                <w:rFonts w:eastAsia="Times New Roman" w:cs="Arial"/>
                <w:b/>
                <w:bCs/>
                <w:i/>
                <w:iCs/>
              </w:rPr>
            </w:pPr>
            <w:r w:rsidRPr="00CE18FC">
              <w:rPr>
                <w:rFonts w:eastAsia="Times New Roman" w:cs="Arial"/>
                <w:b/>
                <w:bCs/>
                <w:i/>
                <w:iCs/>
              </w:rPr>
              <w:t>2023</w:t>
            </w:r>
          </w:p>
        </w:tc>
        <w:tc>
          <w:tcPr>
            <w:tcW w:w="979" w:type="dxa"/>
            <w:tcBorders>
              <w:top w:val="single" w:sz="8" w:space="0" w:color="auto"/>
              <w:left w:val="nil"/>
              <w:bottom w:val="single" w:sz="4" w:space="0" w:color="auto"/>
              <w:right w:val="single" w:sz="8" w:space="0" w:color="auto"/>
            </w:tcBorders>
            <w:shd w:val="clear" w:color="auto" w:fill="ED7D31" w:themeFill="accent2"/>
            <w:vAlign w:val="center"/>
            <w:hideMark/>
          </w:tcPr>
          <w:p w14:paraId="0837A34D" w14:textId="77777777" w:rsidR="00626AB9" w:rsidRPr="00CE18FC" w:rsidRDefault="00626AB9" w:rsidP="00A556AE">
            <w:pPr>
              <w:spacing w:after="0" w:line="240" w:lineRule="auto"/>
              <w:jc w:val="center"/>
              <w:rPr>
                <w:rFonts w:eastAsia="Times New Roman" w:cs="Arial"/>
                <w:b/>
                <w:bCs/>
                <w:i/>
                <w:iCs/>
              </w:rPr>
            </w:pPr>
            <w:r w:rsidRPr="00CE18FC">
              <w:rPr>
                <w:rFonts w:eastAsia="Times New Roman" w:cs="Arial"/>
                <w:b/>
                <w:bCs/>
                <w:i/>
                <w:iCs/>
              </w:rPr>
              <w:t>2024</w:t>
            </w:r>
          </w:p>
        </w:tc>
      </w:tr>
      <w:tr w:rsidR="00626AB9" w:rsidRPr="00CE18FC" w14:paraId="27F157D4" w14:textId="77777777" w:rsidTr="00384441">
        <w:trPr>
          <w:trHeight w:val="300"/>
        </w:trPr>
        <w:tc>
          <w:tcPr>
            <w:tcW w:w="25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3261A469" w14:textId="77777777" w:rsidR="00626AB9" w:rsidRPr="00CE18FC" w:rsidRDefault="00626AB9" w:rsidP="00A556AE">
            <w:pPr>
              <w:spacing w:after="0" w:line="240" w:lineRule="auto"/>
              <w:rPr>
                <w:rFonts w:eastAsia="Times New Roman" w:cs="Arial"/>
                <w:color w:val="000000"/>
              </w:rPr>
            </w:pPr>
            <w:r w:rsidRPr="00CE18FC">
              <w:rPr>
                <w:rFonts w:eastAsia="Times New Roman" w:cs="Arial"/>
                <w:color w:val="000000"/>
              </w:rPr>
              <w:t>Municipio de Hermosillo</w:t>
            </w:r>
          </w:p>
        </w:tc>
        <w:tc>
          <w:tcPr>
            <w:tcW w:w="1320" w:type="dxa"/>
            <w:tcBorders>
              <w:top w:val="nil"/>
              <w:left w:val="nil"/>
              <w:bottom w:val="nil"/>
              <w:right w:val="single" w:sz="4" w:space="0" w:color="auto"/>
            </w:tcBorders>
            <w:shd w:val="clear" w:color="000000" w:fill="FFFFFF"/>
            <w:noWrap/>
            <w:vAlign w:val="bottom"/>
            <w:hideMark/>
          </w:tcPr>
          <w:p w14:paraId="66ED1E25"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BB +</w:t>
            </w:r>
          </w:p>
        </w:tc>
        <w:tc>
          <w:tcPr>
            <w:tcW w:w="1320" w:type="dxa"/>
            <w:tcBorders>
              <w:top w:val="nil"/>
              <w:left w:val="nil"/>
              <w:bottom w:val="nil"/>
              <w:right w:val="single" w:sz="4" w:space="0" w:color="auto"/>
            </w:tcBorders>
            <w:shd w:val="clear" w:color="000000" w:fill="FFFFFF"/>
            <w:noWrap/>
            <w:vAlign w:val="bottom"/>
            <w:hideMark/>
          </w:tcPr>
          <w:p w14:paraId="31AA4EA7"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BB +</w:t>
            </w:r>
          </w:p>
        </w:tc>
        <w:tc>
          <w:tcPr>
            <w:tcW w:w="1320" w:type="dxa"/>
            <w:tcBorders>
              <w:top w:val="nil"/>
              <w:left w:val="nil"/>
              <w:bottom w:val="nil"/>
              <w:right w:val="single" w:sz="4" w:space="0" w:color="auto"/>
            </w:tcBorders>
            <w:shd w:val="clear" w:color="000000" w:fill="FFFFFF"/>
            <w:noWrap/>
            <w:vAlign w:val="bottom"/>
            <w:hideMark/>
          </w:tcPr>
          <w:p w14:paraId="6D983502"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BBB -</w:t>
            </w:r>
          </w:p>
        </w:tc>
        <w:tc>
          <w:tcPr>
            <w:tcW w:w="1320" w:type="dxa"/>
            <w:tcBorders>
              <w:top w:val="nil"/>
              <w:left w:val="nil"/>
              <w:bottom w:val="nil"/>
              <w:right w:val="single" w:sz="4" w:space="0" w:color="auto"/>
            </w:tcBorders>
            <w:shd w:val="clear" w:color="000000" w:fill="FFFFFF"/>
            <w:noWrap/>
            <w:vAlign w:val="bottom"/>
            <w:hideMark/>
          </w:tcPr>
          <w:p w14:paraId="03366D7D"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BBB</w:t>
            </w:r>
          </w:p>
        </w:tc>
        <w:tc>
          <w:tcPr>
            <w:tcW w:w="979" w:type="dxa"/>
            <w:tcBorders>
              <w:top w:val="nil"/>
              <w:left w:val="nil"/>
              <w:bottom w:val="nil"/>
              <w:right w:val="single" w:sz="8" w:space="0" w:color="auto"/>
            </w:tcBorders>
            <w:shd w:val="clear" w:color="000000" w:fill="FFFFFF"/>
            <w:noWrap/>
            <w:vAlign w:val="bottom"/>
            <w:hideMark/>
          </w:tcPr>
          <w:p w14:paraId="5A130D48"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BBB +</w:t>
            </w:r>
          </w:p>
        </w:tc>
      </w:tr>
      <w:tr w:rsidR="00626AB9" w:rsidRPr="00CE18FC" w14:paraId="58392A6A" w14:textId="77777777" w:rsidTr="00384441">
        <w:trPr>
          <w:trHeight w:val="225"/>
        </w:trPr>
        <w:tc>
          <w:tcPr>
            <w:tcW w:w="2520" w:type="dxa"/>
            <w:vMerge/>
            <w:tcBorders>
              <w:top w:val="nil"/>
              <w:left w:val="single" w:sz="8" w:space="0" w:color="auto"/>
              <w:bottom w:val="single" w:sz="4" w:space="0" w:color="auto"/>
              <w:right w:val="single" w:sz="4" w:space="0" w:color="auto"/>
            </w:tcBorders>
            <w:vAlign w:val="center"/>
            <w:hideMark/>
          </w:tcPr>
          <w:p w14:paraId="70C3343B" w14:textId="77777777" w:rsidR="00626AB9" w:rsidRPr="00CE18FC" w:rsidRDefault="00626AB9" w:rsidP="00A556AE">
            <w:pPr>
              <w:spacing w:after="0" w:line="240" w:lineRule="auto"/>
              <w:rPr>
                <w:rFonts w:eastAsia="Times New Roman" w:cs="Arial"/>
                <w:color w:val="000000"/>
              </w:rPr>
            </w:pPr>
          </w:p>
        </w:tc>
        <w:tc>
          <w:tcPr>
            <w:tcW w:w="1320" w:type="dxa"/>
            <w:tcBorders>
              <w:top w:val="nil"/>
              <w:left w:val="nil"/>
              <w:bottom w:val="single" w:sz="4" w:space="0" w:color="auto"/>
              <w:right w:val="single" w:sz="4" w:space="0" w:color="auto"/>
            </w:tcBorders>
            <w:shd w:val="clear" w:color="000000" w:fill="FFFFFF"/>
            <w:noWrap/>
            <w:hideMark/>
          </w:tcPr>
          <w:p w14:paraId="0BB7C1EF"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Inicial</w:t>
            </w:r>
          </w:p>
        </w:tc>
        <w:tc>
          <w:tcPr>
            <w:tcW w:w="1320" w:type="dxa"/>
            <w:tcBorders>
              <w:top w:val="nil"/>
              <w:left w:val="nil"/>
              <w:bottom w:val="single" w:sz="4" w:space="0" w:color="auto"/>
              <w:right w:val="single" w:sz="4" w:space="0" w:color="auto"/>
            </w:tcBorders>
            <w:shd w:val="clear" w:color="000000" w:fill="FFFFFF"/>
            <w:noWrap/>
            <w:hideMark/>
          </w:tcPr>
          <w:p w14:paraId="2397A31A" w14:textId="77777777" w:rsidR="00626AB9" w:rsidRPr="00CE18FC" w:rsidRDefault="00626AB9" w:rsidP="00A556AE">
            <w:pPr>
              <w:spacing w:after="0" w:line="240" w:lineRule="auto"/>
              <w:jc w:val="center"/>
              <w:rPr>
                <w:rFonts w:eastAsia="Times New Roman" w:cs="Arial"/>
                <w:color w:val="000000"/>
                <w:sz w:val="18"/>
                <w:szCs w:val="18"/>
              </w:rPr>
            </w:pPr>
            <w:r w:rsidRPr="001664F4">
              <w:rPr>
                <w:rFonts w:eastAsia="Times New Roman" w:cs="Arial"/>
                <w:color w:val="000000"/>
                <w:sz w:val="18"/>
                <w:szCs w:val="18"/>
              </w:rPr>
              <w:t>Ratificación</w:t>
            </w:r>
          </w:p>
        </w:tc>
        <w:tc>
          <w:tcPr>
            <w:tcW w:w="1320" w:type="dxa"/>
            <w:tcBorders>
              <w:top w:val="nil"/>
              <w:left w:val="nil"/>
              <w:bottom w:val="single" w:sz="4" w:space="0" w:color="auto"/>
              <w:right w:val="single" w:sz="4" w:space="0" w:color="auto"/>
            </w:tcBorders>
            <w:shd w:val="clear" w:color="000000" w:fill="FFFFFF"/>
            <w:noWrap/>
            <w:hideMark/>
          </w:tcPr>
          <w:p w14:paraId="0B58D58B"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Alza</w:t>
            </w:r>
          </w:p>
        </w:tc>
        <w:tc>
          <w:tcPr>
            <w:tcW w:w="1320" w:type="dxa"/>
            <w:tcBorders>
              <w:top w:val="nil"/>
              <w:left w:val="nil"/>
              <w:bottom w:val="single" w:sz="4" w:space="0" w:color="auto"/>
              <w:right w:val="single" w:sz="4" w:space="0" w:color="auto"/>
            </w:tcBorders>
            <w:shd w:val="clear" w:color="000000" w:fill="FFFFFF"/>
            <w:noWrap/>
            <w:hideMark/>
          </w:tcPr>
          <w:p w14:paraId="6A04F8B4"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Alza</w:t>
            </w:r>
          </w:p>
        </w:tc>
        <w:tc>
          <w:tcPr>
            <w:tcW w:w="979" w:type="dxa"/>
            <w:tcBorders>
              <w:top w:val="nil"/>
              <w:left w:val="nil"/>
              <w:bottom w:val="single" w:sz="4" w:space="0" w:color="auto"/>
              <w:right w:val="single" w:sz="8" w:space="0" w:color="auto"/>
            </w:tcBorders>
            <w:shd w:val="clear" w:color="000000" w:fill="FFFFFF"/>
            <w:noWrap/>
            <w:hideMark/>
          </w:tcPr>
          <w:p w14:paraId="5BC60EF8"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Alza</w:t>
            </w:r>
          </w:p>
        </w:tc>
      </w:tr>
      <w:tr w:rsidR="00626AB9" w:rsidRPr="00CE18FC" w14:paraId="759E69D5" w14:textId="77777777" w:rsidTr="00384441">
        <w:trPr>
          <w:trHeight w:val="300"/>
        </w:trPr>
        <w:tc>
          <w:tcPr>
            <w:tcW w:w="25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241D1B0C" w14:textId="77777777" w:rsidR="00626AB9" w:rsidRPr="00CE18FC" w:rsidRDefault="00626AB9" w:rsidP="00A556AE">
            <w:pPr>
              <w:spacing w:after="0" w:line="240" w:lineRule="auto"/>
              <w:rPr>
                <w:rFonts w:eastAsia="Times New Roman" w:cs="Arial"/>
                <w:color w:val="000000"/>
              </w:rPr>
            </w:pPr>
            <w:r w:rsidRPr="001664F4">
              <w:rPr>
                <w:rFonts w:eastAsia="Times New Roman" w:cs="Arial"/>
                <w:color w:val="000000"/>
              </w:rPr>
              <w:lastRenderedPageBreak/>
              <w:t>Banobras $</w:t>
            </w:r>
            <w:r w:rsidRPr="00CE18FC">
              <w:rPr>
                <w:rFonts w:eastAsia="Times New Roman" w:cs="Arial"/>
                <w:color w:val="000000"/>
              </w:rPr>
              <w:t>708.9 mdp</w:t>
            </w:r>
            <w:r>
              <w:rPr>
                <w:rFonts w:eastAsia="Times New Roman" w:cs="Arial"/>
                <w:color w:val="000000"/>
              </w:rPr>
              <w:t>.</w:t>
            </w:r>
          </w:p>
        </w:tc>
        <w:tc>
          <w:tcPr>
            <w:tcW w:w="1320" w:type="dxa"/>
            <w:tcBorders>
              <w:top w:val="nil"/>
              <w:left w:val="nil"/>
              <w:bottom w:val="nil"/>
              <w:right w:val="single" w:sz="4" w:space="0" w:color="auto"/>
            </w:tcBorders>
            <w:shd w:val="clear" w:color="000000" w:fill="FFFFFF"/>
            <w:noWrap/>
            <w:vAlign w:val="bottom"/>
            <w:hideMark/>
          </w:tcPr>
          <w:p w14:paraId="0BA35C7A"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 </w:t>
            </w:r>
          </w:p>
        </w:tc>
        <w:tc>
          <w:tcPr>
            <w:tcW w:w="1320" w:type="dxa"/>
            <w:tcBorders>
              <w:top w:val="nil"/>
              <w:left w:val="nil"/>
              <w:bottom w:val="nil"/>
              <w:right w:val="single" w:sz="4" w:space="0" w:color="auto"/>
            </w:tcBorders>
            <w:shd w:val="clear" w:color="000000" w:fill="FFFFFF"/>
            <w:noWrap/>
            <w:vAlign w:val="bottom"/>
            <w:hideMark/>
          </w:tcPr>
          <w:p w14:paraId="151F61E1"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 </w:t>
            </w:r>
          </w:p>
        </w:tc>
        <w:tc>
          <w:tcPr>
            <w:tcW w:w="1320" w:type="dxa"/>
            <w:tcBorders>
              <w:top w:val="nil"/>
              <w:left w:val="nil"/>
              <w:bottom w:val="nil"/>
              <w:right w:val="single" w:sz="4" w:space="0" w:color="auto"/>
            </w:tcBorders>
            <w:shd w:val="clear" w:color="000000" w:fill="FFFFFF"/>
            <w:noWrap/>
            <w:vAlign w:val="bottom"/>
            <w:hideMark/>
          </w:tcPr>
          <w:p w14:paraId="6FFAB8FF"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AA - (E)</w:t>
            </w:r>
          </w:p>
        </w:tc>
        <w:tc>
          <w:tcPr>
            <w:tcW w:w="1320" w:type="dxa"/>
            <w:tcBorders>
              <w:top w:val="nil"/>
              <w:left w:val="nil"/>
              <w:bottom w:val="nil"/>
              <w:right w:val="single" w:sz="4" w:space="0" w:color="auto"/>
            </w:tcBorders>
            <w:shd w:val="clear" w:color="000000" w:fill="FFFFFF"/>
            <w:noWrap/>
            <w:vAlign w:val="bottom"/>
            <w:hideMark/>
          </w:tcPr>
          <w:p w14:paraId="0097FAB0"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AA - (E)</w:t>
            </w:r>
          </w:p>
        </w:tc>
        <w:tc>
          <w:tcPr>
            <w:tcW w:w="979" w:type="dxa"/>
            <w:tcBorders>
              <w:top w:val="nil"/>
              <w:left w:val="nil"/>
              <w:bottom w:val="nil"/>
              <w:right w:val="single" w:sz="8" w:space="0" w:color="auto"/>
            </w:tcBorders>
            <w:shd w:val="clear" w:color="000000" w:fill="FFFFFF"/>
            <w:noWrap/>
            <w:vAlign w:val="bottom"/>
            <w:hideMark/>
          </w:tcPr>
          <w:p w14:paraId="6178E2B7"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 </w:t>
            </w:r>
          </w:p>
        </w:tc>
      </w:tr>
      <w:tr w:rsidR="00626AB9" w:rsidRPr="00CE18FC" w14:paraId="07A188D1" w14:textId="77777777" w:rsidTr="00384441">
        <w:trPr>
          <w:trHeight w:val="225"/>
        </w:trPr>
        <w:tc>
          <w:tcPr>
            <w:tcW w:w="2520" w:type="dxa"/>
            <w:vMerge/>
            <w:tcBorders>
              <w:top w:val="nil"/>
              <w:left w:val="single" w:sz="8" w:space="0" w:color="auto"/>
              <w:bottom w:val="single" w:sz="4" w:space="0" w:color="auto"/>
              <w:right w:val="single" w:sz="4" w:space="0" w:color="auto"/>
            </w:tcBorders>
            <w:vAlign w:val="center"/>
            <w:hideMark/>
          </w:tcPr>
          <w:p w14:paraId="594F1680" w14:textId="77777777" w:rsidR="00626AB9" w:rsidRPr="00CE18FC" w:rsidRDefault="00626AB9" w:rsidP="00A556AE">
            <w:pPr>
              <w:spacing w:after="0" w:line="240" w:lineRule="auto"/>
              <w:rPr>
                <w:rFonts w:eastAsia="Times New Roman" w:cs="Arial"/>
                <w:color w:val="000000"/>
              </w:rPr>
            </w:pPr>
          </w:p>
        </w:tc>
        <w:tc>
          <w:tcPr>
            <w:tcW w:w="1320" w:type="dxa"/>
            <w:tcBorders>
              <w:top w:val="nil"/>
              <w:left w:val="nil"/>
              <w:bottom w:val="single" w:sz="4" w:space="0" w:color="auto"/>
              <w:right w:val="single" w:sz="4" w:space="0" w:color="auto"/>
            </w:tcBorders>
            <w:shd w:val="clear" w:color="000000" w:fill="FFFFFF"/>
            <w:noWrap/>
            <w:hideMark/>
          </w:tcPr>
          <w:p w14:paraId="4A1F0BBC" w14:textId="77777777" w:rsidR="00626AB9" w:rsidRPr="00CE18FC" w:rsidRDefault="00626AB9" w:rsidP="00A556AE">
            <w:pPr>
              <w:spacing w:after="0" w:line="240" w:lineRule="auto"/>
              <w:jc w:val="center"/>
              <w:rPr>
                <w:rFonts w:eastAsia="Times New Roman" w:cs="Arial"/>
                <w:color w:val="000000"/>
                <w:sz w:val="16"/>
                <w:szCs w:val="16"/>
              </w:rPr>
            </w:pPr>
            <w:r w:rsidRPr="00CE18FC">
              <w:rPr>
                <w:rFonts w:eastAsia="Times New Roman" w:cs="Arial"/>
                <w:color w:val="000000"/>
                <w:sz w:val="16"/>
                <w:szCs w:val="16"/>
              </w:rPr>
              <w:t> </w:t>
            </w:r>
          </w:p>
        </w:tc>
        <w:tc>
          <w:tcPr>
            <w:tcW w:w="1320" w:type="dxa"/>
            <w:tcBorders>
              <w:top w:val="nil"/>
              <w:left w:val="nil"/>
              <w:bottom w:val="single" w:sz="4" w:space="0" w:color="auto"/>
              <w:right w:val="single" w:sz="4" w:space="0" w:color="auto"/>
            </w:tcBorders>
            <w:shd w:val="clear" w:color="000000" w:fill="FFFFFF"/>
            <w:noWrap/>
            <w:hideMark/>
          </w:tcPr>
          <w:p w14:paraId="2411FFF8" w14:textId="77777777" w:rsidR="00626AB9" w:rsidRPr="00CE18FC" w:rsidRDefault="00626AB9" w:rsidP="00A556AE">
            <w:pPr>
              <w:spacing w:after="0" w:line="240" w:lineRule="auto"/>
              <w:jc w:val="center"/>
              <w:rPr>
                <w:rFonts w:eastAsia="Times New Roman" w:cs="Arial"/>
                <w:color w:val="000000"/>
                <w:sz w:val="16"/>
                <w:szCs w:val="16"/>
              </w:rPr>
            </w:pPr>
            <w:r w:rsidRPr="00CE18FC">
              <w:rPr>
                <w:rFonts w:eastAsia="Times New Roman" w:cs="Arial"/>
                <w:color w:val="000000"/>
                <w:sz w:val="16"/>
                <w:szCs w:val="16"/>
              </w:rPr>
              <w:t> </w:t>
            </w:r>
          </w:p>
        </w:tc>
        <w:tc>
          <w:tcPr>
            <w:tcW w:w="1320" w:type="dxa"/>
            <w:tcBorders>
              <w:top w:val="nil"/>
              <w:left w:val="nil"/>
              <w:bottom w:val="single" w:sz="4" w:space="0" w:color="auto"/>
              <w:right w:val="single" w:sz="4" w:space="0" w:color="auto"/>
            </w:tcBorders>
            <w:shd w:val="clear" w:color="000000" w:fill="FFFFFF"/>
            <w:noWrap/>
            <w:hideMark/>
          </w:tcPr>
          <w:p w14:paraId="61958A4F"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Inicial</w:t>
            </w:r>
          </w:p>
        </w:tc>
        <w:tc>
          <w:tcPr>
            <w:tcW w:w="1320" w:type="dxa"/>
            <w:tcBorders>
              <w:top w:val="nil"/>
              <w:left w:val="nil"/>
              <w:bottom w:val="single" w:sz="4" w:space="0" w:color="auto"/>
              <w:right w:val="single" w:sz="4" w:space="0" w:color="auto"/>
            </w:tcBorders>
            <w:shd w:val="clear" w:color="000000" w:fill="FFFFFF"/>
            <w:noWrap/>
            <w:hideMark/>
          </w:tcPr>
          <w:p w14:paraId="40E7E1E6" w14:textId="77777777" w:rsidR="00626AB9" w:rsidRPr="00CE18FC" w:rsidRDefault="00626AB9" w:rsidP="00A556AE">
            <w:pPr>
              <w:spacing w:after="0" w:line="240" w:lineRule="auto"/>
              <w:jc w:val="center"/>
              <w:rPr>
                <w:rFonts w:eastAsia="Times New Roman" w:cs="Arial"/>
                <w:color w:val="000000"/>
                <w:sz w:val="18"/>
                <w:szCs w:val="18"/>
              </w:rPr>
            </w:pPr>
            <w:r w:rsidRPr="001664F4">
              <w:rPr>
                <w:rFonts w:eastAsia="Times New Roman" w:cs="Arial"/>
                <w:color w:val="000000"/>
                <w:sz w:val="18"/>
                <w:szCs w:val="18"/>
              </w:rPr>
              <w:t>Ratifica</w:t>
            </w:r>
          </w:p>
        </w:tc>
        <w:tc>
          <w:tcPr>
            <w:tcW w:w="979" w:type="dxa"/>
            <w:tcBorders>
              <w:top w:val="nil"/>
              <w:left w:val="nil"/>
              <w:bottom w:val="single" w:sz="4" w:space="0" w:color="auto"/>
              <w:right w:val="single" w:sz="8" w:space="0" w:color="auto"/>
            </w:tcBorders>
            <w:shd w:val="clear" w:color="000000" w:fill="FFFFFF"/>
            <w:noWrap/>
            <w:hideMark/>
          </w:tcPr>
          <w:p w14:paraId="1AD20F4C"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 </w:t>
            </w:r>
          </w:p>
        </w:tc>
      </w:tr>
      <w:tr w:rsidR="00626AB9" w:rsidRPr="00CE18FC" w14:paraId="68C2CF84" w14:textId="77777777" w:rsidTr="00384441">
        <w:trPr>
          <w:trHeight w:val="300"/>
        </w:trPr>
        <w:tc>
          <w:tcPr>
            <w:tcW w:w="25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5B0A61DC" w14:textId="77777777" w:rsidR="00626AB9" w:rsidRPr="00CE18FC" w:rsidRDefault="00626AB9" w:rsidP="00A556AE">
            <w:pPr>
              <w:spacing w:after="0" w:line="240" w:lineRule="auto"/>
              <w:rPr>
                <w:rFonts w:eastAsia="Times New Roman" w:cs="Arial"/>
                <w:color w:val="000000"/>
              </w:rPr>
            </w:pPr>
            <w:r w:rsidRPr="001664F4">
              <w:rPr>
                <w:rFonts w:eastAsia="Times New Roman" w:cs="Arial"/>
                <w:color w:val="000000"/>
              </w:rPr>
              <w:t>Banobras $</w:t>
            </w:r>
            <w:r w:rsidRPr="00CE18FC">
              <w:rPr>
                <w:rFonts w:eastAsia="Times New Roman" w:cs="Arial"/>
                <w:color w:val="000000"/>
              </w:rPr>
              <w:t>500.0 mdp</w:t>
            </w:r>
            <w:r>
              <w:rPr>
                <w:rFonts w:eastAsia="Times New Roman" w:cs="Arial"/>
                <w:color w:val="000000"/>
              </w:rPr>
              <w:t>.</w:t>
            </w:r>
          </w:p>
        </w:tc>
        <w:tc>
          <w:tcPr>
            <w:tcW w:w="1320" w:type="dxa"/>
            <w:tcBorders>
              <w:top w:val="nil"/>
              <w:left w:val="nil"/>
              <w:bottom w:val="nil"/>
              <w:right w:val="single" w:sz="4" w:space="0" w:color="auto"/>
            </w:tcBorders>
            <w:shd w:val="clear" w:color="000000" w:fill="FFFFFF"/>
            <w:noWrap/>
            <w:vAlign w:val="bottom"/>
            <w:hideMark/>
          </w:tcPr>
          <w:p w14:paraId="38592E02"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 </w:t>
            </w:r>
          </w:p>
        </w:tc>
        <w:tc>
          <w:tcPr>
            <w:tcW w:w="1320" w:type="dxa"/>
            <w:tcBorders>
              <w:top w:val="nil"/>
              <w:left w:val="nil"/>
              <w:bottom w:val="nil"/>
              <w:right w:val="single" w:sz="4" w:space="0" w:color="auto"/>
            </w:tcBorders>
            <w:shd w:val="clear" w:color="000000" w:fill="FFFFFF"/>
            <w:noWrap/>
            <w:vAlign w:val="bottom"/>
            <w:hideMark/>
          </w:tcPr>
          <w:p w14:paraId="5046CA95"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 </w:t>
            </w:r>
          </w:p>
        </w:tc>
        <w:tc>
          <w:tcPr>
            <w:tcW w:w="1320" w:type="dxa"/>
            <w:tcBorders>
              <w:top w:val="nil"/>
              <w:left w:val="nil"/>
              <w:bottom w:val="nil"/>
              <w:right w:val="single" w:sz="4" w:space="0" w:color="auto"/>
            </w:tcBorders>
            <w:shd w:val="clear" w:color="000000" w:fill="FFFFFF"/>
            <w:noWrap/>
            <w:vAlign w:val="bottom"/>
            <w:hideMark/>
          </w:tcPr>
          <w:p w14:paraId="46D69763"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AA - (E)</w:t>
            </w:r>
          </w:p>
        </w:tc>
        <w:tc>
          <w:tcPr>
            <w:tcW w:w="1320" w:type="dxa"/>
            <w:tcBorders>
              <w:top w:val="nil"/>
              <w:left w:val="nil"/>
              <w:bottom w:val="nil"/>
              <w:right w:val="single" w:sz="4" w:space="0" w:color="auto"/>
            </w:tcBorders>
            <w:shd w:val="clear" w:color="000000" w:fill="FFFFFF"/>
            <w:noWrap/>
            <w:vAlign w:val="bottom"/>
            <w:hideMark/>
          </w:tcPr>
          <w:p w14:paraId="317A81F7"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AA - (E)</w:t>
            </w:r>
          </w:p>
        </w:tc>
        <w:tc>
          <w:tcPr>
            <w:tcW w:w="979" w:type="dxa"/>
            <w:tcBorders>
              <w:top w:val="nil"/>
              <w:left w:val="nil"/>
              <w:bottom w:val="nil"/>
              <w:right w:val="single" w:sz="8" w:space="0" w:color="auto"/>
            </w:tcBorders>
            <w:shd w:val="clear" w:color="000000" w:fill="FFFFFF"/>
            <w:noWrap/>
            <w:vAlign w:val="bottom"/>
            <w:hideMark/>
          </w:tcPr>
          <w:p w14:paraId="43D8A1C5"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 </w:t>
            </w:r>
          </w:p>
        </w:tc>
      </w:tr>
      <w:tr w:rsidR="00626AB9" w:rsidRPr="00CE18FC" w14:paraId="6FAE950D" w14:textId="77777777" w:rsidTr="00384441">
        <w:trPr>
          <w:trHeight w:val="225"/>
        </w:trPr>
        <w:tc>
          <w:tcPr>
            <w:tcW w:w="2520" w:type="dxa"/>
            <w:vMerge/>
            <w:tcBorders>
              <w:top w:val="nil"/>
              <w:left w:val="single" w:sz="8" w:space="0" w:color="auto"/>
              <w:bottom w:val="single" w:sz="4" w:space="0" w:color="auto"/>
              <w:right w:val="single" w:sz="4" w:space="0" w:color="auto"/>
            </w:tcBorders>
            <w:vAlign w:val="center"/>
            <w:hideMark/>
          </w:tcPr>
          <w:p w14:paraId="149FE9B3" w14:textId="77777777" w:rsidR="00626AB9" w:rsidRPr="00CE18FC" w:rsidRDefault="00626AB9" w:rsidP="00A556AE">
            <w:pPr>
              <w:spacing w:after="0" w:line="240" w:lineRule="auto"/>
              <w:rPr>
                <w:rFonts w:eastAsia="Times New Roman" w:cs="Arial"/>
                <w:color w:val="000000"/>
              </w:rPr>
            </w:pPr>
          </w:p>
        </w:tc>
        <w:tc>
          <w:tcPr>
            <w:tcW w:w="1320" w:type="dxa"/>
            <w:tcBorders>
              <w:top w:val="nil"/>
              <w:left w:val="nil"/>
              <w:bottom w:val="single" w:sz="4" w:space="0" w:color="auto"/>
              <w:right w:val="single" w:sz="4" w:space="0" w:color="auto"/>
            </w:tcBorders>
            <w:shd w:val="clear" w:color="000000" w:fill="FFFFFF"/>
            <w:noWrap/>
            <w:hideMark/>
          </w:tcPr>
          <w:p w14:paraId="55D53D56" w14:textId="77777777" w:rsidR="00626AB9" w:rsidRPr="00CE18FC" w:rsidRDefault="00626AB9" w:rsidP="00A556AE">
            <w:pPr>
              <w:spacing w:after="0" w:line="240" w:lineRule="auto"/>
              <w:jc w:val="center"/>
              <w:rPr>
                <w:rFonts w:eastAsia="Times New Roman" w:cs="Arial"/>
                <w:color w:val="000000"/>
                <w:sz w:val="16"/>
                <w:szCs w:val="16"/>
              </w:rPr>
            </w:pPr>
            <w:r w:rsidRPr="00CE18FC">
              <w:rPr>
                <w:rFonts w:eastAsia="Times New Roman" w:cs="Arial"/>
                <w:color w:val="000000"/>
                <w:sz w:val="16"/>
                <w:szCs w:val="16"/>
              </w:rPr>
              <w:t> </w:t>
            </w:r>
          </w:p>
        </w:tc>
        <w:tc>
          <w:tcPr>
            <w:tcW w:w="1320" w:type="dxa"/>
            <w:tcBorders>
              <w:top w:val="nil"/>
              <w:left w:val="nil"/>
              <w:bottom w:val="single" w:sz="4" w:space="0" w:color="auto"/>
              <w:right w:val="single" w:sz="4" w:space="0" w:color="auto"/>
            </w:tcBorders>
            <w:shd w:val="clear" w:color="000000" w:fill="FFFFFF"/>
            <w:noWrap/>
            <w:hideMark/>
          </w:tcPr>
          <w:p w14:paraId="709EE6C1" w14:textId="77777777" w:rsidR="00626AB9" w:rsidRPr="00CE18FC" w:rsidRDefault="00626AB9" w:rsidP="00A556AE">
            <w:pPr>
              <w:spacing w:after="0" w:line="240" w:lineRule="auto"/>
              <w:jc w:val="center"/>
              <w:rPr>
                <w:rFonts w:eastAsia="Times New Roman" w:cs="Arial"/>
                <w:color w:val="000000"/>
                <w:sz w:val="16"/>
                <w:szCs w:val="16"/>
              </w:rPr>
            </w:pPr>
            <w:r w:rsidRPr="00CE18FC">
              <w:rPr>
                <w:rFonts w:eastAsia="Times New Roman" w:cs="Arial"/>
                <w:color w:val="000000"/>
                <w:sz w:val="16"/>
                <w:szCs w:val="16"/>
              </w:rPr>
              <w:t> </w:t>
            </w:r>
          </w:p>
        </w:tc>
        <w:tc>
          <w:tcPr>
            <w:tcW w:w="1320" w:type="dxa"/>
            <w:tcBorders>
              <w:top w:val="nil"/>
              <w:left w:val="nil"/>
              <w:bottom w:val="single" w:sz="4" w:space="0" w:color="auto"/>
              <w:right w:val="single" w:sz="4" w:space="0" w:color="auto"/>
            </w:tcBorders>
            <w:shd w:val="clear" w:color="000000" w:fill="FFFFFF"/>
            <w:noWrap/>
            <w:hideMark/>
          </w:tcPr>
          <w:p w14:paraId="1B076424"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Inicial</w:t>
            </w:r>
          </w:p>
        </w:tc>
        <w:tc>
          <w:tcPr>
            <w:tcW w:w="1320" w:type="dxa"/>
            <w:tcBorders>
              <w:top w:val="nil"/>
              <w:left w:val="nil"/>
              <w:bottom w:val="single" w:sz="4" w:space="0" w:color="auto"/>
              <w:right w:val="single" w:sz="4" w:space="0" w:color="auto"/>
            </w:tcBorders>
            <w:shd w:val="clear" w:color="000000" w:fill="FFFFFF"/>
            <w:noWrap/>
            <w:hideMark/>
          </w:tcPr>
          <w:p w14:paraId="05996D75" w14:textId="77777777" w:rsidR="00626AB9" w:rsidRPr="00CE18FC" w:rsidRDefault="00626AB9" w:rsidP="00A556AE">
            <w:pPr>
              <w:spacing w:after="0" w:line="240" w:lineRule="auto"/>
              <w:jc w:val="center"/>
              <w:rPr>
                <w:rFonts w:eastAsia="Times New Roman" w:cs="Arial"/>
                <w:color w:val="000000"/>
                <w:sz w:val="18"/>
                <w:szCs w:val="18"/>
              </w:rPr>
            </w:pPr>
            <w:r w:rsidRPr="001664F4">
              <w:rPr>
                <w:rFonts w:eastAsia="Times New Roman" w:cs="Arial"/>
                <w:color w:val="000000"/>
                <w:sz w:val="18"/>
                <w:szCs w:val="18"/>
              </w:rPr>
              <w:t>Ratifica</w:t>
            </w:r>
          </w:p>
        </w:tc>
        <w:tc>
          <w:tcPr>
            <w:tcW w:w="979" w:type="dxa"/>
            <w:tcBorders>
              <w:top w:val="nil"/>
              <w:left w:val="nil"/>
              <w:bottom w:val="single" w:sz="4" w:space="0" w:color="auto"/>
              <w:right w:val="single" w:sz="8" w:space="0" w:color="auto"/>
            </w:tcBorders>
            <w:shd w:val="clear" w:color="000000" w:fill="FFFFFF"/>
            <w:noWrap/>
            <w:hideMark/>
          </w:tcPr>
          <w:p w14:paraId="6A08D3B4"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 </w:t>
            </w:r>
          </w:p>
        </w:tc>
      </w:tr>
      <w:tr w:rsidR="00626AB9" w:rsidRPr="00CE18FC" w14:paraId="51AAA59B" w14:textId="77777777" w:rsidTr="00384441">
        <w:trPr>
          <w:trHeight w:val="300"/>
        </w:trPr>
        <w:tc>
          <w:tcPr>
            <w:tcW w:w="2520"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14:paraId="17990CCF" w14:textId="77777777" w:rsidR="00626AB9" w:rsidRPr="00CE18FC" w:rsidRDefault="00626AB9" w:rsidP="00A556AE">
            <w:pPr>
              <w:spacing w:after="0" w:line="240" w:lineRule="auto"/>
              <w:rPr>
                <w:rFonts w:eastAsia="Times New Roman" w:cs="Arial"/>
                <w:color w:val="000000"/>
              </w:rPr>
            </w:pPr>
            <w:r w:rsidRPr="001664F4">
              <w:rPr>
                <w:rFonts w:eastAsia="Times New Roman" w:cs="Arial"/>
                <w:color w:val="000000"/>
              </w:rPr>
              <w:t>Bans</w:t>
            </w:r>
            <w:r>
              <w:rPr>
                <w:rFonts w:eastAsia="Times New Roman" w:cs="Arial"/>
                <w:color w:val="000000"/>
              </w:rPr>
              <w:t>í</w:t>
            </w:r>
            <w:r w:rsidRPr="001664F4">
              <w:rPr>
                <w:rFonts w:eastAsia="Times New Roman" w:cs="Arial"/>
                <w:color w:val="000000"/>
              </w:rPr>
              <w:t xml:space="preserve"> $</w:t>
            </w:r>
            <w:r w:rsidRPr="00CE18FC">
              <w:rPr>
                <w:rFonts w:eastAsia="Times New Roman" w:cs="Arial"/>
                <w:color w:val="000000"/>
              </w:rPr>
              <w:t>500.0 mdp</w:t>
            </w:r>
            <w:r>
              <w:rPr>
                <w:rFonts w:eastAsia="Times New Roman" w:cs="Arial"/>
                <w:color w:val="000000"/>
              </w:rPr>
              <w:t>.</w:t>
            </w:r>
          </w:p>
        </w:tc>
        <w:tc>
          <w:tcPr>
            <w:tcW w:w="1320" w:type="dxa"/>
            <w:tcBorders>
              <w:top w:val="nil"/>
              <w:left w:val="nil"/>
              <w:bottom w:val="nil"/>
              <w:right w:val="single" w:sz="4" w:space="0" w:color="auto"/>
            </w:tcBorders>
            <w:shd w:val="clear" w:color="000000" w:fill="FFFFFF"/>
            <w:noWrap/>
            <w:vAlign w:val="bottom"/>
            <w:hideMark/>
          </w:tcPr>
          <w:p w14:paraId="658D290E"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 </w:t>
            </w:r>
          </w:p>
        </w:tc>
        <w:tc>
          <w:tcPr>
            <w:tcW w:w="1320" w:type="dxa"/>
            <w:tcBorders>
              <w:top w:val="nil"/>
              <w:left w:val="nil"/>
              <w:bottom w:val="nil"/>
              <w:right w:val="single" w:sz="4" w:space="0" w:color="auto"/>
            </w:tcBorders>
            <w:shd w:val="clear" w:color="000000" w:fill="FFFFFF"/>
            <w:noWrap/>
            <w:vAlign w:val="bottom"/>
            <w:hideMark/>
          </w:tcPr>
          <w:p w14:paraId="736CDF57"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A (E)</w:t>
            </w:r>
          </w:p>
        </w:tc>
        <w:tc>
          <w:tcPr>
            <w:tcW w:w="1320" w:type="dxa"/>
            <w:tcBorders>
              <w:top w:val="nil"/>
              <w:left w:val="nil"/>
              <w:bottom w:val="nil"/>
              <w:right w:val="single" w:sz="4" w:space="0" w:color="auto"/>
            </w:tcBorders>
            <w:shd w:val="clear" w:color="000000" w:fill="FFFFFF"/>
            <w:noWrap/>
            <w:vAlign w:val="bottom"/>
            <w:hideMark/>
          </w:tcPr>
          <w:p w14:paraId="32C103F8"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A + (E)</w:t>
            </w:r>
          </w:p>
        </w:tc>
        <w:tc>
          <w:tcPr>
            <w:tcW w:w="1320" w:type="dxa"/>
            <w:tcBorders>
              <w:top w:val="nil"/>
              <w:left w:val="nil"/>
              <w:bottom w:val="nil"/>
              <w:right w:val="single" w:sz="4" w:space="0" w:color="auto"/>
            </w:tcBorders>
            <w:shd w:val="clear" w:color="000000" w:fill="FFFFFF"/>
            <w:noWrap/>
            <w:vAlign w:val="bottom"/>
            <w:hideMark/>
          </w:tcPr>
          <w:p w14:paraId="31C20235"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AA - (E)</w:t>
            </w:r>
          </w:p>
        </w:tc>
        <w:tc>
          <w:tcPr>
            <w:tcW w:w="979" w:type="dxa"/>
            <w:tcBorders>
              <w:top w:val="nil"/>
              <w:left w:val="nil"/>
              <w:bottom w:val="nil"/>
              <w:right w:val="single" w:sz="8" w:space="0" w:color="auto"/>
            </w:tcBorders>
            <w:shd w:val="clear" w:color="000000" w:fill="FFFFFF"/>
            <w:noWrap/>
            <w:vAlign w:val="bottom"/>
            <w:hideMark/>
          </w:tcPr>
          <w:p w14:paraId="7ADB7F2C" w14:textId="77777777" w:rsidR="00626AB9" w:rsidRPr="00CE18FC" w:rsidRDefault="00626AB9" w:rsidP="00A556AE">
            <w:pPr>
              <w:spacing w:after="0" w:line="240" w:lineRule="auto"/>
              <w:jc w:val="center"/>
              <w:rPr>
                <w:rFonts w:eastAsia="Times New Roman" w:cs="Arial"/>
                <w:color w:val="000000"/>
              </w:rPr>
            </w:pPr>
            <w:r w:rsidRPr="00CE18FC">
              <w:rPr>
                <w:rFonts w:eastAsia="Times New Roman" w:cs="Arial"/>
                <w:color w:val="000000"/>
              </w:rPr>
              <w:t> </w:t>
            </w:r>
          </w:p>
        </w:tc>
      </w:tr>
      <w:tr w:rsidR="00626AB9" w:rsidRPr="00CE18FC" w14:paraId="0E278EA6" w14:textId="77777777" w:rsidTr="00384441">
        <w:trPr>
          <w:trHeight w:val="225"/>
        </w:trPr>
        <w:tc>
          <w:tcPr>
            <w:tcW w:w="2520" w:type="dxa"/>
            <w:vMerge/>
            <w:tcBorders>
              <w:top w:val="nil"/>
              <w:left w:val="single" w:sz="8" w:space="0" w:color="auto"/>
              <w:bottom w:val="single" w:sz="8" w:space="0" w:color="000000"/>
              <w:right w:val="single" w:sz="4" w:space="0" w:color="auto"/>
            </w:tcBorders>
            <w:vAlign w:val="center"/>
            <w:hideMark/>
          </w:tcPr>
          <w:p w14:paraId="1AA0176F" w14:textId="77777777" w:rsidR="00626AB9" w:rsidRPr="00CE18FC" w:rsidRDefault="00626AB9" w:rsidP="00A556AE">
            <w:pPr>
              <w:spacing w:after="0" w:line="240" w:lineRule="auto"/>
              <w:rPr>
                <w:rFonts w:eastAsia="Times New Roman" w:cs="Arial"/>
                <w:color w:val="000000"/>
              </w:rPr>
            </w:pPr>
          </w:p>
        </w:tc>
        <w:tc>
          <w:tcPr>
            <w:tcW w:w="1320" w:type="dxa"/>
            <w:tcBorders>
              <w:top w:val="nil"/>
              <w:left w:val="nil"/>
              <w:bottom w:val="single" w:sz="8" w:space="0" w:color="auto"/>
              <w:right w:val="single" w:sz="4" w:space="0" w:color="auto"/>
            </w:tcBorders>
            <w:shd w:val="clear" w:color="000000" w:fill="FFFFFF"/>
            <w:noWrap/>
            <w:hideMark/>
          </w:tcPr>
          <w:p w14:paraId="0AAFB4ED" w14:textId="77777777" w:rsidR="00626AB9" w:rsidRPr="00CE18FC" w:rsidRDefault="00626AB9" w:rsidP="00A556AE">
            <w:pPr>
              <w:spacing w:after="0" w:line="240" w:lineRule="auto"/>
              <w:jc w:val="center"/>
              <w:rPr>
                <w:rFonts w:eastAsia="Times New Roman" w:cs="Arial"/>
                <w:color w:val="000000"/>
                <w:sz w:val="16"/>
                <w:szCs w:val="16"/>
              </w:rPr>
            </w:pPr>
            <w:r w:rsidRPr="00CE18FC">
              <w:rPr>
                <w:rFonts w:eastAsia="Times New Roman" w:cs="Arial"/>
                <w:color w:val="000000"/>
                <w:sz w:val="16"/>
                <w:szCs w:val="16"/>
              </w:rPr>
              <w:t> </w:t>
            </w:r>
          </w:p>
        </w:tc>
        <w:tc>
          <w:tcPr>
            <w:tcW w:w="1320" w:type="dxa"/>
            <w:tcBorders>
              <w:top w:val="nil"/>
              <w:left w:val="nil"/>
              <w:bottom w:val="single" w:sz="8" w:space="0" w:color="auto"/>
              <w:right w:val="single" w:sz="4" w:space="0" w:color="auto"/>
            </w:tcBorders>
            <w:shd w:val="clear" w:color="000000" w:fill="FFFFFF"/>
            <w:noWrap/>
            <w:hideMark/>
          </w:tcPr>
          <w:p w14:paraId="11BC9309"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Inicial</w:t>
            </w:r>
          </w:p>
        </w:tc>
        <w:tc>
          <w:tcPr>
            <w:tcW w:w="1320" w:type="dxa"/>
            <w:tcBorders>
              <w:top w:val="nil"/>
              <w:left w:val="nil"/>
              <w:bottom w:val="single" w:sz="8" w:space="0" w:color="auto"/>
              <w:right w:val="single" w:sz="4" w:space="0" w:color="auto"/>
            </w:tcBorders>
            <w:shd w:val="clear" w:color="000000" w:fill="FFFFFF"/>
            <w:noWrap/>
            <w:hideMark/>
          </w:tcPr>
          <w:p w14:paraId="0A6176D2"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Alza</w:t>
            </w:r>
          </w:p>
        </w:tc>
        <w:tc>
          <w:tcPr>
            <w:tcW w:w="1320" w:type="dxa"/>
            <w:tcBorders>
              <w:top w:val="nil"/>
              <w:left w:val="nil"/>
              <w:bottom w:val="single" w:sz="8" w:space="0" w:color="auto"/>
              <w:right w:val="single" w:sz="4" w:space="0" w:color="auto"/>
            </w:tcBorders>
            <w:shd w:val="clear" w:color="000000" w:fill="FFFFFF"/>
            <w:noWrap/>
            <w:hideMark/>
          </w:tcPr>
          <w:p w14:paraId="581812C1"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Alza</w:t>
            </w:r>
          </w:p>
        </w:tc>
        <w:tc>
          <w:tcPr>
            <w:tcW w:w="979" w:type="dxa"/>
            <w:tcBorders>
              <w:top w:val="nil"/>
              <w:left w:val="nil"/>
              <w:bottom w:val="single" w:sz="8" w:space="0" w:color="auto"/>
              <w:right w:val="single" w:sz="8" w:space="0" w:color="auto"/>
            </w:tcBorders>
            <w:shd w:val="clear" w:color="000000" w:fill="FFFFFF"/>
            <w:noWrap/>
            <w:hideMark/>
          </w:tcPr>
          <w:p w14:paraId="2E94665B" w14:textId="77777777" w:rsidR="00626AB9" w:rsidRPr="00CE18FC" w:rsidRDefault="00626AB9" w:rsidP="00A556AE">
            <w:pPr>
              <w:spacing w:after="0" w:line="240" w:lineRule="auto"/>
              <w:jc w:val="center"/>
              <w:rPr>
                <w:rFonts w:eastAsia="Times New Roman" w:cs="Arial"/>
                <w:color w:val="000000"/>
                <w:sz w:val="18"/>
                <w:szCs w:val="18"/>
              </w:rPr>
            </w:pPr>
            <w:r w:rsidRPr="00CE18FC">
              <w:rPr>
                <w:rFonts w:eastAsia="Times New Roman" w:cs="Arial"/>
                <w:color w:val="000000"/>
                <w:sz w:val="18"/>
                <w:szCs w:val="18"/>
              </w:rPr>
              <w:t> </w:t>
            </w:r>
          </w:p>
        </w:tc>
      </w:tr>
    </w:tbl>
    <w:p w14:paraId="1B384114" w14:textId="6CAAAFCB" w:rsidR="00261A27" w:rsidRPr="00626AB9" w:rsidRDefault="00626AB9" w:rsidP="00626AB9">
      <w:pPr>
        <w:rPr>
          <w:rFonts w:cs="Arial"/>
          <w:sz w:val="18"/>
          <w:szCs w:val="18"/>
        </w:rPr>
      </w:pPr>
      <w:r w:rsidRPr="00EA5865">
        <w:rPr>
          <w:rFonts w:cs="Arial"/>
          <w:sz w:val="18"/>
          <w:szCs w:val="18"/>
        </w:rPr>
        <w:t xml:space="preserve">Fuente: Elaborado </w:t>
      </w:r>
      <w:r>
        <w:rPr>
          <w:rFonts w:cs="Arial"/>
          <w:sz w:val="18"/>
          <w:szCs w:val="18"/>
        </w:rPr>
        <w:t>por Tesorería.</w:t>
      </w:r>
    </w:p>
    <w:p w14:paraId="58255C8E" w14:textId="77777777" w:rsidR="00261A27" w:rsidRPr="008913E4" w:rsidRDefault="00261A27" w:rsidP="00B205BA">
      <w:pPr>
        <w:spacing w:before="100" w:beforeAutospacing="1" w:after="120" w:line="240" w:lineRule="auto"/>
        <w:rPr>
          <w:rFonts w:cs="Arial"/>
          <w:color w:val="000000"/>
          <w:shd w:val="clear" w:color="auto" w:fill="FFFFFF"/>
          <w:lang w:eastAsia="es-MX"/>
        </w:rPr>
      </w:pPr>
      <w:r>
        <w:rPr>
          <w:rFonts w:cs="Arial"/>
          <w:color w:val="000000"/>
          <w:shd w:val="clear" w:color="auto" w:fill="FFFFFF"/>
          <w:lang w:eastAsia="es-MX"/>
        </w:rPr>
        <w:t xml:space="preserve">Por su parte, la calificadora </w:t>
      </w:r>
      <w:r w:rsidRPr="008913E4">
        <w:rPr>
          <w:rFonts w:cs="Arial"/>
          <w:color w:val="000000"/>
          <w:shd w:val="clear" w:color="auto" w:fill="FFFFFF"/>
          <w:lang w:eastAsia="es-MX"/>
        </w:rPr>
        <w:t>PCR Verum ratificó el 7 de julio de 2023 la calificación de largo plazo de ‘A-/M’ con perspectiva estable para el Municipio de Hermosillo. La calificación se fundamenta en su buena generación de ingresos propios como porcentaje de la mezcla total observada durante doce meses</w:t>
      </w:r>
      <w:r>
        <w:rPr>
          <w:rFonts w:cs="Arial"/>
          <w:color w:val="000000"/>
          <w:shd w:val="clear" w:color="auto" w:fill="FFFFFF"/>
          <w:lang w:eastAsia="es-MX"/>
        </w:rPr>
        <w:t xml:space="preserve"> previos a la fecha</w:t>
      </w:r>
      <w:r w:rsidRPr="008913E4">
        <w:rPr>
          <w:rFonts w:cs="Arial"/>
          <w:color w:val="000000"/>
          <w:shd w:val="clear" w:color="auto" w:fill="FFFFFF"/>
          <w:lang w:eastAsia="es-MX"/>
        </w:rPr>
        <w:t xml:space="preserve">, derivado de un fortalecimiento en su estructura de ingresos, todo ello en función de las políticas públicas implementadas por la </w:t>
      </w:r>
      <w:r>
        <w:rPr>
          <w:rFonts w:cs="Arial"/>
          <w:color w:val="000000"/>
          <w:shd w:val="clear" w:color="auto" w:fill="FFFFFF"/>
          <w:lang w:eastAsia="es-MX"/>
        </w:rPr>
        <w:t>a</w:t>
      </w:r>
      <w:r w:rsidRPr="008913E4">
        <w:rPr>
          <w:rFonts w:cs="Arial"/>
          <w:color w:val="000000"/>
          <w:shd w:val="clear" w:color="auto" w:fill="FFFFFF"/>
          <w:lang w:eastAsia="es-MX"/>
        </w:rPr>
        <w:t xml:space="preserve">dministración, que han robustecido su sistema de recaudación. </w:t>
      </w:r>
    </w:p>
    <w:p w14:paraId="2C5C8795" w14:textId="71858B75" w:rsidR="00261A27" w:rsidRPr="00AF0E23" w:rsidRDefault="00BD09D3" w:rsidP="00B205BA">
      <w:pPr>
        <w:spacing w:before="100" w:beforeAutospacing="1" w:after="120" w:line="240" w:lineRule="auto"/>
        <w:jc w:val="center"/>
        <w:rPr>
          <w:rFonts w:cs="Arial"/>
          <w:b/>
          <w:bCs/>
          <w:color w:val="000000"/>
          <w:shd w:val="clear" w:color="auto" w:fill="FFFFFF"/>
          <w:lang w:eastAsia="es-MX"/>
        </w:rPr>
      </w:pPr>
      <w:r w:rsidRPr="00AF0E23">
        <w:rPr>
          <w:rFonts w:cs="Arial"/>
          <w:b/>
          <w:bCs/>
          <w:color w:val="000000"/>
          <w:shd w:val="clear" w:color="auto" w:fill="FFFFFF"/>
          <w:lang w:eastAsia="es-MX"/>
        </w:rPr>
        <w:t>TABLA 3. REPORTE DE CALIFICACIONES</w:t>
      </w:r>
      <w:r w:rsidRPr="00450623">
        <w:rPr>
          <w:rFonts w:cs="Arial"/>
          <w:b/>
          <w:bCs/>
          <w:color w:val="000000"/>
          <w:shd w:val="clear" w:color="auto" w:fill="FFFFFF"/>
          <w:lang w:eastAsia="es-MX"/>
        </w:rPr>
        <w:t xml:space="preserve"> </w:t>
      </w:r>
      <w:r>
        <w:rPr>
          <w:rFonts w:cs="Arial"/>
          <w:b/>
          <w:bCs/>
          <w:color w:val="000000"/>
          <w:shd w:val="clear" w:color="auto" w:fill="FFFFFF"/>
          <w:lang w:eastAsia="es-MX"/>
        </w:rPr>
        <w:t xml:space="preserve">AL MUNICIPIO DE HERMOSILLO DE </w:t>
      </w:r>
      <w:r w:rsidRPr="003C6412">
        <w:rPr>
          <w:rFonts w:cs="Arial"/>
          <w:b/>
          <w:bCs/>
          <w:color w:val="000000"/>
          <w:shd w:val="clear" w:color="auto" w:fill="FFFFFF"/>
          <w:lang w:eastAsia="es-MX"/>
        </w:rPr>
        <w:t>202</w:t>
      </w:r>
      <w:r>
        <w:rPr>
          <w:rFonts w:cs="Arial"/>
          <w:b/>
          <w:bCs/>
          <w:color w:val="000000"/>
          <w:shd w:val="clear" w:color="auto" w:fill="FFFFFF"/>
          <w:lang w:eastAsia="es-MX"/>
        </w:rPr>
        <w:t xml:space="preserve">2 A </w:t>
      </w:r>
      <w:r w:rsidRPr="003C6412">
        <w:rPr>
          <w:rFonts w:cs="Arial"/>
          <w:b/>
          <w:bCs/>
          <w:color w:val="000000"/>
          <w:shd w:val="clear" w:color="auto" w:fill="FFFFFF"/>
          <w:lang w:eastAsia="es-MX"/>
        </w:rPr>
        <w:t>2024.</w:t>
      </w:r>
    </w:p>
    <w:tbl>
      <w:tblPr>
        <w:tblW w:w="8779" w:type="dxa"/>
        <w:tblCellMar>
          <w:left w:w="70" w:type="dxa"/>
          <w:right w:w="70" w:type="dxa"/>
        </w:tblCellMar>
        <w:tblLook w:val="04A0" w:firstRow="1" w:lastRow="0" w:firstColumn="1" w:lastColumn="0" w:noHBand="0" w:noVBand="1"/>
      </w:tblPr>
      <w:tblGrid>
        <w:gridCol w:w="3959"/>
        <w:gridCol w:w="1418"/>
        <w:gridCol w:w="1559"/>
        <w:gridCol w:w="1843"/>
      </w:tblGrid>
      <w:tr w:rsidR="00626AB9" w:rsidRPr="00A42FF0" w14:paraId="6B0E7B1E" w14:textId="77777777" w:rsidTr="00A556AE">
        <w:trPr>
          <w:trHeight w:val="390"/>
        </w:trPr>
        <w:tc>
          <w:tcPr>
            <w:tcW w:w="3959" w:type="dxa"/>
            <w:tcBorders>
              <w:top w:val="single" w:sz="8" w:space="0" w:color="auto"/>
              <w:left w:val="single" w:sz="8" w:space="0" w:color="auto"/>
              <w:bottom w:val="single" w:sz="4" w:space="0" w:color="auto"/>
              <w:right w:val="single" w:sz="4" w:space="0" w:color="auto"/>
            </w:tcBorders>
            <w:shd w:val="clear" w:color="auto" w:fill="ED7D31" w:themeFill="accent2"/>
            <w:vAlign w:val="center"/>
            <w:hideMark/>
          </w:tcPr>
          <w:p w14:paraId="5FA1C048" w14:textId="77777777" w:rsidR="00626AB9" w:rsidRPr="00A42FF0" w:rsidRDefault="00626AB9" w:rsidP="00A556AE">
            <w:pPr>
              <w:spacing w:after="0" w:line="240" w:lineRule="auto"/>
              <w:rPr>
                <w:rFonts w:eastAsia="Times New Roman" w:cs="Arial"/>
                <w:b/>
                <w:bCs/>
                <w:i/>
                <w:iCs/>
              </w:rPr>
            </w:pPr>
            <w:r w:rsidRPr="00A42FF0">
              <w:rPr>
                <w:rFonts w:eastAsia="Times New Roman" w:cs="Arial"/>
                <w:b/>
                <w:bCs/>
                <w:i/>
                <w:iCs/>
              </w:rPr>
              <w:t>PC VERUM</w:t>
            </w:r>
          </w:p>
        </w:tc>
        <w:tc>
          <w:tcPr>
            <w:tcW w:w="1418" w:type="dxa"/>
            <w:tcBorders>
              <w:top w:val="single" w:sz="8" w:space="0" w:color="auto"/>
              <w:left w:val="nil"/>
              <w:bottom w:val="single" w:sz="4" w:space="0" w:color="auto"/>
              <w:right w:val="single" w:sz="4" w:space="0" w:color="auto"/>
            </w:tcBorders>
            <w:shd w:val="clear" w:color="auto" w:fill="ED7D31" w:themeFill="accent2"/>
            <w:vAlign w:val="center"/>
            <w:hideMark/>
          </w:tcPr>
          <w:p w14:paraId="5B5A82DD" w14:textId="77777777" w:rsidR="00626AB9" w:rsidRPr="00A42FF0" w:rsidRDefault="00626AB9" w:rsidP="00A556AE">
            <w:pPr>
              <w:spacing w:after="0" w:line="240" w:lineRule="auto"/>
              <w:jc w:val="center"/>
              <w:rPr>
                <w:rFonts w:eastAsia="Times New Roman" w:cs="Arial"/>
                <w:b/>
                <w:bCs/>
                <w:i/>
                <w:iCs/>
              </w:rPr>
            </w:pPr>
            <w:r w:rsidRPr="00A42FF0">
              <w:rPr>
                <w:rFonts w:eastAsia="Times New Roman" w:cs="Arial"/>
                <w:b/>
                <w:bCs/>
                <w:i/>
                <w:iCs/>
              </w:rPr>
              <w:t>2022</w:t>
            </w:r>
          </w:p>
        </w:tc>
        <w:tc>
          <w:tcPr>
            <w:tcW w:w="1559" w:type="dxa"/>
            <w:tcBorders>
              <w:top w:val="single" w:sz="8" w:space="0" w:color="auto"/>
              <w:left w:val="nil"/>
              <w:bottom w:val="single" w:sz="4" w:space="0" w:color="auto"/>
              <w:right w:val="nil"/>
            </w:tcBorders>
            <w:shd w:val="clear" w:color="auto" w:fill="ED7D31" w:themeFill="accent2"/>
            <w:vAlign w:val="center"/>
            <w:hideMark/>
          </w:tcPr>
          <w:p w14:paraId="3A5B4A07" w14:textId="77777777" w:rsidR="00626AB9" w:rsidRPr="00A42FF0" w:rsidRDefault="00626AB9" w:rsidP="00A556AE">
            <w:pPr>
              <w:spacing w:after="0" w:line="240" w:lineRule="auto"/>
              <w:jc w:val="center"/>
              <w:rPr>
                <w:rFonts w:eastAsia="Times New Roman" w:cs="Arial"/>
                <w:b/>
                <w:bCs/>
                <w:i/>
                <w:iCs/>
              </w:rPr>
            </w:pPr>
            <w:r w:rsidRPr="00A42FF0">
              <w:rPr>
                <w:rFonts w:eastAsia="Times New Roman" w:cs="Arial"/>
                <w:b/>
                <w:bCs/>
                <w:i/>
                <w:iCs/>
              </w:rPr>
              <w:t>2023</w:t>
            </w:r>
          </w:p>
        </w:tc>
        <w:tc>
          <w:tcPr>
            <w:tcW w:w="1843" w:type="dxa"/>
            <w:tcBorders>
              <w:top w:val="single" w:sz="8" w:space="0" w:color="auto"/>
              <w:left w:val="single" w:sz="4" w:space="0" w:color="auto"/>
              <w:bottom w:val="single" w:sz="4" w:space="0" w:color="auto"/>
              <w:right w:val="single" w:sz="8" w:space="0" w:color="auto"/>
            </w:tcBorders>
            <w:shd w:val="clear" w:color="auto" w:fill="ED7D31" w:themeFill="accent2"/>
            <w:vAlign w:val="center"/>
            <w:hideMark/>
          </w:tcPr>
          <w:p w14:paraId="5B33BE0A" w14:textId="77777777" w:rsidR="00626AB9" w:rsidRPr="00A42FF0" w:rsidRDefault="00626AB9" w:rsidP="00A556AE">
            <w:pPr>
              <w:spacing w:after="0" w:line="240" w:lineRule="auto"/>
              <w:jc w:val="center"/>
              <w:rPr>
                <w:rFonts w:eastAsia="Times New Roman" w:cs="Arial"/>
                <w:b/>
                <w:bCs/>
                <w:i/>
                <w:iCs/>
              </w:rPr>
            </w:pPr>
            <w:r w:rsidRPr="00A42FF0">
              <w:rPr>
                <w:rFonts w:eastAsia="Times New Roman" w:cs="Arial"/>
                <w:b/>
                <w:bCs/>
                <w:i/>
                <w:iCs/>
              </w:rPr>
              <w:t>2024</w:t>
            </w:r>
          </w:p>
        </w:tc>
      </w:tr>
      <w:tr w:rsidR="00626AB9" w:rsidRPr="00A42FF0" w14:paraId="03B7F4B5" w14:textId="77777777" w:rsidTr="00A556AE">
        <w:trPr>
          <w:trHeight w:val="300"/>
        </w:trPr>
        <w:tc>
          <w:tcPr>
            <w:tcW w:w="3959"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259626E9" w14:textId="77777777" w:rsidR="00626AB9" w:rsidRPr="00A42FF0" w:rsidRDefault="00626AB9" w:rsidP="00A556AE">
            <w:pPr>
              <w:spacing w:after="0" w:line="240" w:lineRule="auto"/>
              <w:rPr>
                <w:rFonts w:eastAsia="Times New Roman" w:cs="Arial"/>
                <w:color w:val="000000"/>
              </w:rPr>
            </w:pPr>
            <w:r w:rsidRPr="00A42FF0">
              <w:rPr>
                <w:rFonts w:eastAsia="Times New Roman" w:cs="Arial"/>
                <w:color w:val="000000"/>
              </w:rPr>
              <w:t>Municipio de Hermosillo</w:t>
            </w:r>
          </w:p>
        </w:tc>
        <w:tc>
          <w:tcPr>
            <w:tcW w:w="1418" w:type="dxa"/>
            <w:tcBorders>
              <w:top w:val="nil"/>
              <w:left w:val="nil"/>
              <w:bottom w:val="nil"/>
              <w:right w:val="single" w:sz="4" w:space="0" w:color="auto"/>
            </w:tcBorders>
            <w:shd w:val="clear" w:color="auto" w:fill="auto"/>
            <w:noWrap/>
            <w:vAlign w:val="bottom"/>
            <w:hideMark/>
          </w:tcPr>
          <w:p w14:paraId="0C5F799C"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 -/M</w:t>
            </w:r>
          </w:p>
        </w:tc>
        <w:tc>
          <w:tcPr>
            <w:tcW w:w="1559" w:type="dxa"/>
            <w:tcBorders>
              <w:top w:val="nil"/>
              <w:left w:val="nil"/>
              <w:bottom w:val="nil"/>
              <w:right w:val="single" w:sz="4" w:space="0" w:color="auto"/>
            </w:tcBorders>
            <w:shd w:val="clear" w:color="auto" w:fill="auto"/>
            <w:noWrap/>
            <w:vAlign w:val="bottom"/>
            <w:hideMark/>
          </w:tcPr>
          <w:p w14:paraId="45C91BA8"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 -/M</w:t>
            </w:r>
          </w:p>
        </w:tc>
        <w:tc>
          <w:tcPr>
            <w:tcW w:w="1843" w:type="dxa"/>
            <w:tcBorders>
              <w:top w:val="nil"/>
              <w:left w:val="nil"/>
              <w:bottom w:val="nil"/>
              <w:right w:val="single" w:sz="8" w:space="0" w:color="auto"/>
            </w:tcBorders>
            <w:shd w:val="clear" w:color="auto" w:fill="auto"/>
            <w:noWrap/>
            <w:vAlign w:val="bottom"/>
            <w:hideMark/>
          </w:tcPr>
          <w:p w14:paraId="4F36C888"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 -/M</w:t>
            </w:r>
          </w:p>
        </w:tc>
      </w:tr>
      <w:tr w:rsidR="00626AB9" w:rsidRPr="00A42FF0" w14:paraId="32607F88" w14:textId="77777777" w:rsidTr="00A556AE">
        <w:trPr>
          <w:trHeight w:val="750"/>
        </w:trPr>
        <w:tc>
          <w:tcPr>
            <w:tcW w:w="3959" w:type="dxa"/>
            <w:vMerge/>
            <w:tcBorders>
              <w:top w:val="nil"/>
              <w:left w:val="single" w:sz="8" w:space="0" w:color="auto"/>
              <w:bottom w:val="single" w:sz="4" w:space="0" w:color="auto"/>
              <w:right w:val="single" w:sz="4" w:space="0" w:color="auto"/>
            </w:tcBorders>
            <w:vAlign w:val="center"/>
            <w:hideMark/>
          </w:tcPr>
          <w:p w14:paraId="43337B6D" w14:textId="77777777" w:rsidR="00626AB9" w:rsidRPr="00A42FF0" w:rsidRDefault="00626AB9" w:rsidP="00A556AE">
            <w:pPr>
              <w:spacing w:after="0" w:line="240" w:lineRule="auto"/>
              <w:rPr>
                <w:rFonts w:eastAsia="Times New Roman" w:cs="Arial"/>
                <w:color w:val="000000"/>
              </w:rPr>
            </w:pPr>
          </w:p>
        </w:tc>
        <w:tc>
          <w:tcPr>
            <w:tcW w:w="1418" w:type="dxa"/>
            <w:tcBorders>
              <w:top w:val="nil"/>
              <w:left w:val="nil"/>
              <w:bottom w:val="single" w:sz="4" w:space="0" w:color="auto"/>
              <w:right w:val="single" w:sz="4" w:space="0" w:color="auto"/>
            </w:tcBorders>
            <w:shd w:val="clear" w:color="auto" w:fill="auto"/>
            <w:vAlign w:val="center"/>
            <w:hideMark/>
          </w:tcPr>
          <w:p w14:paraId="2912DCDD" w14:textId="77777777" w:rsidR="00626AB9" w:rsidRPr="00A42FF0" w:rsidRDefault="00626AB9" w:rsidP="00A556AE">
            <w:pPr>
              <w:spacing w:after="0" w:line="240" w:lineRule="auto"/>
              <w:jc w:val="center"/>
              <w:rPr>
                <w:rFonts w:eastAsia="Times New Roman"/>
                <w:color w:val="000000"/>
                <w:sz w:val="18"/>
                <w:szCs w:val="18"/>
              </w:rPr>
            </w:pPr>
            <w:r w:rsidRPr="00A42FF0">
              <w:rPr>
                <w:rFonts w:eastAsia="Times New Roman"/>
                <w:color w:val="000000"/>
                <w:sz w:val="18"/>
                <w:szCs w:val="18"/>
              </w:rPr>
              <w:t>Perspectiva estable</w:t>
            </w:r>
          </w:p>
        </w:tc>
        <w:tc>
          <w:tcPr>
            <w:tcW w:w="1559" w:type="dxa"/>
            <w:tcBorders>
              <w:top w:val="nil"/>
              <w:left w:val="nil"/>
              <w:bottom w:val="single" w:sz="4" w:space="0" w:color="auto"/>
              <w:right w:val="single" w:sz="4" w:space="0" w:color="auto"/>
            </w:tcBorders>
            <w:shd w:val="clear" w:color="auto" w:fill="auto"/>
            <w:vAlign w:val="center"/>
            <w:hideMark/>
          </w:tcPr>
          <w:p w14:paraId="53AFE313" w14:textId="77777777" w:rsidR="00626AB9" w:rsidRPr="00A42FF0" w:rsidRDefault="00626AB9" w:rsidP="00A556AE">
            <w:pPr>
              <w:spacing w:after="0" w:line="240" w:lineRule="auto"/>
              <w:jc w:val="center"/>
              <w:rPr>
                <w:rFonts w:eastAsia="Times New Roman"/>
                <w:color w:val="000000"/>
                <w:sz w:val="18"/>
                <w:szCs w:val="18"/>
              </w:rPr>
            </w:pPr>
            <w:r w:rsidRPr="00A42FF0">
              <w:rPr>
                <w:rFonts w:eastAsia="Times New Roman"/>
                <w:color w:val="000000"/>
                <w:sz w:val="18"/>
                <w:szCs w:val="18"/>
              </w:rPr>
              <w:t>Perspectiva estable</w:t>
            </w:r>
          </w:p>
        </w:tc>
        <w:tc>
          <w:tcPr>
            <w:tcW w:w="1843" w:type="dxa"/>
            <w:tcBorders>
              <w:top w:val="nil"/>
              <w:left w:val="nil"/>
              <w:bottom w:val="single" w:sz="4" w:space="0" w:color="auto"/>
              <w:right w:val="single" w:sz="8" w:space="0" w:color="auto"/>
            </w:tcBorders>
            <w:shd w:val="clear" w:color="auto" w:fill="auto"/>
            <w:vAlign w:val="bottom"/>
            <w:hideMark/>
          </w:tcPr>
          <w:p w14:paraId="1DA7331C" w14:textId="77777777" w:rsidR="00626AB9" w:rsidRPr="00A42FF0" w:rsidRDefault="00626AB9" w:rsidP="00A556AE">
            <w:pPr>
              <w:spacing w:after="0" w:line="240" w:lineRule="auto"/>
              <w:jc w:val="center"/>
              <w:rPr>
                <w:rFonts w:eastAsia="Times New Roman"/>
                <w:color w:val="000000"/>
                <w:sz w:val="18"/>
                <w:szCs w:val="18"/>
              </w:rPr>
            </w:pPr>
            <w:r w:rsidRPr="00A42FF0">
              <w:rPr>
                <w:rFonts w:eastAsia="Times New Roman"/>
                <w:color w:val="000000"/>
                <w:sz w:val="18"/>
                <w:szCs w:val="18"/>
              </w:rPr>
              <w:t>Perspectiva estable   Ratifica</w:t>
            </w:r>
          </w:p>
        </w:tc>
      </w:tr>
      <w:tr w:rsidR="00626AB9" w:rsidRPr="00A42FF0" w14:paraId="13E84F1C" w14:textId="77777777" w:rsidTr="00A556AE">
        <w:trPr>
          <w:trHeight w:val="720"/>
        </w:trPr>
        <w:tc>
          <w:tcPr>
            <w:tcW w:w="3959" w:type="dxa"/>
            <w:tcBorders>
              <w:top w:val="nil"/>
              <w:left w:val="single" w:sz="8" w:space="0" w:color="auto"/>
              <w:bottom w:val="single" w:sz="4" w:space="0" w:color="auto"/>
              <w:right w:val="single" w:sz="4" w:space="0" w:color="auto"/>
            </w:tcBorders>
            <w:shd w:val="clear" w:color="000000" w:fill="FFFFFF"/>
            <w:noWrap/>
            <w:vAlign w:val="center"/>
            <w:hideMark/>
          </w:tcPr>
          <w:p w14:paraId="3B094D63" w14:textId="77777777" w:rsidR="00626AB9" w:rsidRPr="00A42FF0" w:rsidRDefault="00626AB9" w:rsidP="00A556AE">
            <w:pPr>
              <w:spacing w:after="0" w:line="240" w:lineRule="auto"/>
              <w:rPr>
                <w:rFonts w:eastAsia="Times New Roman"/>
                <w:color w:val="000000"/>
              </w:rPr>
            </w:pPr>
            <w:r w:rsidRPr="00A42FF0">
              <w:rPr>
                <w:rFonts w:eastAsia="Times New Roman"/>
                <w:color w:val="000000"/>
              </w:rPr>
              <w:t>Banobras  $708.9 mdp.</w:t>
            </w:r>
          </w:p>
        </w:tc>
        <w:tc>
          <w:tcPr>
            <w:tcW w:w="1418" w:type="dxa"/>
            <w:tcBorders>
              <w:top w:val="nil"/>
              <w:left w:val="nil"/>
              <w:bottom w:val="single" w:sz="4" w:space="0" w:color="auto"/>
              <w:right w:val="single" w:sz="4" w:space="0" w:color="auto"/>
            </w:tcBorders>
            <w:shd w:val="clear" w:color="auto" w:fill="auto"/>
            <w:noWrap/>
            <w:vAlign w:val="center"/>
            <w:hideMark/>
          </w:tcPr>
          <w:p w14:paraId="6EEAA5A8"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AA/M (e)</w:t>
            </w:r>
          </w:p>
        </w:tc>
        <w:tc>
          <w:tcPr>
            <w:tcW w:w="1559" w:type="dxa"/>
            <w:tcBorders>
              <w:top w:val="nil"/>
              <w:left w:val="nil"/>
              <w:bottom w:val="single" w:sz="4" w:space="0" w:color="auto"/>
              <w:right w:val="single" w:sz="4" w:space="0" w:color="auto"/>
            </w:tcBorders>
            <w:shd w:val="clear" w:color="auto" w:fill="auto"/>
            <w:noWrap/>
            <w:vAlign w:val="center"/>
            <w:hideMark/>
          </w:tcPr>
          <w:p w14:paraId="3AE1FDF1"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AA/M (e)</w:t>
            </w:r>
          </w:p>
        </w:tc>
        <w:tc>
          <w:tcPr>
            <w:tcW w:w="1843" w:type="dxa"/>
            <w:tcBorders>
              <w:top w:val="nil"/>
              <w:left w:val="nil"/>
              <w:bottom w:val="single" w:sz="4" w:space="0" w:color="auto"/>
              <w:right w:val="single" w:sz="8" w:space="0" w:color="auto"/>
            </w:tcBorders>
            <w:shd w:val="clear" w:color="auto" w:fill="auto"/>
            <w:vAlign w:val="center"/>
            <w:hideMark/>
          </w:tcPr>
          <w:p w14:paraId="0AD7CD36"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AA -/M (e) Ratifica</w:t>
            </w:r>
          </w:p>
        </w:tc>
      </w:tr>
      <w:tr w:rsidR="00626AB9" w:rsidRPr="00A42FF0" w14:paraId="506D0A78" w14:textId="77777777" w:rsidTr="00A556AE">
        <w:trPr>
          <w:trHeight w:val="720"/>
        </w:trPr>
        <w:tc>
          <w:tcPr>
            <w:tcW w:w="3959" w:type="dxa"/>
            <w:tcBorders>
              <w:top w:val="nil"/>
              <w:left w:val="single" w:sz="8" w:space="0" w:color="auto"/>
              <w:bottom w:val="single" w:sz="4" w:space="0" w:color="auto"/>
              <w:right w:val="single" w:sz="4" w:space="0" w:color="auto"/>
            </w:tcBorders>
            <w:shd w:val="clear" w:color="000000" w:fill="FFFFFF"/>
            <w:noWrap/>
            <w:vAlign w:val="center"/>
            <w:hideMark/>
          </w:tcPr>
          <w:p w14:paraId="522FAB61" w14:textId="77777777" w:rsidR="00626AB9" w:rsidRPr="00A42FF0" w:rsidRDefault="00626AB9" w:rsidP="00A556AE">
            <w:pPr>
              <w:spacing w:after="0" w:line="240" w:lineRule="auto"/>
              <w:rPr>
                <w:rFonts w:eastAsia="Times New Roman"/>
                <w:color w:val="000000"/>
              </w:rPr>
            </w:pPr>
            <w:r w:rsidRPr="00A42FF0">
              <w:rPr>
                <w:rFonts w:eastAsia="Times New Roman"/>
                <w:color w:val="000000"/>
              </w:rPr>
              <w:t>Banobras $500.0 mdp.</w:t>
            </w:r>
          </w:p>
        </w:tc>
        <w:tc>
          <w:tcPr>
            <w:tcW w:w="1418" w:type="dxa"/>
            <w:tcBorders>
              <w:top w:val="nil"/>
              <w:left w:val="nil"/>
              <w:bottom w:val="single" w:sz="4" w:space="0" w:color="auto"/>
              <w:right w:val="single" w:sz="4" w:space="0" w:color="auto"/>
            </w:tcBorders>
            <w:shd w:val="clear" w:color="auto" w:fill="auto"/>
            <w:noWrap/>
            <w:vAlign w:val="center"/>
            <w:hideMark/>
          </w:tcPr>
          <w:p w14:paraId="09CE89A6"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AA/M (e)</w:t>
            </w:r>
          </w:p>
        </w:tc>
        <w:tc>
          <w:tcPr>
            <w:tcW w:w="1559" w:type="dxa"/>
            <w:tcBorders>
              <w:top w:val="nil"/>
              <w:left w:val="nil"/>
              <w:bottom w:val="single" w:sz="4" w:space="0" w:color="auto"/>
              <w:right w:val="single" w:sz="4" w:space="0" w:color="auto"/>
            </w:tcBorders>
            <w:shd w:val="clear" w:color="auto" w:fill="auto"/>
            <w:noWrap/>
            <w:vAlign w:val="center"/>
            <w:hideMark/>
          </w:tcPr>
          <w:p w14:paraId="53835DE0"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AA/M (e)</w:t>
            </w:r>
          </w:p>
        </w:tc>
        <w:tc>
          <w:tcPr>
            <w:tcW w:w="1843" w:type="dxa"/>
            <w:tcBorders>
              <w:top w:val="nil"/>
              <w:left w:val="nil"/>
              <w:bottom w:val="single" w:sz="4" w:space="0" w:color="auto"/>
              <w:right w:val="single" w:sz="8" w:space="0" w:color="auto"/>
            </w:tcBorders>
            <w:shd w:val="clear" w:color="auto" w:fill="auto"/>
            <w:vAlign w:val="center"/>
            <w:hideMark/>
          </w:tcPr>
          <w:p w14:paraId="71B53988"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AA -/M (e) Ratifica</w:t>
            </w:r>
          </w:p>
        </w:tc>
      </w:tr>
      <w:tr w:rsidR="00626AB9" w:rsidRPr="00A42FF0" w14:paraId="22596C53" w14:textId="77777777" w:rsidTr="00A556AE">
        <w:trPr>
          <w:trHeight w:val="720"/>
        </w:trPr>
        <w:tc>
          <w:tcPr>
            <w:tcW w:w="3959" w:type="dxa"/>
            <w:tcBorders>
              <w:top w:val="nil"/>
              <w:left w:val="single" w:sz="8" w:space="0" w:color="auto"/>
              <w:bottom w:val="single" w:sz="8" w:space="0" w:color="auto"/>
              <w:right w:val="single" w:sz="4" w:space="0" w:color="auto"/>
            </w:tcBorders>
            <w:shd w:val="clear" w:color="000000" w:fill="FFFFFF"/>
            <w:noWrap/>
            <w:vAlign w:val="center"/>
            <w:hideMark/>
          </w:tcPr>
          <w:p w14:paraId="02378560" w14:textId="77777777" w:rsidR="00626AB9" w:rsidRPr="00A42FF0" w:rsidRDefault="00626AB9" w:rsidP="00A556AE">
            <w:pPr>
              <w:spacing w:after="0" w:line="240" w:lineRule="auto"/>
              <w:rPr>
                <w:rFonts w:eastAsia="Times New Roman"/>
                <w:color w:val="000000"/>
              </w:rPr>
            </w:pPr>
            <w:r w:rsidRPr="00A42FF0">
              <w:rPr>
                <w:rFonts w:eastAsia="Times New Roman"/>
                <w:color w:val="000000"/>
              </w:rPr>
              <w:t>Bansí  $500.0 mdp.</w:t>
            </w:r>
          </w:p>
        </w:tc>
        <w:tc>
          <w:tcPr>
            <w:tcW w:w="1418" w:type="dxa"/>
            <w:tcBorders>
              <w:top w:val="nil"/>
              <w:left w:val="nil"/>
              <w:bottom w:val="single" w:sz="8" w:space="0" w:color="auto"/>
              <w:right w:val="single" w:sz="4" w:space="0" w:color="auto"/>
            </w:tcBorders>
            <w:shd w:val="clear" w:color="auto" w:fill="auto"/>
            <w:noWrap/>
            <w:vAlign w:val="center"/>
            <w:hideMark/>
          </w:tcPr>
          <w:p w14:paraId="270456F1"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AA -/M (e)</w:t>
            </w:r>
          </w:p>
        </w:tc>
        <w:tc>
          <w:tcPr>
            <w:tcW w:w="1559" w:type="dxa"/>
            <w:tcBorders>
              <w:top w:val="nil"/>
              <w:left w:val="nil"/>
              <w:bottom w:val="single" w:sz="8" w:space="0" w:color="auto"/>
              <w:right w:val="single" w:sz="4" w:space="0" w:color="auto"/>
            </w:tcBorders>
            <w:shd w:val="clear" w:color="auto" w:fill="auto"/>
            <w:noWrap/>
            <w:vAlign w:val="center"/>
            <w:hideMark/>
          </w:tcPr>
          <w:p w14:paraId="6C8835B1"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AA -/M (e)</w:t>
            </w:r>
          </w:p>
        </w:tc>
        <w:tc>
          <w:tcPr>
            <w:tcW w:w="1843" w:type="dxa"/>
            <w:tcBorders>
              <w:top w:val="nil"/>
              <w:left w:val="nil"/>
              <w:bottom w:val="single" w:sz="8" w:space="0" w:color="auto"/>
              <w:right w:val="single" w:sz="8" w:space="0" w:color="auto"/>
            </w:tcBorders>
            <w:shd w:val="clear" w:color="auto" w:fill="auto"/>
            <w:vAlign w:val="center"/>
            <w:hideMark/>
          </w:tcPr>
          <w:p w14:paraId="4080A57C" w14:textId="77777777" w:rsidR="00626AB9" w:rsidRPr="00A42FF0" w:rsidRDefault="00626AB9" w:rsidP="00A556AE">
            <w:pPr>
              <w:spacing w:after="0" w:line="240" w:lineRule="auto"/>
              <w:jc w:val="center"/>
              <w:rPr>
                <w:rFonts w:eastAsia="Times New Roman"/>
                <w:color w:val="000000"/>
              </w:rPr>
            </w:pPr>
            <w:r w:rsidRPr="00A42FF0">
              <w:rPr>
                <w:rFonts w:eastAsia="Times New Roman"/>
                <w:color w:val="000000"/>
              </w:rPr>
              <w:t>AA -/M (e) Ratifica</w:t>
            </w:r>
          </w:p>
        </w:tc>
      </w:tr>
    </w:tbl>
    <w:p w14:paraId="4D937E6B" w14:textId="77777777" w:rsidR="00626AB9" w:rsidRDefault="00626AB9" w:rsidP="00626AB9">
      <w:pPr>
        <w:rPr>
          <w:rFonts w:cs="Arial"/>
          <w:sz w:val="18"/>
          <w:szCs w:val="18"/>
        </w:rPr>
      </w:pPr>
      <w:r w:rsidRPr="00EA5865">
        <w:rPr>
          <w:rFonts w:cs="Arial"/>
          <w:sz w:val="18"/>
          <w:szCs w:val="18"/>
        </w:rPr>
        <w:t xml:space="preserve">Fuente: Elaborado </w:t>
      </w:r>
      <w:r>
        <w:rPr>
          <w:rFonts w:cs="Arial"/>
          <w:sz w:val="18"/>
          <w:szCs w:val="18"/>
        </w:rPr>
        <w:t>por Tesorería.</w:t>
      </w:r>
    </w:p>
    <w:p w14:paraId="60775D07" w14:textId="5C9E489B" w:rsidR="007503ED" w:rsidRPr="00384441" w:rsidRDefault="00626AB9" w:rsidP="00384441">
      <w:pPr>
        <w:spacing w:after="120" w:line="240" w:lineRule="auto"/>
        <w:rPr>
          <w:rFonts w:cs="Arial"/>
          <w:color w:val="000000"/>
          <w:shd w:val="clear" w:color="auto" w:fill="FFFFFF"/>
          <w:lang w:eastAsia="es-MX"/>
        </w:rPr>
      </w:pPr>
      <w:r>
        <w:rPr>
          <w:rFonts w:cs="Arial"/>
          <w:sz w:val="18"/>
          <w:szCs w:val="18"/>
        </w:rPr>
        <w:t>A</w:t>
      </w:r>
      <w:r w:rsidR="00261A27">
        <w:rPr>
          <w:rFonts w:cs="Arial"/>
          <w:color w:val="000000"/>
          <w:shd w:val="clear" w:color="auto" w:fill="FFFFFF"/>
          <w:lang w:eastAsia="es-MX"/>
        </w:rPr>
        <w:t xml:space="preserve"> su vez, la calificadora </w:t>
      </w:r>
      <w:r w:rsidR="00261A27" w:rsidRPr="008913E4">
        <w:rPr>
          <w:rFonts w:cs="Arial"/>
          <w:color w:val="000000"/>
          <w:shd w:val="clear" w:color="auto" w:fill="FFFFFF"/>
          <w:lang w:eastAsia="es-MX"/>
        </w:rPr>
        <w:t>Fitch Ratings, en su reporte del 21 de mayo de 2024, elevó la calificación de largo plazo del Municipio de Hermosillo</w:t>
      </w:r>
      <w:r w:rsidR="00261A27">
        <w:rPr>
          <w:rFonts w:cs="Arial"/>
          <w:color w:val="000000"/>
          <w:shd w:val="clear" w:color="auto" w:fill="FFFFFF"/>
          <w:lang w:eastAsia="es-MX"/>
        </w:rPr>
        <w:t xml:space="preserve">, de </w:t>
      </w:r>
      <w:r w:rsidR="00261A27" w:rsidRPr="008913E4">
        <w:rPr>
          <w:rFonts w:cs="Arial"/>
          <w:color w:val="000000"/>
          <w:shd w:val="clear" w:color="auto" w:fill="FFFFFF"/>
          <w:lang w:eastAsia="es-MX"/>
        </w:rPr>
        <w:t xml:space="preserve">BB+, a BBB- con perspectiva estable. </w:t>
      </w:r>
      <w:r w:rsidR="00261A27">
        <w:rPr>
          <w:rFonts w:cs="Arial"/>
          <w:color w:val="000000"/>
          <w:shd w:val="clear" w:color="auto" w:fill="FFFFFF"/>
          <w:lang w:eastAsia="es-MX"/>
        </w:rPr>
        <w:t>Esta</w:t>
      </w:r>
      <w:r w:rsidR="00261A27" w:rsidRPr="008913E4">
        <w:rPr>
          <w:rFonts w:cs="Arial"/>
          <w:color w:val="000000"/>
          <w:shd w:val="clear" w:color="auto" w:fill="FFFFFF"/>
          <w:lang w:eastAsia="es-MX"/>
        </w:rPr>
        <w:t xml:space="preserve"> alza en la calificación se fundamenta en la mitigación de un riesgo asimétrico asociado a la gestión y gobernanza debid</w:t>
      </w:r>
      <w:r w:rsidR="00261A27">
        <w:rPr>
          <w:rFonts w:cs="Arial"/>
          <w:color w:val="000000"/>
          <w:shd w:val="clear" w:color="auto" w:fill="FFFFFF"/>
          <w:lang w:eastAsia="es-MX"/>
        </w:rPr>
        <w:t>a</w:t>
      </w:r>
      <w:r w:rsidR="00261A27" w:rsidRPr="008913E4">
        <w:rPr>
          <w:rFonts w:cs="Arial"/>
          <w:color w:val="000000"/>
          <w:shd w:val="clear" w:color="auto" w:fill="FFFFFF"/>
          <w:lang w:eastAsia="es-MX"/>
        </w:rPr>
        <w:t xml:space="preserve"> a la mejora continua en las prácticas administrativas y los planes de gestión implementados por el municipio.</w:t>
      </w:r>
    </w:p>
    <w:p w14:paraId="2E0FB6FD" w14:textId="75A9FE82" w:rsidR="00261A27" w:rsidRDefault="00BD09D3" w:rsidP="00B205BA">
      <w:pPr>
        <w:spacing w:before="100" w:beforeAutospacing="1" w:after="120" w:line="240" w:lineRule="auto"/>
        <w:jc w:val="center"/>
        <w:rPr>
          <w:rFonts w:cs="Arial"/>
          <w:b/>
          <w:bCs/>
          <w:color w:val="000000"/>
          <w:shd w:val="clear" w:color="auto" w:fill="FFFFFF"/>
          <w:lang w:eastAsia="es-MX"/>
        </w:rPr>
      </w:pPr>
      <w:r w:rsidRPr="00AF0E23">
        <w:rPr>
          <w:rFonts w:cs="Arial"/>
          <w:b/>
          <w:bCs/>
          <w:color w:val="000000"/>
          <w:shd w:val="clear" w:color="auto" w:fill="FFFFFF"/>
          <w:lang w:eastAsia="es-MX"/>
        </w:rPr>
        <w:t>TABLA 4. REPORTE DE CALIFICACIONES</w:t>
      </w:r>
      <w:r w:rsidRPr="00450623">
        <w:rPr>
          <w:rFonts w:cs="Arial"/>
          <w:b/>
          <w:bCs/>
          <w:color w:val="000000"/>
          <w:shd w:val="clear" w:color="auto" w:fill="FFFFFF"/>
          <w:lang w:eastAsia="es-MX"/>
        </w:rPr>
        <w:t xml:space="preserve"> </w:t>
      </w:r>
      <w:r>
        <w:rPr>
          <w:rFonts w:cs="Arial"/>
          <w:b/>
          <w:bCs/>
          <w:color w:val="000000"/>
          <w:shd w:val="clear" w:color="auto" w:fill="FFFFFF"/>
          <w:lang w:eastAsia="es-MX"/>
        </w:rPr>
        <w:t xml:space="preserve">AL MUNICIPIO DE HERMOSILLO DE </w:t>
      </w:r>
      <w:r w:rsidRPr="003C6412">
        <w:rPr>
          <w:rFonts w:cs="Arial"/>
          <w:b/>
          <w:bCs/>
          <w:color w:val="000000"/>
          <w:shd w:val="clear" w:color="auto" w:fill="FFFFFF"/>
          <w:lang w:eastAsia="es-MX"/>
        </w:rPr>
        <w:t>202</w:t>
      </w:r>
      <w:r>
        <w:rPr>
          <w:rFonts w:cs="Arial"/>
          <w:b/>
          <w:bCs/>
          <w:color w:val="000000"/>
          <w:shd w:val="clear" w:color="auto" w:fill="FFFFFF"/>
          <w:lang w:eastAsia="es-MX"/>
        </w:rPr>
        <w:t xml:space="preserve">1 A </w:t>
      </w:r>
      <w:r w:rsidRPr="003C6412">
        <w:rPr>
          <w:rFonts w:cs="Arial"/>
          <w:b/>
          <w:bCs/>
          <w:color w:val="000000"/>
          <w:shd w:val="clear" w:color="auto" w:fill="FFFFFF"/>
          <w:lang w:eastAsia="es-MX"/>
        </w:rPr>
        <w:t>2024</w:t>
      </w:r>
      <w:r w:rsidRPr="00AF0E23">
        <w:rPr>
          <w:rFonts w:cs="Arial"/>
          <w:b/>
          <w:bCs/>
          <w:color w:val="000000"/>
          <w:shd w:val="clear" w:color="auto" w:fill="FFFFFF"/>
          <w:lang w:eastAsia="es-MX"/>
        </w:rPr>
        <w:t>.</w:t>
      </w:r>
    </w:p>
    <w:tbl>
      <w:tblPr>
        <w:tblW w:w="8120" w:type="dxa"/>
        <w:tblCellMar>
          <w:left w:w="70" w:type="dxa"/>
          <w:right w:w="70" w:type="dxa"/>
        </w:tblCellMar>
        <w:tblLook w:val="04A0" w:firstRow="1" w:lastRow="0" w:firstColumn="1" w:lastColumn="0" w:noHBand="0" w:noVBand="1"/>
      </w:tblPr>
      <w:tblGrid>
        <w:gridCol w:w="2520"/>
        <w:gridCol w:w="1300"/>
        <w:gridCol w:w="1300"/>
        <w:gridCol w:w="1500"/>
        <w:gridCol w:w="1500"/>
      </w:tblGrid>
      <w:tr w:rsidR="00626AB9" w:rsidRPr="001664F4" w14:paraId="4D905419" w14:textId="77777777" w:rsidTr="00A556AE">
        <w:trPr>
          <w:trHeight w:val="390"/>
        </w:trPr>
        <w:tc>
          <w:tcPr>
            <w:tcW w:w="2520" w:type="dxa"/>
            <w:tcBorders>
              <w:top w:val="single" w:sz="8" w:space="0" w:color="auto"/>
              <w:left w:val="single" w:sz="8" w:space="0" w:color="auto"/>
              <w:bottom w:val="single" w:sz="4" w:space="0" w:color="auto"/>
              <w:right w:val="single" w:sz="4" w:space="0" w:color="auto"/>
            </w:tcBorders>
            <w:shd w:val="clear" w:color="auto" w:fill="ED7D31" w:themeFill="accent2"/>
            <w:vAlign w:val="center"/>
            <w:hideMark/>
          </w:tcPr>
          <w:p w14:paraId="280195E9" w14:textId="77777777" w:rsidR="00626AB9" w:rsidRPr="001664F4" w:rsidRDefault="00626AB9" w:rsidP="00A556AE">
            <w:pPr>
              <w:spacing w:after="0" w:line="240" w:lineRule="auto"/>
              <w:rPr>
                <w:rFonts w:eastAsia="Times New Roman" w:cs="Arial"/>
                <w:b/>
                <w:bCs/>
                <w:i/>
                <w:iCs/>
              </w:rPr>
            </w:pPr>
            <w:r w:rsidRPr="001664F4">
              <w:rPr>
                <w:rFonts w:eastAsia="Times New Roman" w:cs="Arial"/>
                <w:b/>
                <w:bCs/>
                <w:i/>
                <w:iCs/>
              </w:rPr>
              <w:t>FITCH RATINGS</w:t>
            </w:r>
          </w:p>
        </w:tc>
        <w:tc>
          <w:tcPr>
            <w:tcW w:w="1300" w:type="dxa"/>
            <w:tcBorders>
              <w:top w:val="single" w:sz="8" w:space="0" w:color="auto"/>
              <w:left w:val="nil"/>
              <w:bottom w:val="nil"/>
              <w:right w:val="single" w:sz="4" w:space="0" w:color="auto"/>
            </w:tcBorders>
            <w:shd w:val="clear" w:color="auto" w:fill="ED7D31" w:themeFill="accent2"/>
            <w:vAlign w:val="center"/>
            <w:hideMark/>
          </w:tcPr>
          <w:p w14:paraId="5FE0E688" w14:textId="77777777" w:rsidR="00626AB9" w:rsidRPr="001664F4" w:rsidRDefault="00626AB9" w:rsidP="00A556AE">
            <w:pPr>
              <w:spacing w:after="0" w:line="240" w:lineRule="auto"/>
              <w:jc w:val="center"/>
              <w:rPr>
                <w:rFonts w:eastAsia="Times New Roman" w:cs="Arial"/>
                <w:b/>
                <w:bCs/>
                <w:i/>
                <w:iCs/>
              </w:rPr>
            </w:pPr>
            <w:r w:rsidRPr="001664F4">
              <w:rPr>
                <w:rFonts w:eastAsia="Times New Roman" w:cs="Arial"/>
                <w:b/>
                <w:bCs/>
                <w:i/>
                <w:iCs/>
              </w:rPr>
              <w:t>2021</w:t>
            </w:r>
          </w:p>
        </w:tc>
        <w:tc>
          <w:tcPr>
            <w:tcW w:w="1300" w:type="dxa"/>
            <w:tcBorders>
              <w:top w:val="single" w:sz="8" w:space="0" w:color="auto"/>
              <w:left w:val="nil"/>
              <w:bottom w:val="nil"/>
              <w:right w:val="single" w:sz="4" w:space="0" w:color="auto"/>
            </w:tcBorders>
            <w:shd w:val="clear" w:color="auto" w:fill="ED7D31" w:themeFill="accent2"/>
            <w:vAlign w:val="center"/>
            <w:hideMark/>
          </w:tcPr>
          <w:p w14:paraId="51F8D5E8" w14:textId="77777777" w:rsidR="00626AB9" w:rsidRPr="001664F4" w:rsidRDefault="00626AB9" w:rsidP="00A556AE">
            <w:pPr>
              <w:spacing w:after="0" w:line="240" w:lineRule="auto"/>
              <w:jc w:val="center"/>
              <w:rPr>
                <w:rFonts w:eastAsia="Times New Roman" w:cs="Arial"/>
                <w:b/>
                <w:bCs/>
                <w:i/>
                <w:iCs/>
              </w:rPr>
            </w:pPr>
            <w:r w:rsidRPr="001664F4">
              <w:rPr>
                <w:rFonts w:eastAsia="Times New Roman" w:cs="Arial"/>
                <w:b/>
                <w:bCs/>
                <w:i/>
                <w:iCs/>
              </w:rPr>
              <w:t>2022</w:t>
            </w:r>
          </w:p>
        </w:tc>
        <w:tc>
          <w:tcPr>
            <w:tcW w:w="1500" w:type="dxa"/>
            <w:tcBorders>
              <w:top w:val="single" w:sz="8" w:space="0" w:color="auto"/>
              <w:left w:val="nil"/>
              <w:bottom w:val="nil"/>
              <w:right w:val="single" w:sz="8" w:space="0" w:color="auto"/>
            </w:tcBorders>
            <w:shd w:val="clear" w:color="auto" w:fill="ED7D31" w:themeFill="accent2"/>
            <w:vAlign w:val="center"/>
            <w:hideMark/>
          </w:tcPr>
          <w:p w14:paraId="523311B4" w14:textId="77777777" w:rsidR="00626AB9" w:rsidRPr="001664F4" w:rsidRDefault="00626AB9" w:rsidP="00A556AE">
            <w:pPr>
              <w:spacing w:after="0" w:line="240" w:lineRule="auto"/>
              <w:jc w:val="center"/>
              <w:rPr>
                <w:rFonts w:eastAsia="Times New Roman" w:cs="Arial"/>
                <w:b/>
                <w:bCs/>
                <w:i/>
                <w:iCs/>
              </w:rPr>
            </w:pPr>
            <w:r w:rsidRPr="001664F4">
              <w:rPr>
                <w:rFonts w:eastAsia="Times New Roman" w:cs="Arial"/>
                <w:b/>
                <w:bCs/>
                <w:i/>
                <w:iCs/>
              </w:rPr>
              <w:t>2023</w:t>
            </w:r>
          </w:p>
        </w:tc>
        <w:tc>
          <w:tcPr>
            <w:tcW w:w="1500" w:type="dxa"/>
            <w:tcBorders>
              <w:top w:val="single" w:sz="8" w:space="0" w:color="auto"/>
              <w:left w:val="single" w:sz="4" w:space="0" w:color="auto"/>
              <w:bottom w:val="nil"/>
              <w:right w:val="single" w:sz="8" w:space="0" w:color="auto"/>
            </w:tcBorders>
            <w:shd w:val="clear" w:color="auto" w:fill="ED7D31" w:themeFill="accent2"/>
            <w:vAlign w:val="center"/>
            <w:hideMark/>
          </w:tcPr>
          <w:p w14:paraId="0C3AF9DD" w14:textId="77777777" w:rsidR="00626AB9" w:rsidRPr="001664F4" w:rsidRDefault="00626AB9" w:rsidP="00A556AE">
            <w:pPr>
              <w:spacing w:after="0" w:line="240" w:lineRule="auto"/>
              <w:jc w:val="center"/>
              <w:rPr>
                <w:rFonts w:eastAsia="Times New Roman" w:cs="Arial"/>
                <w:b/>
                <w:bCs/>
                <w:i/>
                <w:iCs/>
              </w:rPr>
            </w:pPr>
            <w:r w:rsidRPr="001664F4">
              <w:rPr>
                <w:rFonts w:eastAsia="Times New Roman" w:cs="Arial"/>
                <w:b/>
                <w:bCs/>
                <w:i/>
                <w:iCs/>
              </w:rPr>
              <w:t>2024</w:t>
            </w:r>
          </w:p>
        </w:tc>
      </w:tr>
      <w:tr w:rsidR="00626AB9" w:rsidRPr="001664F4" w14:paraId="3424FCC8" w14:textId="77777777" w:rsidTr="00A556AE">
        <w:trPr>
          <w:trHeight w:val="300"/>
        </w:trPr>
        <w:tc>
          <w:tcPr>
            <w:tcW w:w="2520" w:type="dxa"/>
            <w:vMerge w:val="restart"/>
            <w:tcBorders>
              <w:top w:val="nil"/>
              <w:left w:val="single" w:sz="8" w:space="0" w:color="auto"/>
              <w:bottom w:val="single" w:sz="8" w:space="0" w:color="000000"/>
              <w:right w:val="nil"/>
            </w:tcBorders>
            <w:shd w:val="clear" w:color="000000" w:fill="FFFFFF"/>
            <w:noWrap/>
            <w:vAlign w:val="center"/>
            <w:hideMark/>
          </w:tcPr>
          <w:p w14:paraId="34F7217E" w14:textId="77777777" w:rsidR="00626AB9" w:rsidRPr="001664F4" w:rsidRDefault="00626AB9" w:rsidP="00A556AE">
            <w:pPr>
              <w:spacing w:after="0" w:line="240" w:lineRule="auto"/>
              <w:jc w:val="center"/>
              <w:rPr>
                <w:rFonts w:eastAsia="Times New Roman" w:cs="Arial"/>
                <w:color w:val="000000"/>
              </w:rPr>
            </w:pPr>
            <w:r w:rsidRPr="001664F4">
              <w:rPr>
                <w:rFonts w:eastAsia="Times New Roman" w:cs="Arial"/>
                <w:color w:val="000000"/>
              </w:rPr>
              <w:t>Municipio de Hermosillo</w:t>
            </w:r>
          </w:p>
        </w:tc>
        <w:tc>
          <w:tcPr>
            <w:tcW w:w="1300" w:type="dxa"/>
            <w:tcBorders>
              <w:top w:val="single" w:sz="4" w:space="0" w:color="auto"/>
              <w:left w:val="single" w:sz="4" w:space="0" w:color="auto"/>
              <w:bottom w:val="nil"/>
              <w:right w:val="single" w:sz="4" w:space="0" w:color="auto"/>
            </w:tcBorders>
            <w:shd w:val="clear" w:color="auto" w:fill="auto"/>
            <w:noWrap/>
            <w:vAlign w:val="bottom"/>
            <w:hideMark/>
          </w:tcPr>
          <w:p w14:paraId="07CCB385" w14:textId="77777777" w:rsidR="00626AB9" w:rsidRPr="001664F4" w:rsidRDefault="00626AB9" w:rsidP="00A556AE">
            <w:pPr>
              <w:spacing w:after="0" w:line="240" w:lineRule="auto"/>
              <w:jc w:val="center"/>
              <w:rPr>
                <w:rFonts w:eastAsia="Times New Roman"/>
                <w:color w:val="000000"/>
              </w:rPr>
            </w:pPr>
            <w:r w:rsidRPr="001664F4">
              <w:rPr>
                <w:rFonts w:eastAsia="Times New Roman"/>
                <w:color w:val="000000"/>
              </w:rPr>
              <w:t>B + (mex)</w:t>
            </w:r>
          </w:p>
        </w:tc>
        <w:tc>
          <w:tcPr>
            <w:tcW w:w="1300" w:type="dxa"/>
            <w:tcBorders>
              <w:top w:val="single" w:sz="4" w:space="0" w:color="auto"/>
              <w:left w:val="nil"/>
              <w:bottom w:val="nil"/>
              <w:right w:val="single" w:sz="4" w:space="0" w:color="auto"/>
            </w:tcBorders>
            <w:shd w:val="clear" w:color="auto" w:fill="auto"/>
            <w:noWrap/>
            <w:vAlign w:val="bottom"/>
            <w:hideMark/>
          </w:tcPr>
          <w:p w14:paraId="530FB980" w14:textId="77777777" w:rsidR="00626AB9" w:rsidRPr="001664F4" w:rsidRDefault="00626AB9" w:rsidP="00A556AE">
            <w:pPr>
              <w:spacing w:after="0" w:line="240" w:lineRule="auto"/>
              <w:jc w:val="center"/>
              <w:rPr>
                <w:rFonts w:eastAsia="Times New Roman"/>
                <w:color w:val="000000"/>
              </w:rPr>
            </w:pPr>
            <w:r w:rsidRPr="001664F4">
              <w:rPr>
                <w:rFonts w:eastAsia="Times New Roman"/>
                <w:color w:val="000000"/>
              </w:rPr>
              <w:t>BB + (mex)</w:t>
            </w:r>
          </w:p>
        </w:tc>
        <w:tc>
          <w:tcPr>
            <w:tcW w:w="1500" w:type="dxa"/>
            <w:tcBorders>
              <w:top w:val="single" w:sz="4" w:space="0" w:color="auto"/>
              <w:left w:val="nil"/>
              <w:bottom w:val="nil"/>
              <w:right w:val="single" w:sz="4" w:space="0" w:color="auto"/>
            </w:tcBorders>
            <w:shd w:val="clear" w:color="auto" w:fill="auto"/>
            <w:noWrap/>
            <w:vAlign w:val="bottom"/>
            <w:hideMark/>
          </w:tcPr>
          <w:p w14:paraId="1D4C4895" w14:textId="77777777" w:rsidR="00626AB9" w:rsidRPr="001664F4" w:rsidRDefault="00626AB9" w:rsidP="00A556AE">
            <w:pPr>
              <w:spacing w:after="0" w:line="240" w:lineRule="auto"/>
              <w:jc w:val="center"/>
              <w:rPr>
                <w:rFonts w:eastAsia="Times New Roman"/>
                <w:color w:val="000000"/>
              </w:rPr>
            </w:pPr>
            <w:r w:rsidRPr="001664F4">
              <w:rPr>
                <w:rFonts w:eastAsia="Times New Roman"/>
                <w:color w:val="000000"/>
              </w:rPr>
              <w:t>BB + (mex)</w:t>
            </w:r>
          </w:p>
        </w:tc>
        <w:tc>
          <w:tcPr>
            <w:tcW w:w="1500" w:type="dxa"/>
            <w:tcBorders>
              <w:top w:val="single" w:sz="4" w:space="0" w:color="auto"/>
              <w:left w:val="nil"/>
              <w:bottom w:val="nil"/>
              <w:right w:val="single" w:sz="8" w:space="0" w:color="auto"/>
            </w:tcBorders>
            <w:shd w:val="clear" w:color="auto" w:fill="auto"/>
            <w:noWrap/>
            <w:vAlign w:val="bottom"/>
            <w:hideMark/>
          </w:tcPr>
          <w:p w14:paraId="128930E2" w14:textId="77777777" w:rsidR="00626AB9" w:rsidRPr="001664F4" w:rsidRDefault="00626AB9" w:rsidP="00A556AE">
            <w:pPr>
              <w:spacing w:after="0" w:line="240" w:lineRule="auto"/>
              <w:jc w:val="center"/>
              <w:rPr>
                <w:rFonts w:eastAsia="Times New Roman"/>
                <w:color w:val="000000"/>
              </w:rPr>
            </w:pPr>
            <w:r w:rsidRPr="001664F4">
              <w:rPr>
                <w:rFonts w:eastAsia="Times New Roman"/>
                <w:color w:val="000000"/>
              </w:rPr>
              <w:t>BBB - (mex)</w:t>
            </w:r>
          </w:p>
        </w:tc>
      </w:tr>
      <w:tr w:rsidR="00626AB9" w:rsidRPr="001664F4" w14:paraId="516C65D0" w14:textId="77777777" w:rsidTr="00A556AE">
        <w:trPr>
          <w:trHeight w:val="495"/>
        </w:trPr>
        <w:tc>
          <w:tcPr>
            <w:tcW w:w="2520" w:type="dxa"/>
            <w:vMerge/>
            <w:tcBorders>
              <w:top w:val="nil"/>
              <w:left w:val="single" w:sz="8" w:space="0" w:color="auto"/>
              <w:bottom w:val="single" w:sz="8" w:space="0" w:color="000000"/>
              <w:right w:val="nil"/>
            </w:tcBorders>
            <w:vAlign w:val="center"/>
            <w:hideMark/>
          </w:tcPr>
          <w:p w14:paraId="0A0264B8" w14:textId="77777777" w:rsidR="00626AB9" w:rsidRPr="001664F4" w:rsidRDefault="00626AB9" w:rsidP="00A556AE">
            <w:pPr>
              <w:spacing w:after="0" w:line="240" w:lineRule="auto"/>
              <w:rPr>
                <w:rFonts w:eastAsia="Times New Roman" w:cs="Arial"/>
                <w:color w:val="000000"/>
              </w:rPr>
            </w:pPr>
          </w:p>
        </w:tc>
        <w:tc>
          <w:tcPr>
            <w:tcW w:w="1300" w:type="dxa"/>
            <w:tcBorders>
              <w:top w:val="nil"/>
              <w:left w:val="single" w:sz="4" w:space="0" w:color="auto"/>
              <w:bottom w:val="nil"/>
              <w:right w:val="single" w:sz="4" w:space="0" w:color="auto"/>
            </w:tcBorders>
            <w:shd w:val="clear" w:color="auto" w:fill="auto"/>
            <w:vAlign w:val="bottom"/>
            <w:hideMark/>
          </w:tcPr>
          <w:p w14:paraId="18DE9514" w14:textId="77777777" w:rsidR="00626AB9" w:rsidRPr="001664F4" w:rsidRDefault="00626AB9" w:rsidP="00A556AE">
            <w:pPr>
              <w:spacing w:after="0" w:line="240" w:lineRule="auto"/>
              <w:jc w:val="center"/>
              <w:rPr>
                <w:rFonts w:eastAsia="Times New Roman"/>
                <w:color w:val="000000"/>
                <w:sz w:val="18"/>
                <w:szCs w:val="18"/>
              </w:rPr>
            </w:pPr>
            <w:r w:rsidRPr="001664F4">
              <w:rPr>
                <w:rFonts w:eastAsia="Times New Roman"/>
                <w:color w:val="000000"/>
                <w:sz w:val="18"/>
                <w:szCs w:val="18"/>
              </w:rPr>
              <w:t>Perspectiva estable</w:t>
            </w:r>
          </w:p>
        </w:tc>
        <w:tc>
          <w:tcPr>
            <w:tcW w:w="1300" w:type="dxa"/>
            <w:tcBorders>
              <w:top w:val="nil"/>
              <w:left w:val="nil"/>
              <w:bottom w:val="nil"/>
              <w:right w:val="single" w:sz="4" w:space="0" w:color="auto"/>
            </w:tcBorders>
            <w:shd w:val="clear" w:color="auto" w:fill="auto"/>
            <w:vAlign w:val="bottom"/>
            <w:hideMark/>
          </w:tcPr>
          <w:p w14:paraId="2E09D684" w14:textId="77777777" w:rsidR="00626AB9" w:rsidRPr="001664F4" w:rsidRDefault="00626AB9" w:rsidP="00A556AE">
            <w:pPr>
              <w:spacing w:after="0" w:line="240" w:lineRule="auto"/>
              <w:jc w:val="center"/>
              <w:rPr>
                <w:rFonts w:eastAsia="Times New Roman"/>
                <w:color w:val="000000"/>
                <w:sz w:val="18"/>
                <w:szCs w:val="18"/>
              </w:rPr>
            </w:pPr>
            <w:r w:rsidRPr="001664F4">
              <w:rPr>
                <w:rFonts w:eastAsia="Times New Roman"/>
                <w:color w:val="000000"/>
                <w:sz w:val="18"/>
                <w:szCs w:val="18"/>
              </w:rPr>
              <w:t>Perspectiva estable</w:t>
            </w:r>
          </w:p>
        </w:tc>
        <w:tc>
          <w:tcPr>
            <w:tcW w:w="1500" w:type="dxa"/>
            <w:tcBorders>
              <w:top w:val="nil"/>
              <w:left w:val="nil"/>
              <w:bottom w:val="nil"/>
              <w:right w:val="single" w:sz="4" w:space="0" w:color="auto"/>
            </w:tcBorders>
            <w:shd w:val="clear" w:color="auto" w:fill="auto"/>
            <w:vAlign w:val="bottom"/>
            <w:hideMark/>
          </w:tcPr>
          <w:p w14:paraId="4A774CE9" w14:textId="77777777" w:rsidR="00626AB9" w:rsidRPr="001664F4" w:rsidRDefault="00626AB9" w:rsidP="00A556AE">
            <w:pPr>
              <w:spacing w:after="0" w:line="240" w:lineRule="auto"/>
              <w:jc w:val="center"/>
              <w:rPr>
                <w:rFonts w:eastAsia="Times New Roman"/>
                <w:color w:val="000000"/>
                <w:sz w:val="18"/>
                <w:szCs w:val="18"/>
              </w:rPr>
            </w:pPr>
            <w:r w:rsidRPr="001664F4">
              <w:rPr>
                <w:rFonts w:eastAsia="Times New Roman"/>
                <w:color w:val="000000"/>
                <w:sz w:val="18"/>
                <w:szCs w:val="18"/>
              </w:rPr>
              <w:t>Perspectiva estable</w:t>
            </w:r>
          </w:p>
        </w:tc>
        <w:tc>
          <w:tcPr>
            <w:tcW w:w="1500" w:type="dxa"/>
            <w:tcBorders>
              <w:top w:val="nil"/>
              <w:left w:val="nil"/>
              <w:bottom w:val="nil"/>
              <w:right w:val="single" w:sz="8" w:space="0" w:color="auto"/>
            </w:tcBorders>
            <w:shd w:val="clear" w:color="auto" w:fill="auto"/>
            <w:vAlign w:val="bottom"/>
            <w:hideMark/>
          </w:tcPr>
          <w:p w14:paraId="5DCE6102" w14:textId="77777777" w:rsidR="00626AB9" w:rsidRPr="001664F4" w:rsidRDefault="00626AB9" w:rsidP="00A556AE">
            <w:pPr>
              <w:spacing w:after="0" w:line="240" w:lineRule="auto"/>
              <w:jc w:val="center"/>
              <w:rPr>
                <w:rFonts w:eastAsia="Times New Roman"/>
                <w:color w:val="000000"/>
                <w:sz w:val="18"/>
                <w:szCs w:val="18"/>
              </w:rPr>
            </w:pPr>
            <w:r w:rsidRPr="001664F4">
              <w:rPr>
                <w:rFonts w:eastAsia="Times New Roman"/>
                <w:color w:val="000000"/>
                <w:sz w:val="18"/>
                <w:szCs w:val="18"/>
              </w:rPr>
              <w:t>Perspectiva estable</w:t>
            </w:r>
          </w:p>
        </w:tc>
      </w:tr>
      <w:tr w:rsidR="00626AB9" w:rsidRPr="001664F4" w14:paraId="6312160A" w14:textId="77777777" w:rsidTr="00A556AE">
        <w:trPr>
          <w:trHeight w:val="315"/>
        </w:trPr>
        <w:tc>
          <w:tcPr>
            <w:tcW w:w="2520" w:type="dxa"/>
            <w:vMerge/>
            <w:tcBorders>
              <w:top w:val="nil"/>
              <w:left w:val="single" w:sz="8" w:space="0" w:color="auto"/>
              <w:bottom w:val="single" w:sz="8" w:space="0" w:color="000000"/>
              <w:right w:val="nil"/>
            </w:tcBorders>
            <w:vAlign w:val="center"/>
            <w:hideMark/>
          </w:tcPr>
          <w:p w14:paraId="468ABF78" w14:textId="77777777" w:rsidR="00626AB9" w:rsidRPr="001664F4" w:rsidRDefault="00626AB9" w:rsidP="00A556AE">
            <w:pPr>
              <w:spacing w:after="0" w:line="240" w:lineRule="auto"/>
              <w:rPr>
                <w:rFonts w:eastAsia="Times New Roman" w:cs="Arial"/>
                <w:color w:val="000000"/>
              </w:rPr>
            </w:pPr>
          </w:p>
        </w:tc>
        <w:tc>
          <w:tcPr>
            <w:tcW w:w="1300" w:type="dxa"/>
            <w:tcBorders>
              <w:top w:val="nil"/>
              <w:left w:val="single" w:sz="4" w:space="0" w:color="auto"/>
              <w:bottom w:val="single" w:sz="8" w:space="0" w:color="auto"/>
              <w:right w:val="single" w:sz="4" w:space="0" w:color="auto"/>
            </w:tcBorders>
            <w:shd w:val="clear" w:color="auto" w:fill="auto"/>
            <w:noWrap/>
            <w:vAlign w:val="bottom"/>
            <w:hideMark/>
          </w:tcPr>
          <w:p w14:paraId="53E02F71" w14:textId="77777777" w:rsidR="00626AB9" w:rsidRPr="001664F4" w:rsidRDefault="00626AB9" w:rsidP="00A556AE">
            <w:pPr>
              <w:spacing w:after="0" w:line="240" w:lineRule="auto"/>
              <w:jc w:val="center"/>
              <w:rPr>
                <w:rFonts w:eastAsia="Times New Roman"/>
                <w:color w:val="000000"/>
                <w:sz w:val="20"/>
                <w:szCs w:val="20"/>
              </w:rPr>
            </w:pPr>
            <w:r w:rsidRPr="001664F4">
              <w:rPr>
                <w:rFonts w:eastAsia="Times New Roman"/>
                <w:color w:val="000000"/>
                <w:sz w:val="20"/>
                <w:szCs w:val="20"/>
              </w:rPr>
              <w:t>Bajo</w:t>
            </w:r>
          </w:p>
        </w:tc>
        <w:tc>
          <w:tcPr>
            <w:tcW w:w="1300" w:type="dxa"/>
            <w:tcBorders>
              <w:top w:val="nil"/>
              <w:left w:val="nil"/>
              <w:bottom w:val="single" w:sz="8" w:space="0" w:color="auto"/>
              <w:right w:val="single" w:sz="4" w:space="0" w:color="auto"/>
            </w:tcBorders>
            <w:shd w:val="clear" w:color="auto" w:fill="auto"/>
            <w:noWrap/>
            <w:vAlign w:val="bottom"/>
            <w:hideMark/>
          </w:tcPr>
          <w:p w14:paraId="5A88DB84" w14:textId="77777777" w:rsidR="00626AB9" w:rsidRPr="001664F4" w:rsidRDefault="00626AB9" w:rsidP="00A556AE">
            <w:pPr>
              <w:spacing w:after="0" w:line="240" w:lineRule="auto"/>
              <w:jc w:val="center"/>
              <w:rPr>
                <w:rFonts w:eastAsia="Times New Roman"/>
                <w:color w:val="000000"/>
                <w:sz w:val="20"/>
                <w:szCs w:val="20"/>
              </w:rPr>
            </w:pPr>
            <w:r w:rsidRPr="001664F4">
              <w:rPr>
                <w:rFonts w:eastAsia="Times New Roman"/>
                <w:color w:val="000000"/>
                <w:sz w:val="20"/>
                <w:szCs w:val="20"/>
              </w:rPr>
              <w:t>Subió</w:t>
            </w:r>
          </w:p>
        </w:tc>
        <w:tc>
          <w:tcPr>
            <w:tcW w:w="1500" w:type="dxa"/>
            <w:tcBorders>
              <w:top w:val="nil"/>
              <w:left w:val="nil"/>
              <w:bottom w:val="single" w:sz="8" w:space="0" w:color="auto"/>
              <w:right w:val="single" w:sz="4" w:space="0" w:color="auto"/>
            </w:tcBorders>
            <w:shd w:val="clear" w:color="auto" w:fill="auto"/>
            <w:noWrap/>
            <w:vAlign w:val="bottom"/>
            <w:hideMark/>
          </w:tcPr>
          <w:p w14:paraId="4F5A2C25" w14:textId="77777777" w:rsidR="00626AB9" w:rsidRPr="001664F4" w:rsidRDefault="00626AB9" w:rsidP="00A556AE">
            <w:pPr>
              <w:spacing w:after="0" w:line="240" w:lineRule="auto"/>
              <w:jc w:val="center"/>
              <w:rPr>
                <w:rFonts w:eastAsia="Times New Roman"/>
                <w:color w:val="000000"/>
                <w:sz w:val="20"/>
                <w:szCs w:val="20"/>
              </w:rPr>
            </w:pPr>
            <w:r w:rsidRPr="001664F4">
              <w:rPr>
                <w:rFonts w:eastAsia="Times New Roman"/>
                <w:color w:val="000000"/>
                <w:sz w:val="20"/>
                <w:szCs w:val="20"/>
              </w:rPr>
              <w:t>Afirmó</w:t>
            </w:r>
          </w:p>
        </w:tc>
        <w:tc>
          <w:tcPr>
            <w:tcW w:w="1500" w:type="dxa"/>
            <w:tcBorders>
              <w:top w:val="nil"/>
              <w:left w:val="nil"/>
              <w:bottom w:val="single" w:sz="8" w:space="0" w:color="auto"/>
              <w:right w:val="single" w:sz="8" w:space="0" w:color="auto"/>
            </w:tcBorders>
            <w:shd w:val="clear" w:color="auto" w:fill="auto"/>
            <w:noWrap/>
            <w:vAlign w:val="bottom"/>
            <w:hideMark/>
          </w:tcPr>
          <w:p w14:paraId="515C756F" w14:textId="77777777" w:rsidR="00626AB9" w:rsidRPr="001664F4" w:rsidRDefault="00626AB9" w:rsidP="00A556AE">
            <w:pPr>
              <w:spacing w:after="0" w:line="240" w:lineRule="auto"/>
              <w:jc w:val="center"/>
              <w:rPr>
                <w:rFonts w:eastAsia="Times New Roman"/>
                <w:color w:val="000000"/>
                <w:sz w:val="20"/>
                <w:szCs w:val="20"/>
              </w:rPr>
            </w:pPr>
            <w:r w:rsidRPr="001664F4">
              <w:rPr>
                <w:rFonts w:eastAsia="Times New Roman"/>
                <w:color w:val="000000"/>
                <w:sz w:val="20"/>
                <w:szCs w:val="20"/>
              </w:rPr>
              <w:t>Subió</w:t>
            </w:r>
          </w:p>
        </w:tc>
      </w:tr>
    </w:tbl>
    <w:p w14:paraId="0BA98C52" w14:textId="2517C047" w:rsidR="00261A27" w:rsidRPr="00626AB9" w:rsidRDefault="00626AB9" w:rsidP="00626AB9">
      <w:pPr>
        <w:rPr>
          <w:rFonts w:cs="Arial"/>
          <w:sz w:val="18"/>
          <w:szCs w:val="18"/>
        </w:rPr>
      </w:pPr>
      <w:r w:rsidRPr="00EA5865">
        <w:rPr>
          <w:rFonts w:cs="Arial"/>
          <w:sz w:val="18"/>
          <w:szCs w:val="18"/>
        </w:rPr>
        <w:t xml:space="preserve">Fuente: Elaborado </w:t>
      </w:r>
      <w:r>
        <w:rPr>
          <w:rFonts w:cs="Arial"/>
          <w:sz w:val="18"/>
          <w:szCs w:val="18"/>
        </w:rPr>
        <w:t>por Tesorería.</w:t>
      </w:r>
    </w:p>
    <w:p w14:paraId="0C602C0C" w14:textId="77777777" w:rsidR="00261A27" w:rsidRPr="008913E4" w:rsidRDefault="00261A27" w:rsidP="00B205BA">
      <w:pPr>
        <w:tabs>
          <w:tab w:val="left" w:pos="4849"/>
        </w:tabs>
        <w:spacing w:after="120" w:line="240" w:lineRule="auto"/>
        <w:rPr>
          <w:rFonts w:cs="Arial"/>
          <w:b/>
          <w:bCs/>
          <w:color w:val="000000"/>
          <w:shd w:val="clear" w:color="auto" w:fill="FFFFFF"/>
          <w:lang w:eastAsia="es-MX"/>
        </w:rPr>
      </w:pPr>
      <w:r w:rsidRPr="008913E4">
        <w:rPr>
          <w:rFonts w:cs="Arial"/>
          <w:b/>
          <w:bCs/>
          <w:color w:val="000000"/>
          <w:shd w:val="clear" w:color="auto" w:fill="FFFFFF"/>
          <w:lang w:eastAsia="es-MX"/>
        </w:rPr>
        <w:lastRenderedPageBreak/>
        <w:t xml:space="preserve">Sistema de </w:t>
      </w:r>
      <w:r>
        <w:rPr>
          <w:rFonts w:cs="Arial"/>
          <w:b/>
          <w:bCs/>
          <w:color w:val="000000"/>
          <w:shd w:val="clear" w:color="auto" w:fill="FFFFFF"/>
          <w:lang w:eastAsia="es-MX"/>
        </w:rPr>
        <w:t>a</w:t>
      </w:r>
      <w:r w:rsidRPr="008913E4">
        <w:rPr>
          <w:rFonts w:cs="Arial"/>
          <w:b/>
          <w:bCs/>
          <w:color w:val="000000"/>
          <w:shd w:val="clear" w:color="auto" w:fill="FFFFFF"/>
          <w:lang w:eastAsia="es-MX"/>
        </w:rPr>
        <w:t>lertas de la Secretaría de Hacienda y Crédito Público.</w:t>
      </w:r>
    </w:p>
    <w:p w14:paraId="608691B6" w14:textId="77777777" w:rsidR="00261A27" w:rsidRPr="008913E4" w:rsidRDefault="00261A27" w:rsidP="00B205BA">
      <w:pPr>
        <w:tabs>
          <w:tab w:val="left" w:pos="4849"/>
        </w:tabs>
        <w:spacing w:after="120" w:line="240" w:lineRule="auto"/>
        <w:rPr>
          <w:rFonts w:cs="Arial"/>
          <w:color w:val="000000"/>
          <w:shd w:val="clear" w:color="auto" w:fill="FFFFFF"/>
          <w:lang w:eastAsia="es-MX"/>
        </w:rPr>
      </w:pPr>
      <w:r w:rsidRPr="008913E4">
        <w:rPr>
          <w:rFonts w:cs="Arial"/>
          <w:color w:val="000000"/>
          <w:shd w:val="clear" w:color="auto" w:fill="FFFFFF"/>
          <w:lang w:eastAsia="es-MX"/>
        </w:rPr>
        <w:t xml:space="preserve">El Sistema de Alertas </w:t>
      </w:r>
      <w:r>
        <w:rPr>
          <w:rFonts w:cs="Arial"/>
          <w:color w:val="000000"/>
          <w:shd w:val="clear" w:color="auto" w:fill="FFFFFF"/>
          <w:lang w:eastAsia="es-MX"/>
        </w:rPr>
        <w:t xml:space="preserve">de la SHCP </w:t>
      </w:r>
      <w:r>
        <w:rPr>
          <w:rStyle w:val="Refdenotaalpie"/>
          <w:rFonts w:cs="Arial"/>
          <w:color w:val="000000"/>
          <w:shd w:val="clear" w:color="auto" w:fill="FFFFFF"/>
          <w:lang w:eastAsia="es-MX"/>
        </w:rPr>
        <w:footnoteReference w:id="53"/>
      </w:r>
      <w:r w:rsidRPr="008913E4">
        <w:rPr>
          <w:rFonts w:cs="Arial"/>
          <w:color w:val="000000"/>
          <w:shd w:val="clear" w:color="auto" w:fill="FFFFFF"/>
          <w:lang w:eastAsia="es-MX"/>
        </w:rPr>
        <w:t xml:space="preserve">mide el nivel de endeudamiento de los entes públicos que tengan contratados financiamientos y obligaciones, y </w:t>
      </w:r>
      <w:r>
        <w:rPr>
          <w:rFonts w:cs="Arial"/>
          <w:color w:val="000000"/>
          <w:shd w:val="clear" w:color="auto" w:fill="FFFFFF"/>
          <w:lang w:eastAsia="es-MX"/>
        </w:rPr>
        <w:t>e</w:t>
      </w:r>
      <w:r w:rsidRPr="008913E4">
        <w:rPr>
          <w:rFonts w:cs="Arial"/>
          <w:color w:val="000000"/>
          <w:shd w:val="clear" w:color="auto" w:fill="FFFFFF"/>
          <w:lang w:eastAsia="es-MX"/>
        </w:rPr>
        <w:t xml:space="preserve">stos se encuentren inscritos en el Registro Público Único, </w:t>
      </w:r>
      <w:r>
        <w:rPr>
          <w:rFonts w:cs="Arial"/>
          <w:color w:val="000000"/>
          <w:shd w:val="clear" w:color="auto" w:fill="FFFFFF"/>
          <w:lang w:eastAsia="es-MX"/>
        </w:rPr>
        <w:t xml:space="preserve">y </w:t>
      </w:r>
      <w:r w:rsidRPr="008913E4">
        <w:rPr>
          <w:rFonts w:cs="Arial"/>
          <w:color w:val="000000"/>
          <w:shd w:val="clear" w:color="auto" w:fill="FFFFFF"/>
          <w:lang w:eastAsia="es-MX"/>
        </w:rPr>
        <w:t xml:space="preserve">cuya fuente o garantía de pago sea de ingresos de libre disposición. </w:t>
      </w:r>
    </w:p>
    <w:p w14:paraId="2590ECA7" w14:textId="77777777" w:rsidR="00261A27" w:rsidRPr="008913E4" w:rsidRDefault="00261A27" w:rsidP="00B205BA">
      <w:pPr>
        <w:tabs>
          <w:tab w:val="left" w:pos="4849"/>
        </w:tabs>
        <w:spacing w:after="120" w:line="240" w:lineRule="auto"/>
        <w:rPr>
          <w:rFonts w:cs="Arial"/>
          <w:color w:val="000000"/>
          <w:shd w:val="clear" w:color="auto" w:fill="FFFFFF"/>
          <w:lang w:eastAsia="es-MX"/>
        </w:rPr>
      </w:pPr>
      <w:r w:rsidRPr="008913E4">
        <w:rPr>
          <w:rFonts w:cs="Arial"/>
          <w:color w:val="000000"/>
          <w:shd w:val="clear" w:color="auto" w:fill="FFFFFF"/>
          <w:lang w:eastAsia="es-MX"/>
        </w:rPr>
        <w:t>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14:paraId="25FA51FD" w14:textId="6AD564E5" w:rsidR="00261A27" w:rsidRPr="00BD09D3" w:rsidRDefault="00261A27" w:rsidP="00B205BA">
      <w:pPr>
        <w:tabs>
          <w:tab w:val="left" w:pos="4849"/>
        </w:tabs>
        <w:spacing w:after="120" w:line="240" w:lineRule="auto"/>
        <w:rPr>
          <w:rFonts w:cs="Arial"/>
          <w:color w:val="000000" w:themeColor="text1"/>
        </w:rPr>
      </w:pPr>
      <w:r>
        <w:rPr>
          <w:rFonts w:cs="Arial"/>
          <w:color w:val="000000"/>
          <w:shd w:val="clear" w:color="auto" w:fill="FFFFFF"/>
          <w:lang w:eastAsia="es-MX"/>
        </w:rPr>
        <w:t>El</w:t>
      </w:r>
      <w:r w:rsidRPr="008913E4">
        <w:rPr>
          <w:rFonts w:cs="Arial"/>
          <w:color w:val="000000"/>
          <w:shd w:val="clear" w:color="auto" w:fill="FFFFFF"/>
          <w:lang w:eastAsia="es-MX"/>
        </w:rPr>
        <w:t xml:space="preserve"> Sistema mide</w:t>
      </w:r>
      <w:r>
        <w:rPr>
          <w:rFonts w:cs="Arial"/>
          <w:color w:val="000000"/>
          <w:shd w:val="clear" w:color="auto" w:fill="FFFFFF"/>
          <w:lang w:eastAsia="es-MX"/>
        </w:rPr>
        <w:t xml:space="preserve"> y clasifica</w:t>
      </w:r>
      <w:r w:rsidRPr="008913E4">
        <w:rPr>
          <w:rFonts w:cs="Arial"/>
          <w:color w:val="000000"/>
          <w:shd w:val="clear" w:color="auto" w:fill="FFFFFF"/>
          <w:lang w:eastAsia="es-MX"/>
        </w:rPr>
        <w:t xml:space="preserve"> el nivel de endeudamiento de los entes públicos en tres niveles: Endeudamiento </w:t>
      </w:r>
      <w:r>
        <w:rPr>
          <w:rFonts w:cs="Arial"/>
          <w:color w:val="000000"/>
          <w:shd w:val="clear" w:color="auto" w:fill="FFFFFF"/>
          <w:lang w:eastAsia="es-MX"/>
        </w:rPr>
        <w:t>s</w:t>
      </w:r>
      <w:r w:rsidRPr="008913E4">
        <w:rPr>
          <w:rFonts w:cs="Arial"/>
          <w:color w:val="000000"/>
          <w:shd w:val="clear" w:color="auto" w:fill="FFFFFF"/>
          <w:lang w:eastAsia="es-MX"/>
        </w:rPr>
        <w:t>ostenible</w:t>
      </w:r>
      <w:r>
        <w:rPr>
          <w:rFonts w:cs="Arial"/>
          <w:color w:val="000000"/>
          <w:shd w:val="clear" w:color="auto" w:fill="FFFFFF"/>
          <w:lang w:eastAsia="es-MX"/>
        </w:rPr>
        <w:t>,</w:t>
      </w:r>
      <w:r w:rsidRPr="008913E4">
        <w:rPr>
          <w:rFonts w:cs="Arial"/>
          <w:color w:val="000000"/>
          <w:shd w:val="clear" w:color="auto" w:fill="FFFFFF"/>
          <w:lang w:eastAsia="es-MX"/>
        </w:rPr>
        <w:t xml:space="preserve"> Endeudamiento en </w:t>
      </w:r>
      <w:r>
        <w:rPr>
          <w:rFonts w:cs="Arial"/>
          <w:color w:val="000000"/>
          <w:shd w:val="clear" w:color="auto" w:fill="FFFFFF"/>
          <w:lang w:eastAsia="es-MX"/>
        </w:rPr>
        <w:t>o</w:t>
      </w:r>
      <w:r w:rsidRPr="008913E4">
        <w:rPr>
          <w:rFonts w:cs="Arial"/>
          <w:color w:val="000000"/>
          <w:shd w:val="clear" w:color="auto" w:fill="FFFFFF"/>
          <w:lang w:eastAsia="es-MX"/>
        </w:rPr>
        <w:t xml:space="preserve">bservación y Endeudamiento </w:t>
      </w:r>
      <w:r>
        <w:rPr>
          <w:rFonts w:cs="Arial"/>
          <w:color w:val="000000"/>
          <w:shd w:val="clear" w:color="auto" w:fill="FFFFFF"/>
          <w:lang w:eastAsia="es-MX"/>
        </w:rPr>
        <w:t>e</w:t>
      </w:r>
      <w:r w:rsidRPr="008913E4">
        <w:rPr>
          <w:rFonts w:cs="Arial"/>
          <w:color w:val="000000"/>
          <w:shd w:val="clear" w:color="auto" w:fill="FFFFFF"/>
          <w:lang w:eastAsia="es-MX"/>
        </w:rPr>
        <w:t>levado. Como se muestra a continuación</w:t>
      </w:r>
      <w:r>
        <w:rPr>
          <w:rFonts w:cs="Arial"/>
          <w:color w:val="000000"/>
          <w:shd w:val="clear" w:color="auto" w:fill="FFFFFF"/>
          <w:lang w:eastAsia="es-MX"/>
        </w:rPr>
        <w:t>,</w:t>
      </w:r>
      <w:r w:rsidRPr="008913E4">
        <w:rPr>
          <w:rFonts w:cs="Arial"/>
          <w:color w:val="000000"/>
          <w:shd w:val="clear" w:color="auto" w:fill="FFFFFF"/>
          <w:lang w:eastAsia="es-MX"/>
        </w:rPr>
        <w:t xml:space="preserve"> el </w:t>
      </w:r>
      <w:r>
        <w:rPr>
          <w:rFonts w:cs="Arial"/>
          <w:color w:val="000000"/>
          <w:shd w:val="clear" w:color="auto" w:fill="FFFFFF"/>
          <w:lang w:eastAsia="es-MX"/>
        </w:rPr>
        <w:t>M</w:t>
      </w:r>
      <w:r w:rsidRPr="008913E4">
        <w:rPr>
          <w:rFonts w:cs="Arial"/>
          <w:color w:val="000000"/>
          <w:shd w:val="clear" w:color="auto" w:fill="FFFFFF"/>
          <w:lang w:eastAsia="es-MX"/>
        </w:rPr>
        <w:t>unicipio de Hermosillo cambi</w:t>
      </w:r>
      <w:r>
        <w:rPr>
          <w:rFonts w:cs="Arial"/>
          <w:color w:val="000000"/>
          <w:shd w:val="clear" w:color="auto" w:fill="FFFFFF"/>
          <w:lang w:eastAsia="es-MX"/>
        </w:rPr>
        <w:t>ó</w:t>
      </w:r>
      <w:r w:rsidRPr="008913E4">
        <w:rPr>
          <w:rFonts w:cs="Arial"/>
          <w:color w:val="000000"/>
          <w:shd w:val="clear" w:color="auto" w:fill="FFFFFF"/>
          <w:lang w:eastAsia="es-MX"/>
        </w:rPr>
        <w:t xml:space="preserve"> su posición</w:t>
      </w:r>
      <w:r>
        <w:rPr>
          <w:rFonts w:cs="Arial"/>
          <w:color w:val="000000"/>
          <w:shd w:val="clear" w:color="auto" w:fill="FFFFFF"/>
          <w:lang w:eastAsia="es-MX"/>
        </w:rPr>
        <w:t>,</w:t>
      </w:r>
      <w:r w:rsidRPr="008913E4">
        <w:rPr>
          <w:rFonts w:cs="Arial"/>
          <w:color w:val="000000"/>
          <w:shd w:val="clear" w:color="auto" w:fill="FFFFFF"/>
          <w:lang w:eastAsia="es-MX"/>
        </w:rPr>
        <w:t xml:space="preserve"> de Endeudamiento en </w:t>
      </w:r>
      <w:r>
        <w:rPr>
          <w:rFonts w:cs="Arial"/>
          <w:color w:val="000000"/>
          <w:shd w:val="clear" w:color="auto" w:fill="FFFFFF"/>
          <w:lang w:eastAsia="es-MX"/>
        </w:rPr>
        <w:t>o</w:t>
      </w:r>
      <w:r w:rsidRPr="008913E4">
        <w:rPr>
          <w:rFonts w:cs="Arial"/>
          <w:color w:val="000000"/>
          <w:shd w:val="clear" w:color="auto" w:fill="FFFFFF"/>
          <w:lang w:eastAsia="es-MX"/>
        </w:rPr>
        <w:t>bservación</w:t>
      </w:r>
      <w:r>
        <w:rPr>
          <w:rFonts w:cs="Arial"/>
          <w:color w:val="000000"/>
          <w:shd w:val="clear" w:color="auto" w:fill="FFFFFF"/>
          <w:lang w:eastAsia="es-MX"/>
        </w:rPr>
        <w:t>,</w:t>
      </w:r>
      <w:r w:rsidRPr="008913E4">
        <w:rPr>
          <w:rFonts w:cs="Arial"/>
          <w:color w:val="000000"/>
          <w:shd w:val="clear" w:color="auto" w:fill="FFFFFF"/>
          <w:lang w:eastAsia="es-MX"/>
        </w:rPr>
        <w:t xml:space="preserve"> a Endeudamiento sostenible. </w:t>
      </w:r>
      <w:r w:rsidRPr="008913E4">
        <w:rPr>
          <w:rFonts w:cs="Arial"/>
          <w:color w:val="000000" w:themeColor="text1"/>
        </w:rPr>
        <w:t>Asimismo</w:t>
      </w:r>
      <w:r w:rsidRPr="00261A27">
        <w:rPr>
          <w:rFonts w:cs="Arial"/>
          <w:color w:val="000000" w:themeColor="text1"/>
        </w:rPr>
        <w:t xml:space="preserve">, </w:t>
      </w:r>
      <w:r w:rsidRPr="00261A27">
        <w:rPr>
          <w:rFonts w:cs="Arial"/>
          <w:color w:val="000000"/>
          <w:shd w:val="clear" w:color="auto" w:fill="FFFFFF"/>
          <w:lang w:eastAsia="es-MX"/>
        </w:rPr>
        <w:t>al cuarto trimestre de 2021, la deuda total del municipio ascendía a 1875.4 millones de pesos, y para el segundo trimestre de 2024 se redujo a 1639.5 millones.</w:t>
      </w:r>
    </w:p>
    <w:p w14:paraId="0F282A29" w14:textId="2AD28F6F" w:rsidR="00261A27" w:rsidRPr="008913E4" w:rsidRDefault="00BD09D3" w:rsidP="00B205BA">
      <w:pPr>
        <w:tabs>
          <w:tab w:val="left" w:pos="4849"/>
        </w:tabs>
        <w:spacing w:after="120" w:line="240" w:lineRule="auto"/>
        <w:rPr>
          <w:b/>
          <w:bCs/>
        </w:rPr>
      </w:pPr>
      <w:r w:rsidRPr="008913E4">
        <w:rPr>
          <w:b/>
          <w:bCs/>
        </w:rPr>
        <w:t>TABLA 5. COMPARATIVO DE</w:t>
      </w:r>
      <w:r>
        <w:rPr>
          <w:b/>
          <w:bCs/>
        </w:rPr>
        <w:t>L</w:t>
      </w:r>
      <w:r w:rsidRPr="008913E4">
        <w:rPr>
          <w:b/>
          <w:bCs/>
        </w:rPr>
        <w:t xml:space="preserve"> NIVEL DE ENDEUDAMIENTO</w:t>
      </w:r>
      <w:r>
        <w:rPr>
          <w:b/>
          <w:bCs/>
        </w:rPr>
        <w:t xml:space="preserve"> DEL MUNICIPIO DE HERMOSILLO PARA LOS AÑOS </w:t>
      </w:r>
      <w:r w:rsidRPr="008913E4">
        <w:rPr>
          <w:b/>
          <w:bCs/>
        </w:rPr>
        <w:t xml:space="preserve">2021 </w:t>
      </w:r>
      <w:r>
        <w:rPr>
          <w:b/>
          <w:bCs/>
        </w:rPr>
        <w:t>Y</w:t>
      </w:r>
      <w:r w:rsidRPr="008913E4">
        <w:rPr>
          <w:b/>
          <w:bCs/>
        </w:rPr>
        <w:t xml:space="preserve"> 2024</w:t>
      </w:r>
      <w:r>
        <w:rPr>
          <w:b/>
          <w:bCs/>
        </w:rPr>
        <w:t xml:space="preserve"> SEGÚN EL SISTEMA DE ALERTAS DE LA SHCP.</w:t>
      </w:r>
    </w:p>
    <w:tbl>
      <w:tblPr>
        <w:tblStyle w:val="Tablaconcuadrcula"/>
        <w:tblW w:w="8642" w:type="dxa"/>
        <w:tblLayout w:type="fixed"/>
        <w:tblLook w:val="04A0" w:firstRow="1" w:lastRow="0" w:firstColumn="1" w:lastColumn="0" w:noHBand="0" w:noVBand="1"/>
      </w:tblPr>
      <w:tblGrid>
        <w:gridCol w:w="988"/>
        <w:gridCol w:w="1701"/>
        <w:gridCol w:w="1842"/>
        <w:gridCol w:w="2127"/>
        <w:gridCol w:w="1984"/>
      </w:tblGrid>
      <w:tr w:rsidR="00261A27" w:rsidRPr="008913E4" w14:paraId="32446EF7" w14:textId="77777777" w:rsidTr="00261A27">
        <w:tc>
          <w:tcPr>
            <w:tcW w:w="988" w:type="dxa"/>
            <w:vAlign w:val="center"/>
          </w:tcPr>
          <w:p w14:paraId="12E612CE" w14:textId="77777777" w:rsidR="00261A27" w:rsidRPr="008913E4" w:rsidRDefault="00261A27" w:rsidP="00B205BA">
            <w:pPr>
              <w:tabs>
                <w:tab w:val="left" w:pos="4849"/>
              </w:tabs>
              <w:spacing w:after="120" w:line="240" w:lineRule="auto"/>
              <w:jc w:val="center"/>
              <w:rPr>
                <w:sz w:val="18"/>
                <w:szCs w:val="18"/>
              </w:rPr>
            </w:pPr>
            <w:r w:rsidRPr="008913E4">
              <w:rPr>
                <w:sz w:val="18"/>
                <w:szCs w:val="18"/>
              </w:rPr>
              <w:t>Año</w:t>
            </w:r>
          </w:p>
        </w:tc>
        <w:tc>
          <w:tcPr>
            <w:tcW w:w="1701" w:type="dxa"/>
            <w:vAlign w:val="center"/>
          </w:tcPr>
          <w:p w14:paraId="1F6C2D3F" w14:textId="77777777" w:rsidR="00261A27" w:rsidRPr="008913E4" w:rsidRDefault="00261A27" w:rsidP="00B205BA">
            <w:pPr>
              <w:tabs>
                <w:tab w:val="left" w:pos="4849"/>
              </w:tabs>
              <w:spacing w:after="120" w:line="240" w:lineRule="auto"/>
              <w:jc w:val="center"/>
              <w:rPr>
                <w:sz w:val="18"/>
                <w:szCs w:val="18"/>
              </w:rPr>
            </w:pPr>
            <w:r w:rsidRPr="008913E4">
              <w:rPr>
                <w:sz w:val="18"/>
                <w:szCs w:val="18"/>
              </w:rPr>
              <w:t>Resultado</w:t>
            </w:r>
            <w:r>
              <w:rPr>
                <w:sz w:val="18"/>
                <w:szCs w:val="18"/>
              </w:rPr>
              <w:t xml:space="preserve"> </w:t>
            </w:r>
            <w:r w:rsidRPr="008913E4">
              <w:rPr>
                <w:sz w:val="18"/>
                <w:szCs w:val="18"/>
              </w:rPr>
              <w:t>del sistema de alertas</w:t>
            </w:r>
          </w:p>
        </w:tc>
        <w:tc>
          <w:tcPr>
            <w:tcW w:w="1842" w:type="dxa"/>
            <w:vAlign w:val="center"/>
          </w:tcPr>
          <w:p w14:paraId="14109D82" w14:textId="77777777" w:rsidR="00261A27" w:rsidRDefault="00261A27" w:rsidP="00B205BA">
            <w:pPr>
              <w:tabs>
                <w:tab w:val="left" w:pos="4849"/>
              </w:tabs>
              <w:spacing w:after="120" w:line="240" w:lineRule="auto"/>
              <w:jc w:val="center"/>
              <w:rPr>
                <w:sz w:val="18"/>
                <w:szCs w:val="18"/>
              </w:rPr>
            </w:pPr>
            <w:r w:rsidRPr="008913E4">
              <w:rPr>
                <w:sz w:val="18"/>
                <w:szCs w:val="18"/>
              </w:rPr>
              <w:t xml:space="preserve">Indicador 1 </w:t>
            </w:r>
          </w:p>
          <w:p w14:paraId="5C7752FA" w14:textId="77777777" w:rsidR="00261A27" w:rsidRPr="008913E4" w:rsidRDefault="00261A27" w:rsidP="00B205BA">
            <w:pPr>
              <w:tabs>
                <w:tab w:val="left" w:pos="4849"/>
              </w:tabs>
              <w:spacing w:after="120" w:line="240" w:lineRule="auto"/>
              <w:jc w:val="center"/>
              <w:rPr>
                <w:sz w:val="18"/>
                <w:szCs w:val="18"/>
              </w:rPr>
            </w:pPr>
            <w:r w:rsidRPr="008913E4">
              <w:rPr>
                <w:sz w:val="18"/>
                <w:szCs w:val="18"/>
              </w:rPr>
              <w:t xml:space="preserve">Deuda Pública </w:t>
            </w:r>
            <w:r>
              <w:rPr>
                <w:sz w:val="18"/>
                <w:szCs w:val="18"/>
              </w:rPr>
              <w:t>y</w:t>
            </w:r>
            <w:r w:rsidRPr="008913E4">
              <w:rPr>
                <w:sz w:val="18"/>
                <w:szCs w:val="18"/>
              </w:rPr>
              <w:t xml:space="preserve"> Obligaciones </w:t>
            </w:r>
            <w:r>
              <w:rPr>
                <w:sz w:val="18"/>
                <w:szCs w:val="18"/>
              </w:rPr>
              <w:t>s</w:t>
            </w:r>
            <w:r w:rsidRPr="008913E4">
              <w:rPr>
                <w:sz w:val="18"/>
                <w:szCs w:val="18"/>
              </w:rPr>
              <w:t xml:space="preserve">obre Ingresos </w:t>
            </w:r>
            <w:r>
              <w:rPr>
                <w:sz w:val="18"/>
                <w:szCs w:val="18"/>
              </w:rPr>
              <w:t>d</w:t>
            </w:r>
            <w:r w:rsidRPr="008913E4">
              <w:rPr>
                <w:sz w:val="18"/>
                <w:szCs w:val="18"/>
              </w:rPr>
              <w:t>e Libre Disposición (DYO/ILD)</w:t>
            </w:r>
          </w:p>
        </w:tc>
        <w:tc>
          <w:tcPr>
            <w:tcW w:w="2127" w:type="dxa"/>
            <w:vAlign w:val="center"/>
          </w:tcPr>
          <w:p w14:paraId="68B716FC" w14:textId="77777777" w:rsidR="00261A27" w:rsidRDefault="00261A27" w:rsidP="00B205BA">
            <w:pPr>
              <w:tabs>
                <w:tab w:val="left" w:pos="4849"/>
              </w:tabs>
              <w:spacing w:after="120" w:line="240" w:lineRule="auto"/>
              <w:jc w:val="center"/>
              <w:rPr>
                <w:sz w:val="18"/>
                <w:szCs w:val="18"/>
              </w:rPr>
            </w:pPr>
            <w:r w:rsidRPr="008913E4">
              <w:rPr>
                <w:sz w:val="18"/>
                <w:szCs w:val="18"/>
              </w:rPr>
              <w:t xml:space="preserve">Indicador 2 </w:t>
            </w:r>
          </w:p>
          <w:p w14:paraId="52F9BD67" w14:textId="77777777" w:rsidR="00261A27" w:rsidRPr="008913E4" w:rsidRDefault="00261A27" w:rsidP="00B205BA">
            <w:pPr>
              <w:tabs>
                <w:tab w:val="left" w:pos="4849"/>
              </w:tabs>
              <w:spacing w:after="120" w:line="240" w:lineRule="auto"/>
              <w:jc w:val="center"/>
              <w:rPr>
                <w:sz w:val="18"/>
                <w:szCs w:val="18"/>
              </w:rPr>
            </w:pPr>
            <w:r w:rsidRPr="008913E4">
              <w:rPr>
                <w:sz w:val="18"/>
                <w:szCs w:val="18"/>
              </w:rPr>
              <w:t xml:space="preserve">Servicio de la Deuda </w:t>
            </w:r>
            <w:r>
              <w:rPr>
                <w:sz w:val="18"/>
                <w:szCs w:val="18"/>
              </w:rPr>
              <w:t>d</w:t>
            </w:r>
            <w:r w:rsidRPr="008913E4">
              <w:rPr>
                <w:sz w:val="18"/>
                <w:szCs w:val="18"/>
              </w:rPr>
              <w:t xml:space="preserve">e Obligaciones </w:t>
            </w:r>
            <w:r>
              <w:rPr>
                <w:sz w:val="18"/>
                <w:szCs w:val="18"/>
              </w:rPr>
              <w:t>s</w:t>
            </w:r>
            <w:r w:rsidRPr="008913E4">
              <w:rPr>
                <w:sz w:val="18"/>
                <w:szCs w:val="18"/>
              </w:rPr>
              <w:t xml:space="preserve">obre Ingresos </w:t>
            </w:r>
            <w:r>
              <w:rPr>
                <w:sz w:val="18"/>
                <w:szCs w:val="18"/>
              </w:rPr>
              <w:t>d</w:t>
            </w:r>
            <w:r w:rsidRPr="008913E4">
              <w:rPr>
                <w:sz w:val="18"/>
                <w:szCs w:val="18"/>
              </w:rPr>
              <w:t>e Libre Disposición (SDYPL/ILD)</w:t>
            </w:r>
          </w:p>
        </w:tc>
        <w:tc>
          <w:tcPr>
            <w:tcW w:w="1984" w:type="dxa"/>
            <w:vAlign w:val="center"/>
          </w:tcPr>
          <w:p w14:paraId="51E3FBEC" w14:textId="77777777" w:rsidR="00261A27" w:rsidRPr="008913E4" w:rsidRDefault="00261A27" w:rsidP="00B205BA">
            <w:pPr>
              <w:tabs>
                <w:tab w:val="left" w:pos="4849"/>
              </w:tabs>
              <w:spacing w:after="120" w:line="240" w:lineRule="auto"/>
              <w:jc w:val="center"/>
              <w:rPr>
                <w:sz w:val="18"/>
                <w:szCs w:val="18"/>
              </w:rPr>
            </w:pPr>
            <w:r w:rsidRPr="008913E4">
              <w:rPr>
                <w:sz w:val="18"/>
                <w:szCs w:val="18"/>
              </w:rPr>
              <w:t xml:space="preserve">Indicador 3 Obligaciones </w:t>
            </w:r>
            <w:r>
              <w:rPr>
                <w:sz w:val="18"/>
                <w:szCs w:val="18"/>
              </w:rPr>
              <w:t>a</w:t>
            </w:r>
            <w:r w:rsidRPr="008913E4">
              <w:rPr>
                <w:sz w:val="18"/>
                <w:szCs w:val="18"/>
              </w:rPr>
              <w:t xml:space="preserve"> Corto Plazo </w:t>
            </w:r>
            <w:r>
              <w:rPr>
                <w:sz w:val="18"/>
                <w:szCs w:val="18"/>
              </w:rPr>
              <w:t xml:space="preserve">y </w:t>
            </w:r>
            <w:r w:rsidRPr="008913E4">
              <w:rPr>
                <w:sz w:val="18"/>
                <w:szCs w:val="18"/>
              </w:rPr>
              <w:t xml:space="preserve">Proveedores </w:t>
            </w:r>
            <w:r>
              <w:rPr>
                <w:sz w:val="18"/>
                <w:szCs w:val="18"/>
              </w:rPr>
              <w:t>y</w:t>
            </w:r>
            <w:r w:rsidRPr="008913E4">
              <w:rPr>
                <w:sz w:val="18"/>
                <w:szCs w:val="18"/>
              </w:rPr>
              <w:t xml:space="preserve"> Contratistas </w:t>
            </w:r>
            <w:r>
              <w:rPr>
                <w:sz w:val="18"/>
                <w:szCs w:val="18"/>
              </w:rPr>
              <w:t>s</w:t>
            </w:r>
            <w:r w:rsidRPr="008913E4">
              <w:rPr>
                <w:sz w:val="18"/>
                <w:szCs w:val="18"/>
              </w:rPr>
              <w:t>obre Ingresos Totales</w:t>
            </w:r>
          </w:p>
        </w:tc>
      </w:tr>
      <w:tr w:rsidR="00261A27" w:rsidRPr="008913E4" w14:paraId="6F4B8E0C" w14:textId="77777777" w:rsidTr="00261A27">
        <w:tc>
          <w:tcPr>
            <w:tcW w:w="988" w:type="dxa"/>
          </w:tcPr>
          <w:p w14:paraId="0661D898" w14:textId="77777777" w:rsidR="00261A27" w:rsidRPr="008913E4" w:rsidRDefault="00261A27" w:rsidP="00B205BA">
            <w:pPr>
              <w:tabs>
                <w:tab w:val="left" w:pos="4849"/>
              </w:tabs>
              <w:spacing w:after="120" w:line="240" w:lineRule="auto"/>
              <w:jc w:val="center"/>
              <w:rPr>
                <w:sz w:val="18"/>
                <w:szCs w:val="18"/>
              </w:rPr>
            </w:pPr>
            <w:r>
              <w:rPr>
                <w:sz w:val="18"/>
                <w:szCs w:val="18"/>
              </w:rPr>
              <w:t xml:space="preserve">2º </w:t>
            </w:r>
            <w:r w:rsidRPr="008913E4">
              <w:rPr>
                <w:sz w:val="18"/>
                <w:szCs w:val="18"/>
              </w:rPr>
              <w:t>semestre</w:t>
            </w:r>
            <w:r>
              <w:rPr>
                <w:sz w:val="18"/>
                <w:szCs w:val="18"/>
              </w:rPr>
              <w:t xml:space="preserve"> </w:t>
            </w:r>
            <w:r w:rsidRPr="008913E4">
              <w:rPr>
                <w:sz w:val="18"/>
                <w:szCs w:val="18"/>
              </w:rPr>
              <w:t>2021</w:t>
            </w:r>
          </w:p>
        </w:tc>
        <w:tc>
          <w:tcPr>
            <w:tcW w:w="1701" w:type="dxa"/>
          </w:tcPr>
          <w:p w14:paraId="72BEF10B" w14:textId="77777777" w:rsidR="00261A27" w:rsidRPr="008913E4" w:rsidRDefault="00261A27" w:rsidP="00B205BA">
            <w:pPr>
              <w:tabs>
                <w:tab w:val="left" w:pos="4849"/>
              </w:tabs>
              <w:spacing w:after="120" w:line="240" w:lineRule="auto"/>
              <w:rPr>
                <w:sz w:val="18"/>
                <w:szCs w:val="18"/>
              </w:rPr>
            </w:pPr>
            <w:r w:rsidRPr="008913E4">
              <w:rPr>
                <w:noProof/>
                <w:sz w:val="18"/>
                <w:szCs w:val="18"/>
              </w:rPr>
              <mc:AlternateContent>
                <mc:Choice Requires="wps">
                  <w:drawing>
                    <wp:anchor distT="0" distB="0" distL="114300" distR="114300" simplePos="0" relativeHeight="251725824" behindDoc="0" locked="0" layoutInCell="1" allowOverlap="1" wp14:anchorId="61D7CA50" wp14:editId="1A93C003">
                      <wp:simplePos x="0" y="0"/>
                      <wp:positionH relativeFrom="column">
                        <wp:posOffset>829654</wp:posOffset>
                      </wp:positionH>
                      <wp:positionV relativeFrom="paragraph">
                        <wp:posOffset>25400</wp:posOffset>
                      </wp:positionV>
                      <wp:extent cx="129540" cy="129540"/>
                      <wp:effectExtent l="0" t="0" r="10160" b="10160"/>
                      <wp:wrapNone/>
                      <wp:docPr id="8" name="Elipse 8"/>
                      <wp:cNvGraphicFramePr/>
                      <a:graphic xmlns:a="http://schemas.openxmlformats.org/drawingml/2006/main">
                        <a:graphicData uri="http://schemas.microsoft.com/office/word/2010/wordprocessingShape">
                          <wps:wsp>
                            <wps:cNvSpPr/>
                            <wps:spPr>
                              <a:xfrm flipH="1">
                                <a:off x="0" y="0"/>
                                <a:ext cx="129540" cy="129540"/>
                              </a:xfrm>
                              <a:prstGeom prst="ellipse">
                                <a:avLst/>
                              </a:prstGeom>
                              <a:solidFill>
                                <a:srgbClr val="FFFF00"/>
                              </a:solidFill>
                              <a:ln w="12700" cap="flat" cmpd="sng" algn="ctr">
                                <a:solidFill>
                                  <a:srgbClr val="4472C4">
                                    <a:shade val="50000"/>
                                  </a:srgbClr>
                                </a:solidFill>
                                <a:prstDash val="solid"/>
                                <a:miter lim="800000"/>
                              </a:ln>
                              <a:effectLst/>
                            </wps:spPr>
                            <wps:txb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4F692416" w14:textId="77777777" w:rsidTr="000635AB">
                                    <w:tc>
                                      <w:tcPr>
                                        <w:tcW w:w="1415" w:type="dxa"/>
                                      </w:tcPr>
                                      <w:p w14:paraId="501ABEC6" w14:textId="77777777" w:rsidR="00261A27" w:rsidRPr="00224673" w:rsidRDefault="00261A27" w:rsidP="00D04F66">
                                        <w:pPr>
                                          <w:tabs>
                                            <w:tab w:val="left" w:pos="4849"/>
                                          </w:tabs>
                                          <w:spacing w:line="276" w:lineRule="auto"/>
                                        </w:pPr>
                                        <w:r w:rsidRPr="00224673">
                                          <w:t>RESULTADO DEL SISTEMA DE ALERTAS</w:t>
                                        </w:r>
                                      </w:p>
                                    </w:tc>
                                    <w:tc>
                                      <w:tcPr>
                                        <w:tcW w:w="1415" w:type="dxa"/>
                                      </w:tcPr>
                                      <w:p w14:paraId="2D158208" w14:textId="77777777" w:rsidR="00261A27" w:rsidRPr="00224673" w:rsidRDefault="00261A27" w:rsidP="00D04F66">
                                        <w:pPr>
                                          <w:tabs>
                                            <w:tab w:val="left" w:pos="4849"/>
                                          </w:tabs>
                                          <w:spacing w:line="276" w:lineRule="auto"/>
                                        </w:pPr>
                                        <w:r w:rsidRPr="00224673">
                                          <w:t>INDICADOR 1 DEUDA PÚBLICA Y OBLIGACIONES SOBRE INGRESOS DE LIBRE DISPOSICIÓN (DYO/ILD)</w:t>
                                        </w:r>
                                      </w:p>
                                    </w:tc>
                                    <w:tc>
                                      <w:tcPr>
                                        <w:tcW w:w="1416" w:type="dxa"/>
                                      </w:tcPr>
                                      <w:p w14:paraId="2D2A270D" w14:textId="77777777" w:rsidR="00261A27" w:rsidRPr="00224673" w:rsidRDefault="00261A27" w:rsidP="00D04F66">
                                        <w:pPr>
                                          <w:tabs>
                                            <w:tab w:val="left" w:pos="4849"/>
                                          </w:tabs>
                                          <w:spacing w:line="276" w:lineRule="auto"/>
                                        </w:pPr>
                                        <w:r w:rsidRPr="00224673">
                                          <w:t>INDICADOR 2 SERVICIO DE LA DEUDA  DE OBLIGACIONES SOBRE INGRESOS DE LIBRE DISPOSICIÓN (SDYPL/ILD)</w:t>
                                        </w:r>
                                      </w:p>
                                    </w:tc>
                                    <w:tc>
                                      <w:tcPr>
                                        <w:tcW w:w="1416" w:type="dxa"/>
                                      </w:tcPr>
                                      <w:p w14:paraId="4528F5C3" w14:textId="77777777" w:rsidR="00261A27" w:rsidRDefault="00261A27" w:rsidP="00D04F66">
                                        <w:pPr>
                                          <w:tabs>
                                            <w:tab w:val="left" w:pos="4849"/>
                                          </w:tabs>
                                          <w:spacing w:line="276" w:lineRule="auto"/>
                                        </w:pPr>
                                        <w:r w:rsidRPr="00224673">
                                          <w:t>INDICADOR 3 OBLIGACIONES A CORTO PLAZO Y PROVEEDORES Y CONGRATISTAS SOBRE INGRESOS TOTALES</w:t>
                                        </w:r>
                                      </w:p>
                                    </w:tc>
                                  </w:tr>
                                </w:tbl>
                                <w:p w14:paraId="0F9A4F90" w14:textId="77777777" w:rsidR="00261A27" w:rsidRDefault="00261A27" w:rsidP="00261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7CA50" id="Elipse 8" o:spid="_x0000_s1031" style="position:absolute;left:0;text-align:left;margin-left:65.35pt;margin-top:2pt;width:10.2pt;height:10.2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" fillcolor="yellow" strokecolor="#2f528f" strokeweight="1pt">
                      <v:stroke joinstyle="miter"/>
                      <v:textbo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4F692416" w14:textId="77777777" w:rsidTr="000635AB">
                              <w:tc>
                                <w:tcPr>
                                  <w:tcW w:w="1415" w:type="dxa"/>
                                </w:tcPr>
                                <w:p w14:paraId="501ABEC6" w14:textId="77777777" w:rsidR="00261A27" w:rsidRPr="00224673" w:rsidRDefault="00261A27" w:rsidP="00D04F66">
                                  <w:pPr>
                                    <w:tabs>
                                      <w:tab w:val="left" w:pos="4849"/>
                                    </w:tabs>
                                    <w:spacing w:line="276" w:lineRule="auto"/>
                                  </w:pPr>
                                  <w:r w:rsidRPr="00224673">
                                    <w:t>RESULTADO DEL SISTEMA DE ALERTAS</w:t>
                                  </w:r>
                                </w:p>
                              </w:tc>
                              <w:tc>
                                <w:tcPr>
                                  <w:tcW w:w="1415" w:type="dxa"/>
                                </w:tcPr>
                                <w:p w14:paraId="2D158208" w14:textId="77777777" w:rsidR="00261A27" w:rsidRPr="00224673" w:rsidRDefault="00261A27" w:rsidP="00D04F66">
                                  <w:pPr>
                                    <w:tabs>
                                      <w:tab w:val="left" w:pos="4849"/>
                                    </w:tabs>
                                    <w:spacing w:line="276" w:lineRule="auto"/>
                                  </w:pPr>
                                  <w:r w:rsidRPr="00224673">
                                    <w:t>INDICADOR 1 DEUDA PÚBLICA Y OBLIGACIONES SOBRE INGRESOS DE LIBRE DISPOSICIÓN (DYO/ILD)</w:t>
                                  </w:r>
                                </w:p>
                              </w:tc>
                              <w:tc>
                                <w:tcPr>
                                  <w:tcW w:w="1416" w:type="dxa"/>
                                </w:tcPr>
                                <w:p w14:paraId="2D2A270D" w14:textId="77777777" w:rsidR="00261A27" w:rsidRPr="00224673" w:rsidRDefault="00261A27" w:rsidP="00D04F66">
                                  <w:pPr>
                                    <w:tabs>
                                      <w:tab w:val="left" w:pos="4849"/>
                                    </w:tabs>
                                    <w:spacing w:line="276" w:lineRule="auto"/>
                                  </w:pPr>
                                  <w:r w:rsidRPr="00224673">
                                    <w:t>INDICADOR 2 SERVICIO DE LA DEUDA  DE OBLIGACIONES SOBRE INGRESOS DE LIBRE DISPOSICIÓN (SDYPL/ILD)</w:t>
                                  </w:r>
                                </w:p>
                              </w:tc>
                              <w:tc>
                                <w:tcPr>
                                  <w:tcW w:w="1416" w:type="dxa"/>
                                </w:tcPr>
                                <w:p w14:paraId="4528F5C3" w14:textId="77777777" w:rsidR="00261A27" w:rsidRDefault="00261A27" w:rsidP="00D04F66">
                                  <w:pPr>
                                    <w:tabs>
                                      <w:tab w:val="left" w:pos="4849"/>
                                    </w:tabs>
                                    <w:spacing w:line="276" w:lineRule="auto"/>
                                  </w:pPr>
                                  <w:r w:rsidRPr="00224673">
                                    <w:t>INDICADOR 3 OBLIGACIONES A CORTO PLAZO Y PROVEEDORES Y CONGRATISTAS SOBRE INGRESOS TOTALES</w:t>
                                  </w:r>
                                </w:p>
                              </w:tc>
                            </w:tr>
                          </w:tbl>
                          <w:p w14:paraId="0F9A4F90" w14:textId="77777777" w:rsidR="00261A27" w:rsidRDefault="00261A27" w:rsidP="00261A27">
                            <w:pPr>
                              <w:jc w:val="center"/>
                            </w:pPr>
                          </w:p>
                        </w:txbxContent>
                      </v:textbox>
                    </v:oval>
                  </w:pict>
                </mc:Fallback>
              </mc:AlternateContent>
            </w:r>
            <w:r w:rsidRPr="008913E4">
              <w:rPr>
                <w:sz w:val="18"/>
                <w:szCs w:val="18"/>
              </w:rPr>
              <w:t xml:space="preserve">Endeudamiento en observación </w:t>
            </w:r>
          </w:p>
        </w:tc>
        <w:tc>
          <w:tcPr>
            <w:tcW w:w="1842" w:type="dxa"/>
          </w:tcPr>
          <w:p w14:paraId="22322B2F" w14:textId="77777777" w:rsidR="00261A27" w:rsidRPr="008913E4" w:rsidRDefault="00261A27" w:rsidP="00B205BA">
            <w:pPr>
              <w:tabs>
                <w:tab w:val="left" w:pos="4849"/>
              </w:tabs>
              <w:spacing w:after="120" w:line="240" w:lineRule="auto"/>
              <w:rPr>
                <w:sz w:val="18"/>
                <w:szCs w:val="18"/>
              </w:rPr>
            </w:pPr>
            <w:r w:rsidRPr="008913E4">
              <w:rPr>
                <w:noProof/>
                <w:sz w:val="18"/>
                <w:szCs w:val="18"/>
              </w:rPr>
              <mc:AlternateContent>
                <mc:Choice Requires="wps">
                  <w:drawing>
                    <wp:anchor distT="0" distB="0" distL="114300" distR="114300" simplePos="0" relativeHeight="251724800" behindDoc="0" locked="0" layoutInCell="1" allowOverlap="1" wp14:anchorId="7E126A5C" wp14:editId="23874089">
                      <wp:simplePos x="0" y="0"/>
                      <wp:positionH relativeFrom="column">
                        <wp:posOffset>593725</wp:posOffset>
                      </wp:positionH>
                      <wp:positionV relativeFrom="paragraph">
                        <wp:posOffset>17780</wp:posOffset>
                      </wp:positionV>
                      <wp:extent cx="129540" cy="129540"/>
                      <wp:effectExtent l="0" t="0" r="10160" b="10160"/>
                      <wp:wrapNone/>
                      <wp:docPr id="7" name="Elipse 7"/>
                      <wp:cNvGraphicFramePr/>
                      <a:graphic xmlns:a="http://schemas.openxmlformats.org/drawingml/2006/main">
                        <a:graphicData uri="http://schemas.microsoft.com/office/word/2010/wordprocessingShape">
                          <wps:wsp>
                            <wps:cNvSpPr/>
                            <wps:spPr>
                              <a:xfrm flipH="1">
                                <a:off x="0" y="0"/>
                                <a:ext cx="129540" cy="129540"/>
                              </a:xfrm>
                              <a:prstGeom prst="ellipse">
                                <a:avLst/>
                              </a:prstGeom>
                              <a:solidFill>
                                <a:srgbClr val="FFFF00"/>
                              </a:solidFill>
                              <a:ln w="12700" cap="flat" cmpd="sng" algn="ctr">
                                <a:solidFill>
                                  <a:srgbClr val="4472C4">
                                    <a:shade val="50000"/>
                                  </a:srgbClr>
                                </a:solidFill>
                                <a:prstDash val="solid"/>
                                <a:miter lim="800000"/>
                              </a:ln>
                              <a:effectLst/>
                            </wps:spPr>
                            <wps:txb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7939B610" w14:textId="77777777" w:rsidTr="000635AB">
                                    <w:tc>
                                      <w:tcPr>
                                        <w:tcW w:w="1415" w:type="dxa"/>
                                      </w:tcPr>
                                      <w:p w14:paraId="2DEB0C8C" w14:textId="77777777" w:rsidR="00261A27" w:rsidRPr="00224673" w:rsidRDefault="00261A27" w:rsidP="00D04F66">
                                        <w:pPr>
                                          <w:tabs>
                                            <w:tab w:val="left" w:pos="4849"/>
                                          </w:tabs>
                                          <w:spacing w:line="276" w:lineRule="auto"/>
                                        </w:pPr>
                                        <w:r w:rsidRPr="00224673">
                                          <w:t>RESULTADO DEL SISTEMA DE ALERTAS</w:t>
                                        </w:r>
                                      </w:p>
                                    </w:tc>
                                    <w:tc>
                                      <w:tcPr>
                                        <w:tcW w:w="1415" w:type="dxa"/>
                                      </w:tcPr>
                                      <w:p w14:paraId="2D4D2A68" w14:textId="77777777" w:rsidR="00261A27" w:rsidRPr="00224673" w:rsidRDefault="00261A27" w:rsidP="00D04F66">
                                        <w:pPr>
                                          <w:tabs>
                                            <w:tab w:val="left" w:pos="4849"/>
                                          </w:tabs>
                                          <w:spacing w:line="276" w:lineRule="auto"/>
                                        </w:pPr>
                                        <w:r w:rsidRPr="00224673">
                                          <w:t>INDICADOR 1 DEUDA PÚBLICA Y OBLIGACIONES SOBRE INGRESOS DE LIBRE DISPOSICIÓN (DYO/ILD)</w:t>
                                        </w:r>
                                      </w:p>
                                    </w:tc>
                                    <w:tc>
                                      <w:tcPr>
                                        <w:tcW w:w="1416" w:type="dxa"/>
                                      </w:tcPr>
                                      <w:p w14:paraId="04609F91" w14:textId="77777777" w:rsidR="00261A27" w:rsidRPr="00224673" w:rsidRDefault="00261A27" w:rsidP="00D04F66">
                                        <w:pPr>
                                          <w:tabs>
                                            <w:tab w:val="left" w:pos="4849"/>
                                          </w:tabs>
                                          <w:spacing w:line="276" w:lineRule="auto"/>
                                        </w:pPr>
                                        <w:r w:rsidRPr="00224673">
                                          <w:t>INDICADOR 2 SERVICIO DE LA DEUDA  DE OBLIGACIONES SOBRE INGRESOS DE LIBRE DISPOSICIÓN (SDYPL/ILD)</w:t>
                                        </w:r>
                                      </w:p>
                                    </w:tc>
                                    <w:tc>
                                      <w:tcPr>
                                        <w:tcW w:w="1416" w:type="dxa"/>
                                      </w:tcPr>
                                      <w:p w14:paraId="09D6319B" w14:textId="77777777" w:rsidR="00261A27" w:rsidRDefault="00261A27" w:rsidP="00D04F66">
                                        <w:pPr>
                                          <w:tabs>
                                            <w:tab w:val="left" w:pos="4849"/>
                                          </w:tabs>
                                          <w:spacing w:line="276" w:lineRule="auto"/>
                                        </w:pPr>
                                        <w:r w:rsidRPr="00224673">
                                          <w:t>INDICADOR 3 OBLIGACIONES A CORTO PLAZO Y PROVEEDORES Y CONGRATISTAS SOBRE INGRESOS TOTALES</w:t>
                                        </w:r>
                                      </w:p>
                                    </w:tc>
                                  </w:tr>
                                </w:tbl>
                                <w:p w14:paraId="360A6AD7" w14:textId="77777777" w:rsidR="00261A27" w:rsidRDefault="00261A27" w:rsidP="00261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26A5C" id="Elipse 7" o:spid="_x0000_s1032" style="position:absolute;left:0;text-align:left;margin-left:46.75pt;margin-top:1.4pt;width:10.2pt;height:10.2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" fillcolor="yellow" strokecolor="#2f528f" strokeweight="1pt">
                      <v:stroke joinstyle="miter"/>
                      <v:textbo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7939B610" w14:textId="77777777" w:rsidTr="000635AB">
                              <w:tc>
                                <w:tcPr>
                                  <w:tcW w:w="1415" w:type="dxa"/>
                                </w:tcPr>
                                <w:p w14:paraId="2DEB0C8C" w14:textId="77777777" w:rsidR="00261A27" w:rsidRPr="00224673" w:rsidRDefault="00261A27" w:rsidP="00D04F66">
                                  <w:pPr>
                                    <w:tabs>
                                      <w:tab w:val="left" w:pos="4849"/>
                                    </w:tabs>
                                    <w:spacing w:line="276" w:lineRule="auto"/>
                                  </w:pPr>
                                  <w:r w:rsidRPr="00224673">
                                    <w:t>RESULTADO DEL SISTEMA DE ALERTAS</w:t>
                                  </w:r>
                                </w:p>
                              </w:tc>
                              <w:tc>
                                <w:tcPr>
                                  <w:tcW w:w="1415" w:type="dxa"/>
                                </w:tcPr>
                                <w:p w14:paraId="2D4D2A68" w14:textId="77777777" w:rsidR="00261A27" w:rsidRPr="00224673" w:rsidRDefault="00261A27" w:rsidP="00D04F66">
                                  <w:pPr>
                                    <w:tabs>
                                      <w:tab w:val="left" w:pos="4849"/>
                                    </w:tabs>
                                    <w:spacing w:line="276" w:lineRule="auto"/>
                                  </w:pPr>
                                  <w:r w:rsidRPr="00224673">
                                    <w:t>INDICADOR 1 DEUDA PÚBLICA Y OBLIGACIONES SOBRE INGRESOS DE LIBRE DISPOSICIÓN (DYO/ILD)</w:t>
                                  </w:r>
                                </w:p>
                              </w:tc>
                              <w:tc>
                                <w:tcPr>
                                  <w:tcW w:w="1416" w:type="dxa"/>
                                </w:tcPr>
                                <w:p w14:paraId="04609F91" w14:textId="77777777" w:rsidR="00261A27" w:rsidRPr="00224673" w:rsidRDefault="00261A27" w:rsidP="00D04F66">
                                  <w:pPr>
                                    <w:tabs>
                                      <w:tab w:val="left" w:pos="4849"/>
                                    </w:tabs>
                                    <w:spacing w:line="276" w:lineRule="auto"/>
                                  </w:pPr>
                                  <w:r w:rsidRPr="00224673">
                                    <w:t>INDICADOR 2 SERVICIO DE LA DEUDA  DE OBLIGACIONES SOBRE INGRESOS DE LIBRE DISPOSICIÓN (SDYPL/ILD)</w:t>
                                  </w:r>
                                </w:p>
                              </w:tc>
                              <w:tc>
                                <w:tcPr>
                                  <w:tcW w:w="1416" w:type="dxa"/>
                                </w:tcPr>
                                <w:p w14:paraId="09D6319B" w14:textId="77777777" w:rsidR="00261A27" w:rsidRDefault="00261A27" w:rsidP="00D04F66">
                                  <w:pPr>
                                    <w:tabs>
                                      <w:tab w:val="left" w:pos="4849"/>
                                    </w:tabs>
                                    <w:spacing w:line="276" w:lineRule="auto"/>
                                  </w:pPr>
                                  <w:r w:rsidRPr="00224673">
                                    <w:t>INDICADOR 3 OBLIGACIONES A CORTO PLAZO Y PROVEEDORES Y CONGRATISTAS SOBRE INGRESOS TOTALES</w:t>
                                  </w:r>
                                </w:p>
                              </w:tc>
                            </w:tr>
                          </w:tbl>
                          <w:p w14:paraId="360A6AD7" w14:textId="77777777" w:rsidR="00261A27" w:rsidRDefault="00261A27" w:rsidP="00261A27">
                            <w:pPr>
                              <w:jc w:val="center"/>
                            </w:pPr>
                          </w:p>
                        </w:txbxContent>
                      </v:textbox>
                    </v:oval>
                  </w:pict>
                </mc:Fallback>
              </mc:AlternateContent>
            </w:r>
            <w:r w:rsidRPr="008913E4">
              <w:rPr>
                <w:sz w:val="18"/>
                <w:szCs w:val="18"/>
              </w:rPr>
              <w:t>74.1%</w:t>
            </w:r>
          </w:p>
        </w:tc>
        <w:tc>
          <w:tcPr>
            <w:tcW w:w="2127" w:type="dxa"/>
          </w:tcPr>
          <w:p w14:paraId="79AF6B09" w14:textId="77777777" w:rsidR="00261A27" w:rsidRPr="008913E4" w:rsidRDefault="00261A27" w:rsidP="00B205BA">
            <w:pPr>
              <w:tabs>
                <w:tab w:val="left" w:pos="4849"/>
              </w:tabs>
              <w:spacing w:after="120" w:line="240" w:lineRule="auto"/>
              <w:rPr>
                <w:sz w:val="18"/>
                <w:szCs w:val="18"/>
              </w:rPr>
            </w:pPr>
            <w:r w:rsidRPr="008913E4">
              <w:rPr>
                <w:noProof/>
                <w:sz w:val="18"/>
                <w:szCs w:val="18"/>
              </w:rPr>
              <mc:AlternateContent>
                <mc:Choice Requires="wps">
                  <w:drawing>
                    <wp:anchor distT="0" distB="0" distL="114300" distR="114300" simplePos="0" relativeHeight="251723776" behindDoc="0" locked="0" layoutInCell="1" allowOverlap="1" wp14:anchorId="16C39E04" wp14:editId="6991B58D">
                      <wp:simplePos x="0" y="0"/>
                      <wp:positionH relativeFrom="column">
                        <wp:posOffset>637540</wp:posOffset>
                      </wp:positionH>
                      <wp:positionV relativeFrom="paragraph">
                        <wp:posOffset>17780</wp:posOffset>
                      </wp:positionV>
                      <wp:extent cx="129540" cy="129540"/>
                      <wp:effectExtent l="0" t="0" r="10160" b="10160"/>
                      <wp:wrapNone/>
                      <wp:docPr id="6" name="Elipse 6"/>
                      <wp:cNvGraphicFramePr/>
                      <a:graphic xmlns:a="http://schemas.openxmlformats.org/drawingml/2006/main">
                        <a:graphicData uri="http://schemas.microsoft.com/office/word/2010/wordprocessingShape">
                          <wps:wsp>
                            <wps:cNvSpPr/>
                            <wps:spPr>
                              <a:xfrm flipH="1">
                                <a:off x="0" y="0"/>
                                <a:ext cx="129540" cy="129540"/>
                              </a:xfrm>
                              <a:prstGeom prst="ellipse">
                                <a:avLst/>
                              </a:prstGeom>
                              <a:solidFill>
                                <a:srgbClr val="FFFF00"/>
                              </a:solidFill>
                              <a:ln w="12700" cap="flat" cmpd="sng" algn="ctr">
                                <a:solidFill>
                                  <a:srgbClr val="4472C4">
                                    <a:shade val="50000"/>
                                  </a:srgbClr>
                                </a:solidFill>
                                <a:prstDash val="solid"/>
                                <a:miter lim="800000"/>
                              </a:ln>
                              <a:effectLst/>
                            </wps:spPr>
                            <wps:txb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5D2C2383" w14:textId="77777777" w:rsidTr="000635AB">
                                    <w:tc>
                                      <w:tcPr>
                                        <w:tcW w:w="1415" w:type="dxa"/>
                                      </w:tcPr>
                                      <w:p w14:paraId="48B18AA7" w14:textId="77777777" w:rsidR="00261A27" w:rsidRPr="00224673" w:rsidRDefault="00261A27" w:rsidP="00D04F66">
                                        <w:pPr>
                                          <w:tabs>
                                            <w:tab w:val="left" w:pos="4849"/>
                                          </w:tabs>
                                          <w:spacing w:line="276" w:lineRule="auto"/>
                                        </w:pPr>
                                        <w:r w:rsidRPr="00224673">
                                          <w:t>RESULTADO DEL SISTEMA DE ALERTAS</w:t>
                                        </w:r>
                                      </w:p>
                                    </w:tc>
                                    <w:tc>
                                      <w:tcPr>
                                        <w:tcW w:w="1415" w:type="dxa"/>
                                      </w:tcPr>
                                      <w:p w14:paraId="5E210C9F" w14:textId="77777777" w:rsidR="00261A27" w:rsidRPr="00224673" w:rsidRDefault="00261A27" w:rsidP="00D04F66">
                                        <w:pPr>
                                          <w:tabs>
                                            <w:tab w:val="left" w:pos="4849"/>
                                          </w:tabs>
                                          <w:spacing w:line="276" w:lineRule="auto"/>
                                        </w:pPr>
                                        <w:r w:rsidRPr="00224673">
                                          <w:t>INDICADOR 1 DEUDA PÚBLICA Y OBLIGACIONES SOBRE INGRESOS DE LIBRE DISPOSICIÓN (DYO/ILD)</w:t>
                                        </w:r>
                                      </w:p>
                                    </w:tc>
                                    <w:tc>
                                      <w:tcPr>
                                        <w:tcW w:w="1416" w:type="dxa"/>
                                      </w:tcPr>
                                      <w:p w14:paraId="34EE1571" w14:textId="77777777" w:rsidR="00261A27" w:rsidRPr="00224673" w:rsidRDefault="00261A27" w:rsidP="00D04F66">
                                        <w:pPr>
                                          <w:tabs>
                                            <w:tab w:val="left" w:pos="4849"/>
                                          </w:tabs>
                                          <w:spacing w:line="276" w:lineRule="auto"/>
                                        </w:pPr>
                                        <w:r w:rsidRPr="00224673">
                                          <w:t>INDICADOR 2 SERVICIO DE LA DEUDA  DE OBLIGACIONES SOBRE INGRESOS DE LIBRE DISPOSICIÓN (SDYPL/ILD)</w:t>
                                        </w:r>
                                      </w:p>
                                    </w:tc>
                                    <w:tc>
                                      <w:tcPr>
                                        <w:tcW w:w="1416" w:type="dxa"/>
                                      </w:tcPr>
                                      <w:p w14:paraId="2CB9562F" w14:textId="77777777" w:rsidR="00261A27" w:rsidRDefault="00261A27" w:rsidP="00D04F66">
                                        <w:pPr>
                                          <w:tabs>
                                            <w:tab w:val="left" w:pos="4849"/>
                                          </w:tabs>
                                          <w:spacing w:line="276" w:lineRule="auto"/>
                                        </w:pPr>
                                        <w:r w:rsidRPr="00224673">
                                          <w:t>INDICADOR 3 OBLIGACIONES A CORTO PLAZO Y PROVEEDORES Y CONGRATISTAS SOBRE INGRESOS TOTALES</w:t>
                                        </w:r>
                                      </w:p>
                                    </w:tc>
                                  </w:tr>
                                </w:tbl>
                                <w:p w14:paraId="015B3BA6" w14:textId="77777777" w:rsidR="00261A27" w:rsidRDefault="00261A27" w:rsidP="00261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39E04" id="Elipse 6" o:spid="_x0000_s1033" style="position:absolute;left:0;text-align:left;margin-left:50.2pt;margin-top:1.4pt;width:10.2pt;height:10.2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" fillcolor="yellow" strokecolor="#2f528f" strokeweight="1pt">
                      <v:stroke joinstyle="miter"/>
                      <v:textbo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5D2C2383" w14:textId="77777777" w:rsidTr="000635AB">
                              <w:tc>
                                <w:tcPr>
                                  <w:tcW w:w="1415" w:type="dxa"/>
                                </w:tcPr>
                                <w:p w14:paraId="48B18AA7" w14:textId="77777777" w:rsidR="00261A27" w:rsidRPr="00224673" w:rsidRDefault="00261A27" w:rsidP="00D04F66">
                                  <w:pPr>
                                    <w:tabs>
                                      <w:tab w:val="left" w:pos="4849"/>
                                    </w:tabs>
                                    <w:spacing w:line="276" w:lineRule="auto"/>
                                  </w:pPr>
                                  <w:r w:rsidRPr="00224673">
                                    <w:t>RESULTADO DEL SISTEMA DE ALERTAS</w:t>
                                  </w:r>
                                </w:p>
                              </w:tc>
                              <w:tc>
                                <w:tcPr>
                                  <w:tcW w:w="1415" w:type="dxa"/>
                                </w:tcPr>
                                <w:p w14:paraId="5E210C9F" w14:textId="77777777" w:rsidR="00261A27" w:rsidRPr="00224673" w:rsidRDefault="00261A27" w:rsidP="00D04F66">
                                  <w:pPr>
                                    <w:tabs>
                                      <w:tab w:val="left" w:pos="4849"/>
                                    </w:tabs>
                                    <w:spacing w:line="276" w:lineRule="auto"/>
                                  </w:pPr>
                                  <w:r w:rsidRPr="00224673">
                                    <w:t>INDICADOR 1 DEUDA PÚBLICA Y OBLIGACIONES SOBRE INGRESOS DE LIBRE DISPOSICIÓN (DYO/ILD)</w:t>
                                  </w:r>
                                </w:p>
                              </w:tc>
                              <w:tc>
                                <w:tcPr>
                                  <w:tcW w:w="1416" w:type="dxa"/>
                                </w:tcPr>
                                <w:p w14:paraId="34EE1571" w14:textId="77777777" w:rsidR="00261A27" w:rsidRPr="00224673" w:rsidRDefault="00261A27" w:rsidP="00D04F66">
                                  <w:pPr>
                                    <w:tabs>
                                      <w:tab w:val="left" w:pos="4849"/>
                                    </w:tabs>
                                    <w:spacing w:line="276" w:lineRule="auto"/>
                                  </w:pPr>
                                  <w:r w:rsidRPr="00224673">
                                    <w:t>INDICADOR 2 SERVICIO DE LA DEUDA  DE OBLIGACIONES SOBRE INGRESOS DE LIBRE DISPOSICIÓN (SDYPL/ILD)</w:t>
                                  </w:r>
                                </w:p>
                              </w:tc>
                              <w:tc>
                                <w:tcPr>
                                  <w:tcW w:w="1416" w:type="dxa"/>
                                </w:tcPr>
                                <w:p w14:paraId="2CB9562F" w14:textId="77777777" w:rsidR="00261A27" w:rsidRDefault="00261A27" w:rsidP="00D04F66">
                                  <w:pPr>
                                    <w:tabs>
                                      <w:tab w:val="left" w:pos="4849"/>
                                    </w:tabs>
                                    <w:spacing w:line="276" w:lineRule="auto"/>
                                  </w:pPr>
                                  <w:r w:rsidRPr="00224673">
                                    <w:t>INDICADOR 3 OBLIGACIONES A CORTO PLAZO Y PROVEEDORES Y CONGRATISTAS SOBRE INGRESOS TOTALES</w:t>
                                  </w:r>
                                </w:p>
                              </w:tc>
                            </w:tr>
                          </w:tbl>
                          <w:p w14:paraId="015B3BA6" w14:textId="77777777" w:rsidR="00261A27" w:rsidRDefault="00261A27" w:rsidP="00261A27">
                            <w:pPr>
                              <w:jc w:val="center"/>
                            </w:pPr>
                          </w:p>
                        </w:txbxContent>
                      </v:textbox>
                    </v:oval>
                  </w:pict>
                </mc:Fallback>
              </mc:AlternateContent>
            </w:r>
            <w:r w:rsidRPr="008913E4">
              <w:rPr>
                <w:sz w:val="18"/>
                <w:szCs w:val="18"/>
              </w:rPr>
              <w:t>8.5%</w:t>
            </w:r>
          </w:p>
        </w:tc>
        <w:tc>
          <w:tcPr>
            <w:tcW w:w="1984" w:type="dxa"/>
          </w:tcPr>
          <w:p w14:paraId="59AA249D" w14:textId="77777777" w:rsidR="00261A27" w:rsidRPr="008913E4" w:rsidRDefault="00261A27" w:rsidP="00B205BA">
            <w:pPr>
              <w:tabs>
                <w:tab w:val="left" w:pos="4849"/>
              </w:tabs>
              <w:spacing w:after="120" w:line="240" w:lineRule="auto"/>
              <w:rPr>
                <w:sz w:val="18"/>
                <w:szCs w:val="18"/>
              </w:rPr>
            </w:pPr>
            <w:r w:rsidRPr="008913E4">
              <w:rPr>
                <w:noProof/>
                <w:sz w:val="18"/>
                <w:szCs w:val="18"/>
              </w:rPr>
              <mc:AlternateContent>
                <mc:Choice Requires="wps">
                  <w:drawing>
                    <wp:anchor distT="0" distB="0" distL="114300" distR="114300" simplePos="0" relativeHeight="251722752" behindDoc="0" locked="0" layoutInCell="1" allowOverlap="1" wp14:anchorId="15EEC19C" wp14:editId="038639EB">
                      <wp:simplePos x="0" y="0"/>
                      <wp:positionH relativeFrom="column">
                        <wp:posOffset>701675</wp:posOffset>
                      </wp:positionH>
                      <wp:positionV relativeFrom="paragraph">
                        <wp:posOffset>26035</wp:posOffset>
                      </wp:positionV>
                      <wp:extent cx="129540" cy="129540"/>
                      <wp:effectExtent l="0" t="0" r="10160" b="10160"/>
                      <wp:wrapNone/>
                      <wp:docPr id="5" name="Elipse 5"/>
                      <wp:cNvGraphicFramePr/>
                      <a:graphic xmlns:a="http://schemas.openxmlformats.org/drawingml/2006/main">
                        <a:graphicData uri="http://schemas.microsoft.com/office/word/2010/wordprocessingShape">
                          <wps:wsp>
                            <wps:cNvSpPr/>
                            <wps:spPr>
                              <a:xfrm flipH="1">
                                <a:off x="0" y="0"/>
                                <a:ext cx="129540" cy="129540"/>
                              </a:xfrm>
                              <a:prstGeom prst="ellipse">
                                <a:avLst/>
                              </a:prstGeom>
                              <a:solidFill>
                                <a:srgbClr val="70AD47"/>
                              </a:solidFill>
                              <a:ln w="12700" cap="flat" cmpd="sng" algn="ctr">
                                <a:solidFill>
                                  <a:srgbClr val="4472C4">
                                    <a:shade val="50000"/>
                                  </a:srgbClr>
                                </a:solidFill>
                                <a:prstDash val="solid"/>
                                <a:miter lim="800000"/>
                              </a:ln>
                              <a:effectLst/>
                            </wps:spPr>
                            <wps:txb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34F5605B" w14:textId="77777777" w:rsidTr="000635AB">
                                    <w:tc>
                                      <w:tcPr>
                                        <w:tcW w:w="1415" w:type="dxa"/>
                                      </w:tcPr>
                                      <w:p w14:paraId="240C07BA" w14:textId="77777777" w:rsidR="00261A27" w:rsidRDefault="00261A27" w:rsidP="00D04F66">
                                        <w:pPr>
                                          <w:tabs>
                                            <w:tab w:val="left" w:pos="4849"/>
                                          </w:tabs>
                                          <w:spacing w:line="276" w:lineRule="auto"/>
                                        </w:pPr>
                                        <w:r>
                                          <w:t>RESULTADO DEL SISTEMA DE ALERTAS</w:t>
                                        </w:r>
                                      </w:p>
                                    </w:tc>
                                    <w:tc>
                                      <w:tcPr>
                                        <w:tcW w:w="1415" w:type="dxa"/>
                                      </w:tcPr>
                                      <w:p w14:paraId="7C913BCA"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6AAFBC30"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72D37326" w14:textId="77777777" w:rsidR="00261A27" w:rsidRDefault="00261A27" w:rsidP="00D04F66">
                                        <w:pPr>
                                          <w:tabs>
                                            <w:tab w:val="left" w:pos="4849"/>
                                          </w:tabs>
                                          <w:spacing w:line="276" w:lineRule="auto"/>
                                        </w:pPr>
                                        <w:r>
                                          <w:t>INDICADOR 3 OBLIGACIONES A CORTO PLAZO Y PROVEEDORES Y CONGRATISTAS SOBRE INGRESOS TOTALES</w:t>
                                        </w:r>
                                      </w:p>
                                    </w:tc>
                                  </w:tr>
                                </w:tbl>
                                <w:p w14:paraId="447E5E19" w14:textId="77777777" w:rsidR="00261A27" w:rsidRDefault="00261A27" w:rsidP="00261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EC19C" id="Elipse 5" o:spid="_x0000_s1034" style="position:absolute;left:0;text-align:left;margin-left:55.25pt;margin-top:2.05pt;width:10.2pt;height:10.2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" fillcolor="#70ad47" strokecolor="#2f528f" strokeweight="1pt">
                      <v:stroke joinstyle="miter"/>
                      <v:textbo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34F5605B" w14:textId="77777777" w:rsidTr="000635AB">
                              <w:tc>
                                <w:tcPr>
                                  <w:tcW w:w="1415" w:type="dxa"/>
                                </w:tcPr>
                                <w:p w14:paraId="240C07BA" w14:textId="77777777" w:rsidR="00261A27" w:rsidRDefault="00261A27" w:rsidP="00D04F66">
                                  <w:pPr>
                                    <w:tabs>
                                      <w:tab w:val="left" w:pos="4849"/>
                                    </w:tabs>
                                    <w:spacing w:line="276" w:lineRule="auto"/>
                                  </w:pPr>
                                  <w:r>
                                    <w:t>RESULTADO DEL SISTEMA DE ALERTAS</w:t>
                                  </w:r>
                                </w:p>
                              </w:tc>
                              <w:tc>
                                <w:tcPr>
                                  <w:tcW w:w="1415" w:type="dxa"/>
                                </w:tcPr>
                                <w:p w14:paraId="7C913BCA"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6AAFBC30"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72D37326" w14:textId="77777777" w:rsidR="00261A27" w:rsidRDefault="00261A27" w:rsidP="00D04F66">
                                  <w:pPr>
                                    <w:tabs>
                                      <w:tab w:val="left" w:pos="4849"/>
                                    </w:tabs>
                                    <w:spacing w:line="276" w:lineRule="auto"/>
                                  </w:pPr>
                                  <w:r>
                                    <w:t>INDICADOR 3 OBLIGACIONES A CORTO PLAZO Y PROVEEDORES Y CONGRATISTAS SOBRE INGRESOS TOTALES</w:t>
                                  </w:r>
                                </w:p>
                              </w:tc>
                            </w:tr>
                          </w:tbl>
                          <w:p w14:paraId="447E5E19" w14:textId="77777777" w:rsidR="00261A27" w:rsidRDefault="00261A27" w:rsidP="00261A27">
                            <w:pPr>
                              <w:jc w:val="center"/>
                            </w:pPr>
                          </w:p>
                        </w:txbxContent>
                      </v:textbox>
                    </v:oval>
                  </w:pict>
                </mc:Fallback>
              </mc:AlternateContent>
            </w:r>
            <w:r w:rsidRPr="008913E4">
              <w:rPr>
                <w:sz w:val="18"/>
                <w:szCs w:val="18"/>
              </w:rPr>
              <w:t xml:space="preserve"> 6.3%</w:t>
            </w:r>
          </w:p>
        </w:tc>
      </w:tr>
      <w:tr w:rsidR="00261A27" w:rsidRPr="008913E4" w14:paraId="2A0554C2" w14:textId="77777777" w:rsidTr="00261A27">
        <w:tc>
          <w:tcPr>
            <w:tcW w:w="988" w:type="dxa"/>
          </w:tcPr>
          <w:p w14:paraId="40955B98" w14:textId="77777777" w:rsidR="00261A27" w:rsidRPr="008913E4" w:rsidRDefault="00261A27" w:rsidP="00B205BA">
            <w:pPr>
              <w:tabs>
                <w:tab w:val="left" w:pos="4849"/>
              </w:tabs>
              <w:spacing w:after="120" w:line="240" w:lineRule="auto"/>
              <w:jc w:val="center"/>
              <w:rPr>
                <w:sz w:val="18"/>
                <w:szCs w:val="18"/>
              </w:rPr>
            </w:pPr>
            <w:r>
              <w:rPr>
                <w:sz w:val="18"/>
                <w:szCs w:val="18"/>
              </w:rPr>
              <w:t>1</w:t>
            </w:r>
            <w:r w:rsidRPr="00AF0E23">
              <w:rPr>
                <w:sz w:val="18"/>
                <w:szCs w:val="18"/>
                <w:vertAlign w:val="superscript"/>
              </w:rPr>
              <w:t>er</w:t>
            </w:r>
            <w:r>
              <w:rPr>
                <w:sz w:val="18"/>
                <w:szCs w:val="18"/>
              </w:rPr>
              <w:t xml:space="preserve"> </w:t>
            </w:r>
            <w:r w:rsidRPr="008913E4">
              <w:rPr>
                <w:sz w:val="18"/>
                <w:szCs w:val="18"/>
              </w:rPr>
              <w:t>semestre 2024</w:t>
            </w:r>
          </w:p>
        </w:tc>
        <w:tc>
          <w:tcPr>
            <w:tcW w:w="1701" w:type="dxa"/>
          </w:tcPr>
          <w:p w14:paraId="3CE7AC29" w14:textId="77777777" w:rsidR="00261A27" w:rsidRPr="008913E4" w:rsidRDefault="00261A27" w:rsidP="00B205BA">
            <w:pPr>
              <w:tabs>
                <w:tab w:val="left" w:pos="4849"/>
              </w:tabs>
              <w:spacing w:after="120" w:line="240" w:lineRule="auto"/>
              <w:rPr>
                <w:sz w:val="18"/>
                <w:szCs w:val="18"/>
              </w:rPr>
            </w:pPr>
            <w:r w:rsidRPr="008913E4">
              <w:rPr>
                <w:noProof/>
                <w:sz w:val="18"/>
                <w:szCs w:val="18"/>
              </w:rPr>
              <mc:AlternateContent>
                <mc:Choice Requires="wps">
                  <w:drawing>
                    <wp:anchor distT="0" distB="0" distL="114300" distR="114300" simplePos="0" relativeHeight="251726848" behindDoc="0" locked="0" layoutInCell="1" allowOverlap="1" wp14:anchorId="4F68A158" wp14:editId="39E63921">
                      <wp:simplePos x="0" y="0"/>
                      <wp:positionH relativeFrom="column">
                        <wp:posOffset>801661</wp:posOffset>
                      </wp:positionH>
                      <wp:positionV relativeFrom="paragraph">
                        <wp:posOffset>46355</wp:posOffset>
                      </wp:positionV>
                      <wp:extent cx="129540" cy="129540"/>
                      <wp:effectExtent l="0" t="0" r="10160" b="10160"/>
                      <wp:wrapNone/>
                      <wp:docPr id="11" name="Elipse 11"/>
                      <wp:cNvGraphicFramePr/>
                      <a:graphic xmlns:a="http://schemas.openxmlformats.org/drawingml/2006/main">
                        <a:graphicData uri="http://schemas.microsoft.com/office/word/2010/wordprocessingShape">
                          <wps:wsp>
                            <wps:cNvSpPr/>
                            <wps:spPr>
                              <a:xfrm flipH="1">
                                <a:off x="0" y="0"/>
                                <a:ext cx="129540" cy="129540"/>
                              </a:xfrm>
                              <a:prstGeom prst="ellipse">
                                <a:avLst/>
                              </a:prstGeom>
                              <a:solidFill>
                                <a:srgbClr val="70AD47"/>
                              </a:solidFill>
                              <a:ln w="12700" cap="flat" cmpd="sng" algn="ctr">
                                <a:solidFill>
                                  <a:srgbClr val="4472C4">
                                    <a:shade val="50000"/>
                                  </a:srgbClr>
                                </a:solidFill>
                                <a:prstDash val="solid"/>
                                <a:miter lim="800000"/>
                              </a:ln>
                              <a:effectLst/>
                            </wps:spPr>
                            <wps:txb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23490C84" w14:textId="77777777" w:rsidTr="000635AB">
                                    <w:tc>
                                      <w:tcPr>
                                        <w:tcW w:w="1415" w:type="dxa"/>
                                      </w:tcPr>
                                      <w:p w14:paraId="3EECB328" w14:textId="77777777" w:rsidR="00261A27" w:rsidRDefault="00261A27" w:rsidP="00D04F66">
                                        <w:pPr>
                                          <w:tabs>
                                            <w:tab w:val="left" w:pos="4849"/>
                                          </w:tabs>
                                          <w:spacing w:line="276" w:lineRule="auto"/>
                                        </w:pPr>
                                        <w:r>
                                          <w:t>RESULTADO DEL SISTEMA DE ALERTAS</w:t>
                                        </w:r>
                                      </w:p>
                                    </w:tc>
                                    <w:tc>
                                      <w:tcPr>
                                        <w:tcW w:w="1415" w:type="dxa"/>
                                      </w:tcPr>
                                      <w:p w14:paraId="19A1E9B7"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738FBF55"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6CAC265F" w14:textId="77777777" w:rsidR="00261A27" w:rsidRDefault="00261A27" w:rsidP="00D04F66">
                                        <w:pPr>
                                          <w:tabs>
                                            <w:tab w:val="left" w:pos="4849"/>
                                          </w:tabs>
                                          <w:spacing w:line="276" w:lineRule="auto"/>
                                        </w:pPr>
                                        <w:r>
                                          <w:t>INDICADOR 3 OBLIGACIONES A CORTO PLAZO Y PROVEEDORES Y CONGRATISTAS SOBRE INGRESOS TOTALES</w:t>
                                        </w:r>
                                      </w:p>
                                    </w:tc>
                                  </w:tr>
                                </w:tbl>
                                <w:p w14:paraId="4471DD20" w14:textId="77777777" w:rsidR="00261A27" w:rsidRDefault="00261A27" w:rsidP="00261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8A158" id="Elipse 11" o:spid="_x0000_s1035" style="position:absolute;left:0;text-align:left;margin-left:63.1pt;margin-top:3.65pt;width:10.2pt;height:10.2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" fillcolor="#70ad47" strokecolor="#2f528f" strokeweight="1pt">
                      <v:stroke joinstyle="miter"/>
                      <v:textbo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23490C84" w14:textId="77777777" w:rsidTr="000635AB">
                              <w:tc>
                                <w:tcPr>
                                  <w:tcW w:w="1415" w:type="dxa"/>
                                </w:tcPr>
                                <w:p w14:paraId="3EECB328" w14:textId="77777777" w:rsidR="00261A27" w:rsidRDefault="00261A27" w:rsidP="00D04F66">
                                  <w:pPr>
                                    <w:tabs>
                                      <w:tab w:val="left" w:pos="4849"/>
                                    </w:tabs>
                                    <w:spacing w:line="276" w:lineRule="auto"/>
                                  </w:pPr>
                                  <w:r>
                                    <w:t>RESULTADO DEL SISTEMA DE ALERTAS</w:t>
                                  </w:r>
                                </w:p>
                              </w:tc>
                              <w:tc>
                                <w:tcPr>
                                  <w:tcW w:w="1415" w:type="dxa"/>
                                </w:tcPr>
                                <w:p w14:paraId="19A1E9B7"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738FBF55"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6CAC265F" w14:textId="77777777" w:rsidR="00261A27" w:rsidRDefault="00261A27" w:rsidP="00D04F66">
                                  <w:pPr>
                                    <w:tabs>
                                      <w:tab w:val="left" w:pos="4849"/>
                                    </w:tabs>
                                    <w:spacing w:line="276" w:lineRule="auto"/>
                                  </w:pPr>
                                  <w:r>
                                    <w:t>INDICADOR 3 OBLIGACIONES A CORTO PLAZO Y PROVEEDORES Y CONGRATISTAS SOBRE INGRESOS TOTALES</w:t>
                                  </w:r>
                                </w:p>
                              </w:tc>
                            </w:tr>
                          </w:tbl>
                          <w:p w14:paraId="4471DD20" w14:textId="77777777" w:rsidR="00261A27" w:rsidRDefault="00261A27" w:rsidP="00261A27">
                            <w:pPr>
                              <w:jc w:val="center"/>
                            </w:pPr>
                          </w:p>
                        </w:txbxContent>
                      </v:textbox>
                    </v:oval>
                  </w:pict>
                </mc:Fallback>
              </mc:AlternateContent>
            </w:r>
            <w:r w:rsidRPr="008913E4">
              <w:rPr>
                <w:sz w:val="18"/>
                <w:szCs w:val="18"/>
              </w:rPr>
              <w:t>Endeudamiento sostenible</w:t>
            </w:r>
          </w:p>
        </w:tc>
        <w:tc>
          <w:tcPr>
            <w:tcW w:w="1842" w:type="dxa"/>
          </w:tcPr>
          <w:p w14:paraId="1EC487D9" w14:textId="77777777" w:rsidR="00261A27" w:rsidRPr="008913E4" w:rsidRDefault="00261A27" w:rsidP="00B205BA">
            <w:pPr>
              <w:tabs>
                <w:tab w:val="left" w:pos="4849"/>
              </w:tabs>
              <w:spacing w:after="120" w:line="240" w:lineRule="auto"/>
              <w:rPr>
                <w:sz w:val="18"/>
                <w:szCs w:val="18"/>
              </w:rPr>
            </w:pPr>
            <w:r w:rsidRPr="008913E4">
              <w:rPr>
                <w:noProof/>
                <w:sz w:val="18"/>
                <w:szCs w:val="18"/>
              </w:rPr>
              <mc:AlternateContent>
                <mc:Choice Requires="wps">
                  <w:drawing>
                    <wp:anchor distT="0" distB="0" distL="114300" distR="114300" simplePos="0" relativeHeight="251727872" behindDoc="0" locked="0" layoutInCell="1" allowOverlap="1" wp14:anchorId="0A648912" wp14:editId="4DEB26F8">
                      <wp:simplePos x="0" y="0"/>
                      <wp:positionH relativeFrom="column">
                        <wp:posOffset>593725</wp:posOffset>
                      </wp:positionH>
                      <wp:positionV relativeFrom="paragraph">
                        <wp:posOffset>46355</wp:posOffset>
                      </wp:positionV>
                      <wp:extent cx="129540" cy="129540"/>
                      <wp:effectExtent l="0" t="0" r="10160" b="10160"/>
                      <wp:wrapNone/>
                      <wp:docPr id="1197161304" name="Elipse 1197161304"/>
                      <wp:cNvGraphicFramePr/>
                      <a:graphic xmlns:a="http://schemas.openxmlformats.org/drawingml/2006/main">
                        <a:graphicData uri="http://schemas.microsoft.com/office/word/2010/wordprocessingShape">
                          <wps:wsp>
                            <wps:cNvSpPr/>
                            <wps:spPr>
                              <a:xfrm flipH="1">
                                <a:off x="0" y="0"/>
                                <a:ext cx="129540" cy="129540"/>
                              </a:xfrm>
                              <a:prstGeom prst="ellipse">
                                <a:avLst/>
                              </a:prstGeom>
                              <a:solidFill>
                                <a:srgbClr val="70AD47"/>
                              </a:solidFill>
                              <a:ln w="12700" cap="flat" cmpd="sng" algn="ctr">
                                <a:solidFill>
                                  <a:srgbClr val="4472C4">
                                    <a:shade val="50000"/>
                                  </a:srgbClr>
                                </a:solidFill>
                                <a:prstDash val="solid"/>
                                <a:miter lim="800000"/>
                              </a:ln>
                              <a:effectLst/>
                            </wps:spPr>
                            <wps:txb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2E150ABB" w14:textId="77777777" w:rsidTr="000635AB">
                                    <w:tc>
                                      <w:tcPr>
                                        <w:tcW w:w="1415" w:type="dxa"/>
                                      </w:tcPr>
                                      <w:p w14:paraId="5F3CDECD" w14:textId="77777777" w:rsidR="00261A27" w:rsidRDefault="00261A27" w:rsidP="00D04F66">
                                        <w:pPr>
                                          <w:tabs>
                                            <w:tab w:val="left" w:pos="4849"/>
                                          </w:tabs>
                                          <w:spacing w:line="276" w:lineRule="auto"/>
                                        </w:pPr>
                                        <w:r>
                                          <w:t>RESULTADO DEL SISTEMA DE ALERTAS</w:t>
                                        </w:r>
                                      </w:p>
                                    </w:tc>
                                    <w:tc>
                                      <w:tcPr>
                                        <w:tcW w:w="1415" w:type="dxa"/>
                                      </w:tcPr>
                                      <w:p w14:paraId="3D3C57EF"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4F063029"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3B72618C" w14:textId="77777777" w:rsidR="00261A27" w:rsidRDefault="00261A27" w:rsidP="00D04F66">
                                        <w:pPr>
                                          <w:tabs>
                                            <w:tab w:val="left" w:pos="4849"/>
                                          </w:tabs>
                                          <w:spacing w:line="276" w:lineRule="auto"/>
                                        </w:pPr>
                                        <w:r>
                                          <w:t>INDICADOR 3 OBLIGACIONES A CORTO PLAZO Y PROVEEDORES Y CONGRATISTAS SOBRE INGRESOS TOTALES</w:t>
                                        </w:r>
                                      </w:p>
                                    </w:tc>
                                  </w:tr>
                                </w:tbl>
                                <w:p w14:paraId="78497DB9" w14:textId="77777777" w:rsidR="00261A27" w:rsidRDefault="00261A27" w:rsidP="00261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48912" id="Elipse 1197161304" o:spid="_x0000_s1036" style="position:absolute;left:0;text-align:left;margin-left:46.75pt;margin-top:3.65pt;width:10.2pt;height:10.2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" fillcolor="#70ad47" strokecolor="#2f528f" strokeweight="1pt">
                      <v:stroke joinstyle="miter"/>
                      <v:textbo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2E150ABB" w14:textId="77777777" w:rsidTr="000635AB">
                              <w:tc>
                                <w:tcPr>
                                  <w:tcW w:w="1415" w:type="dxa"/>
                                </w:tcPr>
                                <w:p w14:paraId="5F3CDECD" w14:textId="77777777" w:rsidR="00261A27" w:rsidRDefault="00261A27" w:rsidP="00D04F66">
                                  <w:pPr>
                                    <w:tabs>
                                      <w:tab w:val="left" w:pos="4849"/>
                                    </w:tabs>
                                    <w:spacing w:line="276" w:lineRule="auto"/>
                                  </w:pPr>
                                  <w:r>
                                    <w:t>RESULTADO DEL SISTEMA DE ALERTAS</w:t>
                                  </w:r>
                                </w:p>
                              </w:tc>
                              <w:tc>
                                <w:tcPr>
                                  <w:tcW w:w="1415" w:type="dxa"/>
                                </w:tcPr>
                                <w:p w14:paraId="3D3C57EF"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4F063029"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3B72618C" w14:textId="77777777" w:rsidR="00261A27" w:rsidRDefault="00261A27" w:rsidP="00D04F66">
                                  <w:pPr>
                                    <w:tabs>
                                      <w:tab w:val="left" w:pos="4849"/>
                                    </w:tabs>
                                    <w:spacing w:line="276" w:lineRule="auto"/>
                                  </w:pPr>
                                  <w:r>
                                    <w:t>INDICADOR 3 OBLIGACIONES A CORTO PLAZO Y PROVEEDORES Y CONGRATISTAS SOBRE INGRESOS TOTALES</w:t>
                                  </w:r>
                                </w:p>
                              </w:tc>
                            </w:tr>
                          </w:tbl>
                          <w:p w14:paraId="78497DB9" w14:textId="77777777" w:rsidR="00261A27" w:rsidRDefault="00261A27" w:rsidP="00261A27">
                            <w:pPr>
                              <w:jc w:val="center"/>
                            </w:pPr>
                          </w:p>
                        </w:txbxContent>
                      </v:textbox>
                    </v:oval>
                  </w:pict>
                </mc:Fallback>
              </mc:AlternateContent>
            </w:r>
            <w:r w:rsidRPr="008913E4">
              <w:rPr>
                <w:sz w:val="18"/>
                <w:szCs w:val="18"/>
              </w:rPr>
              <w:t>39.1%</w:t>
            </w:r>
          </w:p>
        </w:tc>
        <w:tc>
          <w:tcPr>
            <w:tcW w:w="2127" w:type="dxa"/>
          </w:tcPr>
          <w:p w14:paraId="749C5955" w14:textId="77777777" w:rsidR="00261A27" w:rsidRPr="008913E4" w:rsidRDefault="00261A27" w:rsidP="00B205BA">
            <w:pPr>
              <w:tabs>
                <w:tab w:val="left" w:pos="4849"/>
              </w:tabs>
              <w:spacing w:after="120" w:line="240" w:lineRule="auto"/>
              <w:rPr>
                <w:sz w:val="18"/>
                <w:szCs w:val="18"/>
              </w:rPr>
            </w:pPr>
            <w:r w:rsidRPr="008913E4">
              <w:rPr>
                <w:noProof/>
                <w:sz w:val="18"/>
                <w:szCs w:val="18"/>
              </w:rPr>
              <mc:AlternateContent>
                <mc:Choice Requires="wps">
                  <w:drawing>
                    <wp:anchor distT="0" distB="0" distL="114300" distR="114300" simplePos="0" relativeHeight="251728896" behindDoc="0" locked="0" layoutInCell="1" allowOverlap="1" wp14:anchorId="5142D11C" wp14:editId="0B5CF0EC">
                      <wp:simplePos x="0" y="0"/>
                      <wp:positionH relativeFrom="column">
                        <wp:posOffset>645160</wp:posOffset>
                      </wp:positionH>
                      <wp:positionV relativeFrom="paragraph">
                        <wp:posOffset>23495</wp:posOffset>
                      </wp:positionV>
                      <wp:extent cx="129540" cy="129540"/>
                      <wp:effectExtent l="0" t="0" r="10160" b="10160"/>
                      <wp:wrapNone/>
                      <wp:docPr id="13" name="Elipse 13"/>
                      <wp:cNvGraphicFramePr/>
                      <a:graphic xmlns:a="http://schemas.openxmlformats.org/drawingml/2006/main">
                        <a:graphicData uri="http://schemas.microsoft.com/office/word/2010/wordprocessingShape">
                          <wps:wsp>
                            <wps:cNvSpPr/>
                            <wps:spPr>
                              <a:xfrm flipH="1">
                                <a:off x="0" y="0"/>
                                <a:ext cx="129540" cy="129540"/>
                              </a:xfrm>
                              <a:prstGeom prst="ellipse">
                                <a:avLst/>
                              </a:prstGeom>
                              <a:solidFill>
                                <a:srgbClr val="70AD47"/>
                              </a:solidFill>
                              <a:ln w="12700" cap="flat" cmpd="sng" algn="ctr">
                                <a:solidFill>
                                  <a:srgbClr val="4472C4">
                                    <a:shade val="50000"/>
                                  </a:srgbClr>
                                </a:solidFill>
                                <a:prstDash val="solid"/>
                                <a:miter lim="800000"/>
                              </a:ln>
                              <a:effectLst/>
                            </wps:spPr>
                            <wps:txb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69BE241A" w14:textId="77777777" w:rsidTr="000635AB">
                                    <w:tc>
                                      <w:tcPr>
                                        <w:tcW w:w="1415" w:type="dxa"/>
                                      </w:tcPr>
                                      <w:p w14:paraId="36692196" w14:textId="77777777" w:rsidR="00261A27" w:rsidRDefault="00261A27" w:rsidP="00D04F66">
                                        <w:pPr>
                                          <w:tabs>
                                            <w:tab w:val="left" w:pos="4849"/>
                                          </w:tabs>
                                          <w:spacing w:line="276" w:lineRule="auto"/>
                                        </w:pPr>
                                        <w:r>
                                          <w:t>RESULTADO DEL SISTEMA DE ALERTAS</w:t>
                                        </w:r>
                                      </w:p>
                                    </w:tc>
                                    <w:tc>
                                      <w:tcPr>
                                        <w:tcW w:w="1415" w:type="dxa"/>
                                      </w:tcPr>
                                      <w:p w14:paraId="7A3A493C"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29188985"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2D607D92" w14:textId="77777777" w:rsidR="00261A27" w:rsidRDefault="00261A27" w:rsidP="00D04F66">
                                        <w:pPr>
                                          <w:tabs>
                                            <w:tab w:val="left" w:pos="4849"/>
                                          </w:tabs>
                                          <w:spacing w:line="276" w:lineRule="auto"/>
                                        </w:pPr>
                                        <w:r>
                                          <w:t>INDICADOR 3 OBLIGACIONES A CORTO PLAZO Y PROVEEDORES Y CONGRATISTAS SOBRE INGRESOS TOTALES</w:t>
                                        </w:r>
                                      </w:p>
                                    </w:tc>
                                  </w:tr>
                                </w:tbl>
                                <w:p w14:paraId="3E7BE006" w14:textId="77777777" w:rsidR="00261A27" w:rsidRDefault="00261A27" w:rsidP="00261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2D11C" id="Elipse 13" o:spid="_x0000_s1037" style="position:absolute;left:0;text-align:left;margin-left:50.8pt;margin-top:1.85pt;width:10.2pt;height:10.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" fillcolor="#70ad47" strokecolor="#2f528f" strokeweight="1pt">
                      <v:stroke joinstyle="miter"/>
                      <v:textbo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69BE241A" w14:textId="77777777" w:rsidTr="000635AB">
                              <w:tc>
                                <w:tcPr>
                                  <w:tcW w:w="1415" w:type="dxa"/>
                                </w:tcPr>
                                <w:p w14:paraId="36692196" w14:textId="77777777" w:rsidR="00261A27" w:rsidRDefault="00261A27" w:rsidP="00D04F66">
                                  <w:pPr>
                                    <w:tabs>
                                      <w:tab w:val="left" w:pos="4849"/>
                                    </w:tabs>
                                    <w:spacing w:line="276" w:lineRule="auto"/>
                                  </w:pPr>
                                  <w:r>
                                    <w:t>RESULTADO DEL SISTEMA DE ALERTAS</w:t>
                                  </w:r>
                                </w:p>
                              </w:tc>
                              <w:tc>
                                <w:tcPr>
                                  <w:tcW w:w="1415" w:type="dxa"/>
                                </w:tcPr>
                                <w:p w14:paraId="7A3A493C"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29188985"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2D607D92" w14:textId="77777777" w:rsidR="00261A27" w:rsidRDefault="00261A27" w:rsidP="00D04F66">
                                  <w:pPr>
                                    <w:tabs>
                                      <w:tab w:val="left" w:pos="4849"/>
                                    </w:tabs>
                                    <w:spacing w:line="276" w:lineRule="auto"/>
                                  </w:pPr>
                                  <w:r>
                                    <w:t>INDICADOR 3 OBLIGACIONES A CORTO PLAZO Y PROVEEDORES Y CONGRATISTAS SOBRE INGRESOS TOTALES</w:t>
                                  </w:r>
                                </w:p>
                              </w:tc>
                            </w:tr>
                          </w:tbl>
                          <w:p w14:paraId="3E7BE006" w14:textId="77777777" w:rsidR="00261A27" w:rsidRDefault="00261A27" w:rsidP="00261A27">
                            <w:pPr>
                              <w:jc w:val="center"/>
                            </w:pPr>
                          </w:p>
                        </w:txbxContent>
                      </v:textbox>
                    </v:oval>
                  </w:pict>
                </mc:Fallback>
              </mc:AlternateContent>
            </w:r>
            <w:r w:rsidRPr="008913E4">
              <w:rPr>
                <w:sz w:val="18"/>
                <w:szCs w:val="18"/>
              </w:rPr>
              <w:t>7.9%</w:t>
            </w:r>
          </w:p>
        </w:tc>
        <w:tc>
          <w:tcPr>
            <w:tcW w:w="1984" w:type="dxa"/>
          </w:tcPr>
          <w:p w14:paraId="2D1C195A" w14:textId="77777777" w:rsidR="00261A27" w:rsidRPr="008913E4" w:rsidRDefault="00261A27" w:rsidP="00B205BA">
            <w:pPr>
              <w:tabs>
                <w:tab w:val="left" w:pos="4849"/>
              </w:tabs>
              <w:spacing w:after="120" w:line="240" w:lineRule="auto"/>
              <w:rPr>
                <w:sz w:val="18"/>
                <w:szCs w:val="18"/>
              </w:rPr>
            </w:pPr>
            <w:r w:rsidRPr="008913E4">
              <w:rPr>
                <w:noProof/>
                <w:sz w:val="18"/>
                <w:szCs w:val="18"/>
              </w:rPr>
              <mc:AlternateContent>
                <mc:Choice Requires="wps">
                  <w:drawing>
                    <wp:anchor distT="0" distB="0" distL="114300" distR="114300" simplePos="0" relativeHeight="251729920" behindDoc="0" locked="0" layoutInCell="1" allowOverlap="1" wp14:anchorId="079347BC" wp14:editId="38339B0A">
                      <wp:simplePos x="0" y="0"/>
                      <wp:positionH relativeFrom="column">
                        <wp:posOffset>704215</wp:posOffset>
                      </wp:positionH>
                      <wp:positionV relativeFrom="paragraph">
                        <wp:posOffset>8255</wp:posOffset>
                      </wp:positionV>
                      <wp:extent cx="129540" cy="129540"/>
                      <wp:effectExtent l="0" t="0" r="10160" b="10160"/>
                      <wp:wrapNone/>
                      <wp:docPr id="961756155" name="Elipse 961756155"/>
                      <wp:cNvGraphicFramePr/>
                      <a:graphic xmlns:a="http://schemas.openxmlformats.org/drawingml/2006/main">
                        <a:graphicData uri="http://schemas.microsoft.com/office/word/2010/wordprocessingShape">
                          <wps:wsp>
                            <wps:cNvSpPr/>
                            <wps:spPr>
                              <a:xfrm flipH="1">
                                <a:off x="0" y="0"/>
                                <a:ext cx="129540" cy="129540"/>
                              </a:xfrm>
                              <a:prstGeom prst="ellipse">
                                <a:avLst/>
                              </a:prstGeom>
                              <a:solidFill>
                                <a:srgbClr val="70AD47"/>
                              </a:solidFill>
                              <a:ln w="12700" cap="flat" cmpd="sng" algn="ctr">
                                <a:solidFill>
                                  <a:srgbClr val="4472C4">
                                    <a:shade val="50000"/>
                                  </a:srgbClr>
                                </a:solidFill>
                                <a:prstDash val="solid"/>
                                <a:miter lim="800000"/>
                              </a:ln>
                              <a:effectLst/>
                            </wps:spPr>
                            <wps:txb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5DAE99AE" w14:textId="77777777" w:rsidTr="000635AB">
                                    <w:tc>
                                      <w:tcPr>
                                        <w:tcW w:w="1415" w:type="dxa"/>
                                      </w:tcPr>
                                      <w:p w14:paraId="314E1335" w14:textId="77777777" w:rsidR="00261A27" w:rsidRDefault="00261A27" w:rsidP="00D04F66">
                                        <w:pPr>
                                          <w:tabs>
                                            <w:tab w:val="left" w:pos="4849"/>
                                          </w:tabs>
                                          <w:spacing w:line="276" w:lineRule="auto"/>
                                        </w:pPr>
                                        <w:r>
                                          <w:t>RESULTADO DEL SISTEMA DE ALERTAS</w:t>
                                        </w:r>
                                      </w:p>
                                    </w:tc>
                                    <w:tc>
                                      <w:tcPr>
                                        <w:tcW w:w="1415" w:type="dxa"/>
                                      </w:tcPr>
                                      <w:p w14:paraId="1B43A79B"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0D81A680"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41DD3106" w14:textId="77777777" w:rsidR="00261A27" w:rsidRDefault="00261A27" w:rsidP="00D04F66">
                                        <w:pPr>
                                          <w:tabs>
                                            <w:tab w:val="left" w:pos="4849"/>
                                          </w:tabs>
                                          <w:spacing w:line="276" w:lineRule="auto"/>
                                        </w:pPr>
                                        <w:r>
                                          <w:t>INDICADOR 3 OBLIGACIONES A CORTO PLAZO Y PROVEEDORES Y CONGRATISTAS SOBRE INGRESOS TOTALES</w:t>
                                        </w:r>
                                      </w:p>
                                    </w:tc>
                                  </w:tr>
                                </w:tbl>
                                <w:p w14:paraId="0E4A94A3" w14:textId="77777777" w:rsidR="00261A27" w:rsidRDefault="00261A27" w:rsidP="00261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347BC" id="Elipse 961756155" o:spid="_x0000_s1038" style="position:absolute;left:0;text-align:left;margin-left:55.45pt;margin-top:.65pt;width:10.2pt;height:10.2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" fillcolor="#70ad47" strokecolor="#2f528f" strokeweight="1pt">
                      <v:stroke joinstyle="miter"/>
                      <v:textbox>
                        <w:txbxContent>
                          <w:tbl>
                            <w:tblPr>
                              <w:tblStyle w:val="Tablaconcuadrcula"/>
                              <w:tblW w:w="0" w:type="auto"/>
                              <w:tblLook w:val="04A0" w:firstRow="1" w:lastRow="0" w:firstColumn="1" w:lastColumn="0" w:noHBand="0" w:noVBand="1"/>
                            </w:tblPr>
                            <w:tblGrid>
                              <w:gridCol w:w="1561"/>
                              <w:gridCol w:w="1879"/>
                              <w:gridCol w:w="1879"/>
                              <w:gridCol w:w="1952"/>
                            </w:tblGrid>
                            <w:tr w:rsidR="00261A27" w14:paraId="5DAE99AE" w14:textId="77777777" w:rsidTr="000635AB">
                              <w:tc>
                                <w:tcPr>
                                  <w:tcW w:w="1415" w:type="dxa"/>
                                </w:tcPr>
                                <w:p w14:paraId="314E1335" w14:textId="77777777" w:rsidR="00261A27" w:rsidRDefault="00261A27" w:rsidP="00D04F66">
                                  <w:pPr>
                                    <w:tabs>
                                      <w:tab w:val="left" w:pos="4849"/>
                                    </w:tabs>
                                    <w:spacing w:line="276" w:lineRule="auto"/>
                                  </w:pPr>
                                  <w:r>
                                    <w:t>RESULTADO DEL SISTEMA DE ALERTAS</w:t>
                                  </w:r>
                                </w:p>
                              </w:tc>
                              <w:tc>
                                <w:tcPr>
                                  <w:tcW w:w="1415" w:type="dxa"/>
                                </w:tcPr>
                                <w:p w14:paraId="1B43A79B" w14:textId="77777777" w:rsidR="00261A27" w:rsidRDefault="00261A27" w:rsidP="00D04F66">
                                  <w:pPr>
                                    <w:tabs>
                                      <w:tab w:val="left" w:pos="4849"/>
                                    </w:tabs>
                                    <w:spacing w:line="276" w:lineRule="auto"/>
                                  </w:pPr>
                                  <w:r>
                                    <w:t>INDICADOR 1 DEUDA PÚBLICA Y OBLIGACIONES SOBRE INGRESOS DE LIBRE DISPOSICIÓN (DYO/ILD)</w:t>
                                  </w:r>
                                </w:p>
                              </w:tc>
                              <w:tc>
                                <w:tcPr>
                                  <w:tcW w:w="1416" w:type="dxa"/>
                                </w:tcPr>
                                <w:p w14:paraId="0D81A680" w14:textId="77777777" w:rsidR="00261A27" w:rsidRDefault="00261A27" w:rsidP="00D04F66">
                                  <w:pPr>
                                    <w:tabs>
                                      <w:tab w:val="left" w:pos="4849"/>
                                    </w:tabs>
                                    <w:spacing w:line="276" w:lineRule="auto"/>
                                  </w:pPr>
                                  <w:r>
                                    <w:t>INDICADOR 2 SERVICIO DE LA DEUDA  DE OBLIGACIONES SOBRE INGRESOS DE LIBRE DISPOSICIÓN (SDYPL/ILD)</w:t>
                                  </w:r>
                                </w:p>
                              </w:tc>
                              <w:tc>
                                <w:tcPr>
                                  <w:tcW w:w="1416" w:type="dxa"/>
                                </w:tcPr>
                                <w:p w14:paraId="41DD3106" w14:textId="77777777" w:rsidR="00261A27" w:rsidRDefault="00261A27" w:rsidP="00D04F66">
                                  <w:pPr>
                                    <w:tabs>
                                      <w:tab w:val="left" w:pos="4849"/>
                                    </w:tabs>
                                    <w:spacing w:line="276" w:lineRule="auto"/>
                                  </w:pPr>
                                  <w:r>
                                    <w:t>INDICADOR 3 OBLIGACIONES A CORTO PLAZO Y PROVEEDORES Y CONGRATISTAS SOBRE INGRESOS TOTALES</w:t>
                                  </w:r>
                                </w:p>
                              </w:tc>
                            </w:tr>
                          </w:tbl>
                          <w:p w14:paraId="0E4A94A3" w14:textId="77777777" w:rsidR="00261A27" w:rsidRDefault="00261A27" w:rsidP="00261A27">
                            <w:pPr>
                              <w:jc w:val="center"/>
                            </w:pPr>
                          </w:p>
                        </w:txbxContent>
                      </v:textbox>
                    </v:oval>
                  </w:pict>
                </mc:Fallback>
              </mc:AlternateContent>
            </w:r>
            <w:r w:rsidRPr="008913E4">
              <w:rPr>
                <w:sz w:val="18"/>
                <w:szCs w:val="18"/>
              </w:rPr>
              <w:t>-2.9%</w:t>
            </w:r>
          </w:p>
        </w:tc>
      </w:tr>
    </w:tbl>
    <w:p w14:paraId="29915FC2" w14:textId="77777777" w:rsidR="00261A27" w:rsidRPr="008913E4" w:rsidRDefault="00261A27" w:rsidP="00B205BA">
      <w:pPr>
        <w:tabs>
          <w:tab w:val="left" w:pos="4849"/>
        </w:tabs>
        <w:spacing w:after="120" w:line="240" w:lineRule="auto"/>
        <w:rPr>
          <w:sz w:val="18"/>
          <w:szCs w:val="18"/>
        </w:rPr>
      </w:pPr>
      <w:r w:rsidRPr="008913E4">
        <w:rPr>
          <w:sz w:val="18"/>
          <w:szCs w:val="18"/>
        </w:rPr>
        <w:t>Fuente: Elaboración propia con datos del Sistema de Alertas de la SHCP.</w:t>
      </w:r>
    </w:p>
    <w:p w14:paraId="797F1B0B" w14:textId="6C118237" w:rsidR="00261A27" w:rsidRDefault="00261A27" w:rsidP="00B205BA">
      <w:pPr>
        <w:tabs>
          <w:tab w:val="left" w:pos="4849"/>
        </w:tabs>
        <w:spacing w:after="120" w:line="240" w:lineRule="auto"/>
        <w:rPr>
          <w:rFonts w:cs="Arial"/>
          <w:color w:val="000000"/>
          <w:shd w:val="clear" w:color="auto" w:fill="FFFFFF"/>
          <w:lang w:eastAsia="es-MX"/>
        </w:rPr>
      </w:pPr>
      <w:r w:rsidRPr="008913E4">
        <w:rPr>
          <w:rFonts w:cs="Arial"/>
          <w:color w:val="000000"/>
          <w:shd w:val="clear" w:color="auto" w:fill="FFFFFF"/>
          <w:lang w:eastAsia="es-MX"/>
        </w:rPr>
        <w:t>En la gráfica siguiente</w:t>
      </w:r>
      <w:r>
        <w:rPr>
          <w:rFonts w:cs="Arial"/>
          <w:color w:val="000000"/>
          <w:shd w:val="clear" w:color="auto" w:fill="FFFFFF"/>
          <w:lang w:eastAsia="es-MX"/>
        </w:rPr>
        <w:t>,</w:t>
      </w:r>
      <w:r w:rsidRPr="008913E4">
        <w:rPr>
          <w:rFonts w:cs="Arial"/>
          <w:color w:val="000000"/>
          <w:shd w:val="clear" w:color="auto" w:fill="FFFFFF"/>
          <w:lang w:eastAsia="es-MX"/>
        </w:rPr>
        <w:t xml:space="preserve"> se puede observar que el municipio de Hermosillo liquidó el crédito a corto plazo que se encontraba vigente al cierre del ejercicio 2023, dentro del plazo estipulado por la Ley de Disciplina</w:t>
      </w:r>
      <w:r>
        <w:rPr>
          <w:rFonts w:cs="Arial"/>
          <w:color w:val="000000"/>
          <w:shd w:val="clear" w:color="auto" w:fill="FFFFFF"/>
          <w:lang w:eastAsia="es-MX"/>
        </w:rPr>
        <w:t xml:space="preserve"> Financiera mencionada</w:t>
      </w:r>
      <w:r w:rsidRPr="008913E4">
        <w:rPr>
          <w:rFonts w:cs="Arial"/>
          <w:color w:val="000000"/>
          <w:shd w:val="clear" w:color="auto" w:fill="FFFFFF"/>
          <w:lang w:eastAsia="es-MX"/>
        </w:rPr>
        <w:t xml:space="preserve">. </w:t>
      </w:r>
    </w:p>
    <w:p w14:paraId="5C2BDD98" w14:textId="77777777" w:rsidR="00384441" w:rsidRDefault="00384441" w:rsidP="00B205BA">
      <w:pPr>
        <w:tabs>
          <w:tab w:val="left" w:pos="4849"/>
        </w:tabs>
        <w:spacing w:after="120" w:line="240" w:lineRule="auto"/>
        <w:rPr>
          <w:rFonts w:cs="Arial"/>
          <w:color w:val="000000"/>
          <w:shd w:val="clear" w:color="auto" w:fill="FFFFFF"/>
          <w:lang w:eastAsia="es-MX"/>
        </w:rPr>
      </w:pPr>
    </w:p>
    <w:p w14:paraId="67D2ECD7" w14:textId="77777777" w:rsidR="00384441" w:rsidRDefault="00384441" w:rsidP="00B205BA">
      <w:pPr>
        <w:tabs>
          <w:tab w:val="left" w:pos="4849"/>
        </w:tabs>
        <w:spacing w:after="120" w:line="240" w:lineRule="auto"/>
        <w:rPr>
          <w:rFonts w:cs="Arial"/>
          <w:color w:val="000000"/>
          <w:shd w:val="clear" w:color="auto" w:fill="FFFFFF"/>
          <w:lang w:eastAsia="es-MX"/>
        </w:rPr>
      </w:pPr>
    </w:p>
    <w:p w14:paraId="7D0741E9" w14:textId="77777777" w:rsidR="00384441" w:rsidRDefault="00384441" w:rsidP="00B205BA">
      <w:pPr>
        <w:tabs>
          <w:tab w:val="left" w:pos="4849"/>
        </w:tabs>
        <w:spacing w:after="120" w:line="240" w:lineRule="auto"/>
        <w:rPr>
          <w:rFonts w:cs="Arial"/>
          <w:color w:val="000000"/>
          <w:shd w:val="clear" w:color="auto" w:fill="FFFFFF"/>
          <w:lang w:eastAsia="es-MX"/>
        </w:rPr>
      </w:pPr>
    </w:p>
    <w:p w14:paraId="19E70546" w14:textId="77777777" w:rsidR="00384441" w:rsidRDefault="00384441" w:rsidP="00B205BA">
      <w:pPr>
        <w:tabs>
          <w:tab w:val="left" w:pos="4849"/>
        </w:tabs>
        <w:spacing w:after="120" w:line="240" w:lineRule="auto"/>
        <w:rPr>
          <w:rFonts w:cs="Arial"/>
          <w:color w:val="000000"/>
          <w:shd w:val="clear" w:color="auto" w:fill="FFFFFF"/>
          <w:lang w:eastAsia="es-MX"/>
        </w:rPr>
      </w:pPr>
    </w:p>
    <w:p w14:paraId="08845CC5" w14:textId="77777777" w:rsidR="00384441" w:rsidRPr="008913E4" w:rsidRDefault="00384441" w:rsidP="00B205BA">
      <w:pPr>
        <w:tabs>
          <w:tab w:val="left" w:pos="4849"/>
        </w:tabs>
        <w:spacing w:after="120" w:line="240" w:lineRule="auto"/>
        <w:rPr>
          <w:rFonts w:cs="Arial"/>
          <w:color w:val="000000"/>
          <w:shd w:val="clear" w:color="auto" w:fill="FFFFFF"/>
          <w:lang w:eastAsia="es-MX"/>
        </w:rPr>
      </w:pPr>
    </w:p>
    <w:p w14:paraId="1C3D5E0C" w14:textId="4ED0389E" w:rsidR="00261A27" w:rsidRPr="008913E4" w:rsidRDefault="00BD09D3" w:rsidP="00384441">
      <w:pPr>
        <w:tabs>
          <w:tab w:val="left" w:pos="4849"/>
        </w:tabs>
        <w:spacing w:after="120" w:line="240" w:lineRule="auto"/>
        <w:rPr>
          <w:b/>
          <w:bCs/>
        </w:rPr>
      </w:pPr>
      <w:r w:rsidRPr="008913E4">
        <w:rPr>
          <w:b/>
          <w:bCs/>
        </w:rPr>
        <w:lastRenderedPageBreak/>
        <w:t xml:space="preserve">GRÁFICA </w:t>
      </w:r>
      <w:r w:rsidR="00384441">
        <w:rPr>
          <w:b/>
          <w:bCs/>
        </w:rPr>
        <w:t>11</w:t>
      </w:r>
      <w:r w:rsidRPr="008913E4">
        <w:rPr>
          <w:b/>
          <w:bCs/>
        </w:rPr>
        <w:t>. EVOLUCIÓN DE LA DEUDA PÚBLICA A CORTO PLAZO</w:t>
      </w:r>
      <w:r>
        <w:rPr>
          <w:b/>
          <w:bCs/>
        </w:rPr>
        <w:t xml:space="preserve"> DEL MUNICIPIO DE HERMOSILLO EN EL PERÍODO 2021- SEP. 2024</w:t>
      </w:r>
      <w:r w:rsidRPr="008913E4">
        <w:rPr>
          <w:b/>
          <w:bCs/>
        </w:rPr>
        <w:t xml:space="preserve"> (</w:t>
      </w:r>
      <w:r>
        <w:rPr>
          <w:b/>
          <w:bCs/>
        </w:rPr>
        <w:t>M</w:t>
      </w:r>
      <w:r w:rsidRPr="008913E4">
        <w:rPr>
          <w:b/>
          <w:bCs/>
        </w:rPr>
        <w:t>ILLONES DE PESOS)</w:t>
      </w:r>
      <w:r>
        <w:rPr>
          <w:b/>
          <w:bCs/>
        </w:rPr>
        <w:t>.</w:t>
      </w:r>
    </w:p>
    <w:p w14:paraId="794DBF4F" w14:textId="77777777" w:rsidR="00261A27" w:rsidRPr="008913E4" w:rsidRDefault="00261A27" w:rsidP="00B205BA">
      <w:pPr>
        <w:pStyle w:val="Sinespaciado"/>
        <w:spacing w:after="120"/>
        <w:rPr>
          <w:lang w:val="es-ES" w:bidi="en-US"/>
        </w:rPr>
      </w:pPr>
      <w:r w:rsidRPr="008913E4">
        <w:rPr>
          <w:noProof/>
          <w:shd w:val="clear" w:color="auto" w:fill="ED7D31" w:themeFill="accent2"/>
          <w:lang w:val="es-ES" w:bidi="en-US"/>
        </w:rPr>
        <w:drawing>
          <wp:inline distT="0" distB="0" distL="0" distR="0" wp14:anchorId="2ECF9AC3" wp14:editId="6C62C6D4">
            <wp:extent cx="5610225" cy="1795145"/>
            <wp:effectExtent l="0" t="0" r="9525" b="14605"/>
            <wp:docPr id="1818109615" name="Gráfico 1">
              <a:extLst xmlns:a="http://schemas.openxmlformats.org/drawingml/2006/main">
                <a:ext uri="{FF2B5EF4-FFF2-40B4-BE49-F238E27FC236}">
                  <a16:creationId xmlns:a16="http://schemas.microsoft.com/office/drawing/2014/main" id="{89F30B5A-906F-29C5-756D-316DCED4B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6B12872" w14:textId="77777777" w:rsidR="00261A27" w:rsidRPr="008913E4" w:rsidRDefault="00261A27" w:rsidP="00B205BA">
      <w:pPr>
        <w:spacing w:after="120" w:line="240" w:lineRule="auto"/>
        <w:rPr>
          <w:rFonts w:cs="Arial"/>
          <w:sz w:val="18"/>
          <w:szCs w:val="18"/>
        </w:rPr>
      </w:pPr>
      <w:r w:rsidRPr="008913E4">
        <w:rPr>
          <w:rFonts w:cs="Arial"/>
          <w:sz w:val="18"/>
          <w:szCs w:val="18"/>
        </w:rPr>
        <w:t>Fuente: Elaborado por la Dirección de Contabilidad de la Tesorería Municipal de Hermosillo</w:t>
      </w:r>
      <w:r>
        <w:rPr>
          <w:rFonts w:cs="Arial"/>
          <w:sz w:val="18"/>
          <w:szCs w:val="18"/>
        </w:rPr>
        <w:t>.</w:t>
      </w:r>
    </w:p>
    <w:p w14:paraId="456962DF" w14:textId="4993CA17" w:rsidR="00261A27" w:rsidRPr="008913E4" w:rsidRDefault="00261A27" w:rsidP="00B205BA">
      <w:pPr>
        <w:tabs>
          <w:tab w:val="left" w:pos="4849"/>
        </w:tabs>
        <w:spacing w:after="120" w:line="240" w:lineRule="auto"/>
        <w:rPr>
          <w:rFonts w:cs="Arial"/>
          <w:b/>
          <w:bCs/>
          <w:color w:val="000000"/>
          <w:shd w:val="clear" w:color="auto" w:fill="FFFFFF"/>
          <w:lang w:eastAsia="es-MX"/>
        </w:rPr>
      </w:pPr>
      <w:r w:rsidRPr="008913E4">
        <w:rPr>
          <w:rFonts w:cs="Arial"/>
          <w:b/>
          <w:bCs/>
          <w:color w:val="000000"/>
          <w:shd w:val="clear" w:color="auto" w:fill="FFFFFF"/>
          <w:lang w:eastAsia="es-MX"/>
        </w:rPr>
        <w:t>Deuda a largo plazo</w:t>
      </w:r>
      <w:r w:rsidR="00384441">
        <w:rPr>
          <w:rFonts w:cs="Arial"/>
          <w:b/>
          <w:bCs/>
          <w:color w:val="000000"/>
          <w:shd w:val="clear" w:color="auto" w:fill="FFFFFF"/>
          <w:lang w:eastAsia="es-MX"/>
        </w:rPr>
        <w:t>.</w:t>
      </w:r>
    </w:p>
    <w:p w14:paraId="465CA9A6" w14:textId="58E7A437" w:rsidR="00261A27" w:rsidRPr="00384441" w:rsidRDefault="00261A27" w:rsidP="00B205BA">
      <w:pPr>
        <w:tabs>
          <w:tab w:val="left" w:pos="4849"/>
        </w:tabs>
        <w:spacing w:after="120" w:line="240" w:lineRule="auto"/>
        <w:rPr>
          <w:rFonts w:cs="Arial"/>
          <w:color w:val="000000" w:themeColor="text1"/>
        </w:rPr>
      </w:pPr>
      <w:r w:rsidRPr="008913E4">
        <w:rPr>
          <w:rFonts w:cs="Arial"/>
          <w:color w:val="000000"/>
          <w:shd w:val="clear" w:color="auto" w:fill="FFFFFF"/>
          <w:lang w:eastAsia="es-MX"/>
        </w:rPr>
        <w:t>En cuanto a la deuda pública de largo plazo, se muestra una reducción de 12.5</w:t>
      </w:r>
      <w:r>
        <w:rPr>
          <w:rFonts w:cs="Arial"/>
          <w:color w:val="000000"/>
          <w:shd w:val="clear" w:color="auto" w:fill="FFFFFF"/>
          <w:lang w:eastAsia="es-MX"/>
        </w:rPr>
        <w:t xml:space="preserve"> </w:t>
      </w:r>
      <w:r w:rsidRPr="008913E4">
        <w:rPr>
          <w:rFonts w:cs="Arial"/>
          <w:color w:val="000000"/>
          <w:shd w:val="clear" w:color="auto" w:fill="FFFFFF"/>
          <w:lang w:eastAsia="es-MX"/>
        </w:rPr>
        <w:t>% de 2021 a 2024, lo que equivale a 235.9 millones de pesos. Este progreso se atribuye en gran medida al incremento en los ingresos y</w:t>
      </w:r>
      <w:r>
        <w:rPr>
          <w:rFonts w:cs="Arial"/>
          <w:color w:val="000000"/>
          <w:shd w:val="clear" w:color="auto" w:fill="FFFFFF"/>
          <w:lang w:eastAsia="es-MX"/>
        </w:rPr>
        <w:t xml:space="preserve"> a</w:t>
      </w:r>
      <w:r w:rsidRPr="008913E4">
        <w:rPr>
          <w:rFonts w:cs="Arial"/>
          <w:color w:val="000000"/>
          <w:shd w:val="clear" w:color="auto" w:fill="FFFFFF"/>
          <w:lang w:eastAsia="es-MX"/>
        </w:rPr>
        <w:t xml:space="preserve"> </w:t>
      </w:r>
      <w:r>
        <w:rPr>
          <w:rFonts w:cs="Arial"/>
          <w:color w:val="000000"/>
          <w:shd w:val="clear" w:color="auto" w:fill="FFFFFF"/>
          <w:lang w:eastAsia="es-MX"/>
        </w:rPr>
        <w:t>la</w:t>
      </w:r>
      <w:r w:rsidRPr="008913E4">
        <w:rPr>
          <w:rFonts w:cs="Arial"/>
          <w:color w:val="000000"/>
          <w:shd w:val="clear" w:color="auto" w:fill="FFFFFF"/>
          <w:lang w:eastAsia="es-MX"/>
        </w:rPr>
        <w:t xml:space="preserve"> disciplina en el gasto público</w:t>
      </w:r>
      <w:r w:rsidRPr="008913E4">
        <w:rPr>
          <w:rFonts w:cs="Arial"/>
          <w:color w:val="000000" w:themeColor="text1"/>
        </w:rPr>
        <w:t>.</w:t>
      </w:r>
    </w:p>
    <w:p w14:paraId="6BE520CA" w14:textId="2FB2AE28" w:rsidR="00261A27" w:rsidRPr="008913E4" w:rsidRDefault="00BD09D3" w:rsidP="00384441">
      <w:pPr>
        <w:tabs>
          <w:tab w:val="left" w:pos="4849"/>
        </w:tabs>
        <w:spacing w:after="120" w:line="240" w:lineRule="auto"/>
        <w:rPr>
          <w:b/>
          <w:bCs/>
        </w:rPr>
      </w:pPr>
      <w:r w:rsidRPr="008913E4">
        <w:rPr>
          <w:rFonts w:cs="Arial"/>
          <w:b/>
          <w:bCs/>
          <w:color w:val="000000" w:themeColor="text1"/>
        </w:rPr>
        <w:t xml:space="preserve">GRÁFICA </w:t>
      </w:r>
      <w:r w:rsidR="00384441">
        <w:rPr>
          <w:rFonts w:cs="Arial"/>
          <w:b/>
          <w:bCs/>
          <w:color w:val="000000" w:themeColor="text1"/>
        </w:rPr>
        <w:t>12</w:t>
      </w:r>
      <w:r w:rsidRPr="008913E4">
        <w:rPr>
          <w:rFonts w:cs="Arial"/>
          <w:b/>
          <w:bCs/>
          <w:color w:val="000000" w:themeColor="text1"/>
        </w:rPr>
        <w:t xml:space="preserve">. EVOLUCIÓN DE LA DEUDA PÚBLICA DE LARGO PLAZO </w:t>
      </w:r>
      <w:r>
        <w:rPr>
          <w:b/>
          <w:bCs/>
        </w:rPr>
        <w:t xml:space="preserve">DEL MUNICIPIO DE HERMOSILLO DEL CUARTO TRIMESTRE DE </w:t>
      </w:r>
      <w:r w:rsidRPr="008913E4">
        <w:rPr>
          <w:rFonts w:cs="Arial"/>
          <w:b/>
          <w:bCs/>
          <w:color w:val="000000" w:themeColor="text1"/>
        </w:rPr>
        <w:t>2021</w:t>
      </w:r>
      <w:r>
        <w:rPr>
          <w:rFonts w:cs="Arial"/>
          <w:b/>
          <w:bCs/>
          <w:color w:val="000000" w:themeColor="text1"/>
        </w:rPr>
        <w:t xml:space="preserve"> AL SEGUNDO TRIMESTRE DE </w:t>
      </w:r>
      <w:r w:rsidRPr="008913E4">
        <w:rPr>
          <w:rFonts w:cs="Arial"/>
          <w:b/>
          <w:bCs/>
          <w:color w:val="000000" w:themeColor="text1"/>
        </w:rPr>
        <w:t>2024</w:t>
      </w:r>
      <w:r>
        <w:rPr>
          <w:rFonts w:cs="Arial"/>
          <w:b/>
          <w:bCs/>
          <w:color w:val="000000" w:themeColor="text1"/>
        </w:rPr>
        <w:t xml:space="preserve"> (MILLONES DE PESOS).</w:t>
      </w:r>
    </w:p>
    <w:p w14:paraId="5027DD44" w14:textId="77777777" w:rsidR="00261A27" w:rsidRPr="008913E4" w:rsidRDefault="00261A27" w:rsidP="00B205BA">
      <w:pPr>
        <w:pStyle w:val="Sinespaciado"/>
        <w:spacing w:after="120"/>
        <w:rPr>
          <w:rFonts w:cs="Arial"/>
          <w:lang w:val="es-ES" w:bidi="en-US"/>
        </w:rPr>
      </w:pPr>
      <w:r w:rsidRPr="008913E4">
        <w:rPr>
          <w:noProof/>
          <w:lang w:val="es-ES" w:bidi="en-US"/>
        </w:rPr>
        <w:drawing>
          <wp:inline distT="0" distB="0" distL="0" distR="0" wp14:anchorId="213276E3" wp14:editId="2807B902">
            <wp:extent cx="5610225" cy="1945178"/>
            <wp:effectExtent l="0" t="0" r="15875" b="10795"/>
            <wp:docPr id="263752124" name="Gráfico 1">
              <a:extLst xmlns:a="http://schemas.openxmlformats.org/drawingml/2006/main">
                <a:ext uri="{FF2B5EF4-FFF2-40B4-BE49-F238E27FC236}">
                  <a16:creationId xmlns:a16="http://schemas.microsoft.com/office/drawing/2014/main" id="{7EDD3C4C-2795-B75B-0DF0-DDFD1554F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09A3C9" w14:textId="74CFF890" w:rsidR="00261A27" w:rsidRPr="00384441" w:rsidRDefault="00261A27" w:rsidP="00384441">
      <w:pPr>
        <w:spacing w:after="120" w:line="240" w:lineRule="auto"/>
        <w:rPr>
          <w:rFonts w:cs="Arial"/>
          <w:sz w:val="18"/>
          <w:szCs w:val="18"/>
        </w:rPr>
      </w:pPr>
      <w:r w:rsidRPr="008913E4">
        <w:rPr>
          <w:rFonts w:cs="Arial"/>
          <w:sz w:val="18"/>
          <w:szCs w:val="18"/>
        </w:rPr>
        <w:t>Fuente: Elaboración propia con datos de</w:t>
      </w:r>
      <w:r>
        <w:rPr>
          <w:rFonts w:cs="Arial"/>
          <w:sz w:val="18"/>
          <w:szCs w:val="18"/>
        </w:rPr>
        <w:t>l portal</w:t>
      </w:r>
      <w:r w:rsidRPr="008913E4">
        <w:rPr>
          <w:rFonts w:cs="Arial"/>
          <w:sz w:val="18"/>
          <w:szCs w:val="18"/>
        </w:rPr>
        <w:t xml:space="preserve"> Disciplina Financiera de Entidades Federativas y Municipios de la Secretaría de Hacienda y Crédito Público (2020 a 2024) e información de cuenta pública al segundo trimestre de 2024 de</w:t>
      </w:r>
      <w:r>
        <w:rPr>
          <w:rFonts w:cs="Arial"/>
          <w:sz w:val="18"/>
          <w:szCs w:val="18"/>
        </w:rPr>
        <w:t>l Ayuntamiento de</w:t>
      </w:r>
      <w:r w:rsidRPr="008913E4">
        <w:rPr>
          <w:rFonts w:cs="Arial"/>
          <w:sz w:val="18"/>
          <w:szCs w:val="18"/>
        </w:rPr>
        <w:t xml:space="preserve"> Hermosillo. </w:t>
      </w:r>
    </w:p>
    <w:p w14:paraId="4C48B633" w14:textId="1B382E80" w:rsidR="00261A27" w:rsidRDefault="00261A27" w:rsidP="00B205BA">
      <w:pPr>
        <w:tabs>
          <w:tab w:val="left" w:pos="4849"/>
        </w:tabs>
        <w:spacing w:after="120" w:line="240" w:lineRule="auto"/>
        <w:rPr>
          <w:rFonts w:cs="Arial"/>
          <w:color w:val="000000"/>
          <w:shd w:val="clear" w:color="auto" w:fill="FFFFFF"/>
          <w:lang w:eastAsia="es-MX"/>
        </w:rPr>
      </w:pPr>
      <w:r w:rsidRPr="008913E4">
        <w:rPr>
          <w:rFonts w:cs="Arial"/>
          <w:color w:val="000000"/>
          <w:shd w:val="clear" w:color="auto" w:fill="FFFFFF"/>
          <w:lang w:eastAsia="es-MX"/>
        </w:rPr>
        <w:t xml:space="preserve">El Ayuntamiento de Hermosillo se posiciona favorablemente </w:t>
      </w:r>
      <w:r>
        <w:rPr>
          <w:rFonts w:cs="Arial"/>
          <w:color w:val="000000"/>
          <w:shd w:val="clear" w:color="auto" w:fill="FFFFFF"/>
          <w:lang w:eastAsia="es-MX"/>
        </w:rPr>
        <w:t>respecto</w:t>
      </w:r>
      <w:r w:rsidRPr="008913E4">
        <w:rPr>
          <w:rFonts w:cs="Arial"/>
          <w:color w:val="000000"/>
          <w:shd w:val="clear" w:color="auto" w:fill="FFFFFF"/>
          <w:lang w:eastAsia="es-MX"/>
        </w:rPr>
        <w:t xml:space="preserve"> del resto de capitales estatales, </w:t>
      </w:r>
      <w:r w:rsidRPr="00261A27">
        <w:rPr>
          <w:rFonts w:cs="Arial"/>
          <w:color w:val="000000"/>
          <w:shd w:val="clear" w:color="auto" w:fill="FFFFFF"/>
          <w:lang w:eastAsia="es-MX"/>
        </w:rPr>
        <w:t>ubicándose como la cuarta capital con mayor reducción de su deuda pública en el país durante el período analizado. Esto es un indicativo positivo de la estabilidad y el control fiscal en el Municipio</w:t>
      </w:r>
      <w:r w:rsidRPr="008913E4">
        <w:rPr>
          <w:rFonts w:cs="Arial"/>
          <w:color w:val="000000"/>
          <w:shd w:val="clear" w:color="auto" w:fill="FFFFFF"/>
          <w:lang w:eastAsia="es-MX"/>
        </w:rPr>
        <w:t>.</w:t>
      </w:r>
    </w:p>
    <w:p w14:paraId="1C82A642" w14:textId="7D08D43A" w:rsidR="00261A27" w:rsidRPr="00AF0E23" w:rsidRDefault="00BD09D3" w:rsidP="00B205BA">
      <w:pPr>
        <w:tabs>
          <w:tab w:val="left" w:pos="4849"/>
        </w:tabs>
        <w:spacing w:after="120" w:line="240" w:lineRule="auto"/>
        <w:jc w:val="center"/>
        <w:rPr>
          <w:rFonts w:cs="Arial"/>
          <w:b/>
          <w:bCs/>
          <w:color w:val="000000"/>
          <w:shd w:val="clear" w:color="auto" w:fill="FFFFFF"/>
          <w:lang w:eastAsia="es-MX"/>
        </w:rPr>
      </w:pPr>
      <w:r w:rsidRPr="00AF0E23">
        <w:rPr>
          <w:rFonts w:cs="Arial"/>
          <w:b/>
          <w:bCs/>
          <w:color w:val="000000"/>
          <w:shd w:val="clear" w:color="auto" w:fill="FFFFFF"/>
          <w:lang w:eastAsia="es-MX"/>
        </w:rPr>
        <w:t xml:space="preserve">TABLA 6. VARIACIÓN DEL SALDO DE </w:t>
      </w:r>
      <w:r w:rsidRPr="00261A27">
        <w:rPr>
          <w:rFonts w:cs="Arial"/>
          <w:b/>
          <w:bCs/>
          <w:color w:val="000000"/>
          <w:shd w:val="clear" w:color="auto" w:fill="FFFFFF"/>
          <w:lang w:eastAsia="es-MX"/>
        </w:rPr>
        <w:t>LA DEUDA PÚBLICA DIRECTA DE LAS CAPITALES ESTATALES DE 2021 A 2024 (MILLONES DE PESOS).</w:t>
      </w:r>
    </w:p>
    <w:tbl>
      <w:tblPr>
        <w:tblStyle w:val="Tablanormal2"/>
        <w:tblW w:w="7723" w:type="dxa"/>
        <w:jc w:val="center"/>
        <w:tblLook w:val="04A0" w:firstRow="1" w:lastRow="0" w:firstColumn="1" w:lastColumn="0" w:noHBand="0" w:noVBand="1"/>
      </w:tblPr>
      <w:tblGrid>
        <w:gridCol w:w="3011"/>
        <w:gridCol w:w="1145"/>
        <w:gridCol w:w="1794"/>
        <w:gridCol w:w="1773"/>
      </w:tblGrid>
      <w:tr w:rsidR="00261A27" w:rsidRPr="008913E4" w14:paraId="02435240" w14:textId="77777777" w:rsidTr="000635AB">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7723" w:type="dxa"/>
            <w:gridSpan w:val="4"/>
            <w:noWrap/>
            <w:vAlign w:val="center"/>
          </w:tcPr>
          <w:p w14:paraId="5B3102BF" w14:textId="77777777" w:rsidR="00261A27" w:rsidRPr="008913E4" w:rsidRDefault="00261A27" w:rsidP="00B205BA">
            <w:pPr>
              <w:spacing w:after="120" w:line="240" w:lineRule="auto"/>
              <w:jc w:val="center"/>
              <w:rPr>
                <w:rFonts w:eastAsia="Times New Roman" w:cs="Arial"/>
                <w:color w:val="000000"/>
                <w:sz w:val="16"/>
                <w:szCs w:val="16"/>
                <w:lang w:val="es-MX" w:eastAsia="es-MX"/>
              </w:rPr>
            </w:pPr>
          </w:p>
        </w:tc>
      </w:tr>
      <w:tr w:rsidR="00261A27" w:rsidRPr="008913E4" w14:paraId="329C3A1D" w14:textId="77777777" w:rsidTr="000635A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011" w:type="dxa"/>
            <w:vMerge w:val="restart"/>
            <w:noWrap/>
            <w:vAlign w:val="center"/>
            <w:hideMark/>
          </w:tcPr>
          <w:p w14:paraId="6BB71433" w14:textId="77777777" w:rsidR="00261A27" w:rsidRPr="008913E4" w:rsidRDefault="00261A27" w:rsidP="00B205BA">
            <w:pPr>
              <w:spacing w:after="120" w:line="240" w:lineRule="auto"/>
              <w:jc w:val="center"/>
              <w:rPr>
                <w:rFonts w:eastAsia="Times New Roman" w:cs="Arial"/>
                <w:color w:val="000000"/>
                <w:sz w:val="16"/>
                <w:szCs w:val="16"/>
                <w:lang w:eastAsia="es-MX"/>
              </w:rPr>
            </w:pPr>
            <w:r w:rsidRPr="008913E4">
              <w:rPr>
                <w:rFonts w:eastAsia="Times New Roman" w:cs="Arial"/>
                <w:color w:val="000000"/>
                <w:sz w:val="16"/>
                <w:szCs w:val="16"/>
                <w:lang w:eastAsia="es-MX"/>
              </w:rPr>
              <w:t>Municipio</w:t>
            </w:r>
          </w:p>
        </w:tc>
        <w:tc>
          <w:tcPr>
            <w:tcW w:w="2939" w:type="dxa"/>
            <w:gridSpan w:val="2"/>
            <w:shd w:val="clear" w:color="auto" w:fill="ED7D31" w:themeFill="accent2"/>
            <w:noWrap/>
            <w:vAlign w:val="center"/>
            <w:hideMark/>
          </w:tcPr>
          <w:p w14:paraId="698ED626" w14:textId="77777777" w:rsidR="00261A27" w:rsidRPr="008913E4" w:rsidRDefault="00261A27" w:rsidP="00B205BA">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6"/>
                <w:szCs w:val="16"/>
                <w:lang w:eastAsia="es-MX"/>
              </w:rPr>
            </w:pPr>
            <w:r w:rsidRPr="008913E4">
              <w:rPr>
                <w:rFonts w:eastAsia="Times New Roman" w:cs="Arial"/>
                <w:color w:val="FFFFFF" w:themeColor="background1"/>
                <w:sz w:val="16"/>
                <w:szCs w:val="16"/>
                <w:lang w:eastAsia="es-MX"/>
              </w:rPr>
              <w:t>Deuda pública directa</w:t>
            </w:r>
          </w:p>
        </w:tc>
        <w:tc>
          <w:tcPr>
            <w:tcW w:w="1773" w:type="dxa"/>
            <w:vMerge w:val="restart"/>
            <w:vAlign w:val="center"/>
            <w:hideMark/>
          </w:tcPr>
          <w:p w14:paraId="27BA56AF"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es-MX"/>
              </w:rPr>
            </w:pPr>
            <w:r w:rsidRPr="008913E4">
              <w:rPr>
                <w:rFonts w:eastAsia="Times New Roman" w:cs="Arial"/>
                <w:b/>
                <w:bCs/>
                <w:color w:val="000000"/>
                <w:sz w:val="16"/>
                <w:szCs w:val="16"/>
                <w:lang w:eastAsia="es-MX"/>
              </w:rPr>
              <w:t>Variación</w:t>
            </w:r>
          </w:p>
        </w:tc>
      </w:tr>
      <w:tr w:rsidR="00261A27" w:rsidRPr="008913E4" w14:paraId="4FADE43C" w14:textId="77777777" w:rsidTr="000635AB">
        <w:trPr>
          <w:trHeight w:val="64"/>
          <w:jc w:val="center"/>
        </w:trPr>
        <w:tc>
          <w:tcPr>
            <w:cnfStyle w:val="001000000000" w:firstRow="0" w:lastRow="0" w:firstColumn="1" w:lastColumn="0" w:oddVBand="0" w:evenVBand="0" w:oddHBand="0" w:evenHBand="0" w:firstRowFirstColumn="0" w:firstRowLastColumn="0" w:lastRowFirstColumn="0" w:lastRowLastColumn="0"/>
            <w:tcW w:w="3011" w:type="dxa"/>
            <w:vMerge/>
            <w:vAlign w:val="center"/>
            <w:hideMark/>
          </w:tcPr>
          <w:p w14:paraId="2E6E2967" w14:textId="77777777" w:rsidR="00261A27" w:rsidRPr="008913E4" w:rsidRDefault="00261A27" w:rsidP="00B205BA">
            <w:pPr>
              <w:spacing w:after="120" w:line="240" w:lineRule="auto"/>
              <w:rPr>
                <w:rFonts w:eastAsia="Times New Roman" w:cs="Arial"/>
                <w:color w:val="000000"/>
                <w:sz w:val="16"/>
                <w:szCs w:val="16"/>
                <w:lang w:eastAsia="es-MX"/>
              </w:rPr>
            </w:pPr>
          </w:p>
        </w:tc>
        <w:tc>
          <w:tcPr>
            <w:tcW w:w="1145" w:type="dxa"/>
            <w:noWrap/>
            <w:vAlign w:val="center"/>
            <w:hideMark/>
          </w:tcPr>
          <w:p w14:paraId="5337171A"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s-MX"/>
              </w:rPr>
            </w:pPr>
            <w:r w:rsidRPr="008913E4">
              <w:rPr>
                <w:rFonts w:eastAsia="Times New Roman" w:cs="Arial"/>
                <w:b/>
                <w:bCs/>
                <w:color w:val="000000"/>
                <w:sz w:val="16"/>
                <w:szCs w:val="16"/>
                <w:lang w:eastAsia="es-MX"/>
              </w:rPr>
              <w:t>2021</w:t>
            </w:r>
          </w:p>
        </w:tc>
        <w:tc>
          <w:tcPr>
            <w:tcW w:w="1794" w:type="dxa"/>
            <w:noWrap/>
            <w:vAlign w:val="center"/>
            <w:hideMark/>
          </w:tcPr>
          <w:p w14:paraId="037E339D"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s-MX"/>
              </w:rPr>
            </w:pPr>
            <w:r w:rsidRPr="008913E4">
              <w:rPr>
                <w:rFonts w:eastAsia="Times New Roman" w:cs="Arial"/>
                <w:b/>
                <w:bCs/>
                <w:color w:val="000000"/>
                <w:sz w:val="16"/>
                <w:szCs w:val="16"/>
                <w:lang w:eastAsia="es-MX"/>
              </w:rPr>
              <w:t>2024*</w:t>
            </w:r>
          </w:p>
        </w:tc>
        <w:tc>
          <w:tcPr>
            <w:tcW w:w="1773" w:type="dxa"/>
            <w:vMerge/>
            <w:vAlign w:val="center"/>
            <w:hideMark/>
          </w:tcPr>
          <w:p w14:paraId="1B8EC87B" w14:textId="77777777" w:rsidR="00261A27" w:rsidRPr="008913E4" w:rsidRDefault="00261A27" w:rsidP="00B205BA">
            <w:pPr>
              <w:spacing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6"/>
                <w:szCs w:val="16"/>
                <w:lang w:eastAsia="es-MX"/>
              </w:rPr>
            </w:pPr>
          </w:p>
        </w:tc>
      </w:tr>
      <w:tr w:rsidR="00261A27" w:rsidRPr="008913E4" w14:paraId="7D972C66" w14:textId="77777777" w:rsidTr="000635A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F2F2F2" w:themeFill="background1" w:themeFillShade="F2"/>
            <w:noWrap/>
            <w:vAlign w:val="center"/>
            <w:hideMark/>
          </w:tcPr>
          <w:p w14:paraId="5D19AB8F" w14:textId="77777777" w:rsidR="00261A27" w:rsidRPr="008913E4" w:rsidRDefault="00261A27" w:rsidP="00B205BA">
            <w:pPr>
              <w:spacing w:after="120" w:line="240" w:lineRule="auto"/>
              <w:rPr>
                <w:rFonts w:eastAsia="Times New Roman" w:cs="Arial"/>
                <w:color w:val="000000"/>
                <w:sz w:val="16"/>
                <w:szCs w:val="16"/>
                <w:lang w:eastAsia="es-MX"/>
              </w:rPr>
            </w:pPr>
            <w:r w:rsidRPr="008913E4">
              <w:rPr>
                <w:rFonts w:eastAsia="Times New Roman" w:cs="Arial"/>
                <w:color w:val="000000"/>
                <w:sz w:val="16"/>
                <w:szCs w:val="16"/>
                <w:lang w:eastAsia="es-MX"/>
              </w:rPr>
              <w:lastRenderedPageBreak/>
              <w:t>Monterrey, NL</w:t>
            </w:r>
          </w:p>
        </w:tc>
        <w:tc>
          <w:tcPr>
            <w:tcW w:w="1145" w:type="dxa"/>
            <w:noWrap/>
            <w:vAlign w:val="center"/>
            <w:hideMark/>
          </w:tcPr>
          <w:p w14:paraId="3CD77E04"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1,930.9</w:t>
            </w:r>
          </w:p>
        </w:tc>
        <w:tc>
          <w:tcPr>
            <w:tcW w:w="1794" w:type="dxa"/>
            <w:noWrap/>
            <w:vAlign w:val="center"/>
            <w:hideMark/>
          </w:tcPr>
          <w:p w14:paraId="320A3CF7"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1,561.6</w:t>
            </w:r>
          </w:p>
        </w:tc>
        <w:tc>
          <w:tcPr>
            <w:tcW w:w="1773" w:type="dxa"/>
            <w:noWrap/>
            <w:vAlign w:val="center"/>
            <w:hideMark/>
          </w:tcPr>
          <w:p w14:paraId="4DD19D95"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-369.3</w:t>
            </w:r>
          </w:p>
        </w:tc>
      </w:tr>
      <w:tr w:rsidR="00261A27" w:rsidRPr="008913E4" w14:paraId="26416EFF" w14:textId="77777777" w:rsidTr="000635AB">
        <w:trPr>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F2F2F2" w:themeFill="background1" w:themeFillShade="F2"/>
            <w:noWrap/>
            <w:vAlign w:val="center"/>
            <w:hideMark/>
          </w:tcPr>
          <w:p w14:paraId="2B8F4C01" w14:textId="77777777" w:rsidR="00261A27" w:rsidRPr="008913E4" w:rsidRDefault="00261A27" w:rsidP="00B205BA">
            <w:pPr>
              <w:spacing w:after="120" w:line="240" w:lineRule="auto"/>
              <w:rPr>
                <w:rFonts w:eastAsia="Times New Roman" w:cs="Arial"/>
                <w:color w:val="000000"/>
                <w:sz w:val="16"/>
                <w:szCs w:val="16"/>
                <w:lang w:eastAsia="es-MX"/>
              </w:rPr>
            </w:pPr>
            <w:r w:rsidRPr="008913E4">
              <w:rPr>
                <w:rFonts w:eastAsia="Times New Roman" w:cs="Arial"/>
                <w:color w:val="000000"/>
                <w:sz w:val="16"/>
                <w:szCs w:val="16"/>
                <w:lang w:eastAsia="es-MX"/>
              </w:rPr>
              <w:t>Guadalajara, Jal.</w:t>
            </w:r>
          </w:p>
        </w:tc>
        <w:tc>
          <w:tcPr>
            <w:tcW w:w="1145" w:type="dxa"/>
            <w:noWrap/>
            <w:vAlign w:val="center"/>
            <w:hideMark/>
          </w:tcPr>
          <w:p w14:paraId="33637B16"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1,401.4</w:t>
            </w:r>
          </w:p>
        </w:tc>
        <w:tc>
          <w:tcPr>
            <w:tcW w:w="1794" w:type="dxa"/>
            <w:noWrap/>
            <w:vAlign w:val="center"/>
            <w:hideMark/>
          </w:tcPr>
          <w:p w14:paraId="0A75C1BA"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1,141.3</w:t>
            </w:r>
          </w:p>
        </w:tc>
        <w:tc>
          <w:tcPr>
            <w:tcW w:w="1773" w:type="dxa"/>
            <w:noWrap/>
            <w:vAlign w:val="center"/>
            <w:hideMark/>
          </w:tcPr>
          <w:p w14:paraId="6295C207"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-260.1</w:t>
            </w:r>
          </w:p>
        </w:tc>
      </w:tr>
      <w:tr w:rsidR="00261A27" w:rsidRPr="008913E4" w14:paraId="552DFE5B" w14:textId="77777777" w:rsidTr="000635A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ED7D31" w:themeFill="accent2"/>
            <w:noWrap/>
            <w:vAlign w:val="center"/>
            <w:hideMark/>
          </w:tcPr>
          <w:p w14:paraId="374BE80E" w14:textId="77777777" w:rsidR="00261A27" w:rsidRPr="008913E4" w:rsidRDefault="00261A27" w:rsidP="00B205BA">
            <w:pPr>
              <w:spacing w:after="120" w:line="240" w:lineRule="auto"/>
              <w:rPr>
                <w:rFonts w:eastAsia="Times New Roman" w:cs="Arial"/>
                <w:color w:val="FFFFFF" w:themeColor="background1"/>
                <w:sz w:val="16"/>
                <w:szCs w:val="16"/>
                <w:lang w:eastAsia="es-MX"/>
              </w:rPr>
            </w:pPr>
            <w:r w:rsidRPr="008913E4">
              <w:rPr>
                <w:rFonts w:eastAsia="Times New Roman" w:cs="Arial"/>
                <w:color w:val="FFFFFF" w:themeColor="background1"/>
                <w:sz w:val="16"/>
                <w:szCs w:val="16"/>
                <w:lang w:eastAsia="es-MX"/>
              </w:rPr>
              <w:t>HERMOSILLO, Son.</w:t>
            </w:r>
          </w:p>
        </w:tc>
        <w:tc>
          <w:tcPr>
            <w:tcW w:w="1145" w:type="dxa"/>
            <w:shd w:val="clear" w:color="auto" w:fill="ED7D31" w:themeFill="accent2"/>
            <w:noWrap/>
            <w:vAlign w:val="center"/>
            <w:hideMark/>
          </w:tcPr>
          <w:p w14:paraId="76123C7F"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6"/>
                <w:szCs w:val="16"/>
                <w:lang w:eastAsia="es-MX"/>
              </w:rPr>
            </w:pPr>
            <w:r w:rsidRPr="008913E4">
              <w:rPr>
                <w:rFonts w:eastAsia="Times New Roman" w:cs="Arial"/>
                <w:b/>
                <w:bCs/>
                <w:color w:val="FFFFFF" w:themeColor="background1"/>
                <w:sz w:val="16"/>
                <w:szCs w:val="16"/>
                <w:lang w:eastAsia="es-MX"/>
              </w:rPr>
              <w:t>1,875.4</w:t>
            </w:r>
          </w:p>
        </w:tc>
        <w:tc>
          <w:tcPr>
            <w:tcW w:w="1794" w:type="dxa"/>
            <w:shd w:val="clear" w:color="auto" w:fill="ED7D31" w:themeFill="accent2"/>
            <w:noWrap/>
            <w:vAlign w:val="center"/>
            <w:hideMark/>
          </w:tcPr>
          <w:p w14:paraId="34A7C50E"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6"/>
                <w:szCs w:val="16"/>
                <w:lang w:eastAsia="es-MX"/>
              </w:rPr>
            </w:pPr>
            <w:r w:rsidRPr="008913E4">
              <w:rPr>
                <w:rFonts w:eastAsia="Times New Roman" w:cs="Arial"/>
                <w:b/>
                <w:bCs/>
                <w:color w:val="FFFFFF" w:themeColor="background1"/>
                <w:sz w:val="16"/>
                <w:szCs w:val="16"/>
                <w:lang w:eastAsia="es-MX"/>
              </w:rPr>
              <w:t>1,639.5**</w:t>
            </w:r>
          </w:p>
        </w:tc>
        <w:tc>
          <w:tcPr>
            <w:tcW w:w="1773" w:type="dxa"/>
            <w:shd w:val="clear" w:color="auto" w:fill="ED7D31" w:themeFill="accent2"/>
            <w:noWrap/>
            <w:vAlign w:val="center"/>
            <w:hideMark/>
          </w:tcPr>
          <w:p w14:paraId="233F79BD"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6"/>
                <w:szCs w:val="16"/>
                <w:lang w:eastAsia="es-MX"/>
              </w:rPr>
            </w:pPr>
            <w:r w:rsidRPr="008913E4">
              <w:rPr>
                <w:rFonts w:eastAsia="Times New Roman" w:cs="Arial"/>
                <w:b/>
                <w:bCs/>
                <w:color w:val="FFFFFF" w:themeColor="background1"/>
                <w:sz w:val="16"/>
                <w:szCs w:val="16"/>
                <w:lang w:eastAsia="es-MX"/>
              </w:rPr>
              <w:t>-151.6</w:t>
            </w:r>
          </w:p>
        </w:tc>
      </w:tr>
      <w:tr w:rsidR="00261A27" w:rsidRPr="008913E4" w14:paraId="3B526562" w14:textId="77777777" w:rsidTr="000635AB">
        <w:trPr>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F2F2F2" w:themeFill="background1" w:themeFillShade="F2"/>
            <w:noWrap/>
            <w:vAlign w:val="center"/>
            <w:hideMark/>
          </w:tcPr>
          <w:p w14:paraId="6083D9D3" w14:textId="77777777" w:rsidR="00261A27" w:rsidRPr="008913E4" w:rsidRDefault="00261A27" w:rsidP="00B205BA">
            <w:pPr>
              <w:spacing w:after="120" w:line="240" w:lineRule="auto"/>
              <w:rPr>
                <w:rFonts w:eastAsia="Times New Roman" w:cs="Arial"/>
                <w:color w:val="000000"/>
                <w:sz w:val="16"/>
                <w:szCs w:val="16"/>
                <w:lang w:eastAsia="es-MX"/>
              </w:rPr>
            </w:pPr>
            <w:r w:rsidRPr="008913E4">
              <w:rPr>
                <w:rFonts w:eastAsia="Times New Roman" w:cs="Arial"/>
                <w:color w:val="000000"/>
                <w:sz w:val="16"/>
                <w:szCs w:val="16"/>
                <w:lang w:eastAsia="es-MX"/>
              </w:rPr>
              <w:t>Cuernavaca, Mor.</w:t>
            </w:r>
          </w:p>
        </w:tc>
        <w:tc>
          <w:tcPr>
            <w:tcW w:w="1145" w:type="dxa"/>
            <w:noWrap/>
            <w:vAlign w:val="center"/>
            <w:hideMark/>
          </w:tcPr>
          <w:p w14:paraId="3D485BA7"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182.1</w:t>
            </w:r>
          </w:p>
        </w:tc>
        <w:tc>
          <w:tcPr>
            <w:tcW w:w="1794" w:type="dxa"/>
            <w:noWrap/>
            <w:vAlign w:val="center"/>
            <w:hideMark/>
          </w:tcPr>
          <w:p w14:paraId="1BF0F401"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0.0</w:t>
            </w:r>
          </w:p>
        </w:tc>
        <w:tc>
          <w:tcPr>
            <w:tcW w:w="1773" w:type="dxa"/>
            <w:noWrap/>
            <w:vAlign w:val="center"/>
            <w:hideMark/>
          </w:tcPr>
          <w:p w14:paraId="05CD9825"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-182.1</w:t>
            </w:r>
          </w:p>
        </w:tc>
      </w:tr>
      <w:tr w:rsidR="00261A27" w:rsidRPr="008913E4" w14:paraId="29497888" w14:textId="77777777" w:rsidTr="000635A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F2F2F2" w:themeFill="background1" w:themeFillShade="F2"/>
            <w:noWrap/>
            <w:vAlign w:val="center"/>
            <w:hideMark/>
          </w:tcPr>
          <w:p w14:paraId="6308454E" w14:textId="77777777" w:rsidR="00261A27" w:rsidRPr="008913E4" w:rsidRDefault="00261A27" w:rsidP="00B205BA">
            <w:pPr>
              <w:spacing w:after="120" w:line="240" w:lineRule="auto"/>
              <w:rPr>
                <w:rFonts w:eastAsia="Times New Roman" w:cs="Arial"/>
                <w:color w:val="000000"/>
                <w:sz w:val="16"/>
                <w:szCs w:val="16"/>
                <w:lang w:eastAsia="es-MX"/>
              </w:rPr>
            </w:pPr>
            <w:r w:rsidRPr="008913E4">
              <w:rPr>
                <w:rFonts w:eastAsia="Times New Roman" w:cs="Arial"/>
                <w:color w:val="000000"/>
                <w:sz w:val="16"/>
                <w:szCs w:val="16"/>
                <w:lang w:eastAsia="es-MX"/>
              </w:rPr>
              <w:t>Culiacán, Sin.</w:t>
            </w:r>
          </w:p>
        </w:tc>
        <w:tc>
          <w:tcPr>
            <w:tcW w:w="1145" w:type="dxa"/>
            <w:noWrap/>
            <w:vAlign w:val="center"/>
            <w:hideMark/>
          </w:tcPr>
          <w:p w14:paraId="4F579FF8"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654.2</w:t>
            </w:r>
          </w:p>
        </w:tc>
        <w:tc>
          <w:tcPr>
            <w:tcW w:w="1794" w:type="dxa"/>
            <w:noWrap/>
            <w:vAlign w:val="center"/>
            <w:hideMark/>
          </w:tcPr>
          <w:p w14:paraId="6FA0D6BD"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518.1</w:t>
            </w:r>
          </w:p>
        </w:tc>
        <w:tc>
          <w:tcPr>
            <w:tcW w:w="1773" w:type="dxa"/>
            <w:noWrap/>
            <w:vAlign w:val="center"/>
            <w:hideMark/>
          </w:tcPr>
          <w:p w14:paraId="085B1536"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-136.1</w:t>
            </w:r>
          </w:p>
        </w:tc>
      </w:tr>
      <w:tr w:rsidR="00261A27" w:rsidRPr="008913E4" w14:paraId="07C881FE" w14:textId="77777777" w:rsidTr="000635AB">
        <w:trPr>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F2F2F2" w:themeFill="background1" w:themeFillShade="F2"/>
            <w:noWrap/>
            <w:vAlign w:val="center"/>
            <w:hideMark/>
          </w:tcPr>
          <w:p w14:paraId="02A1D0ED" w14:textId="77777777" w:rsidR="00261A27" w:rsidRPr="008913E4" w:rsidRDefault="00261A27" w:rsidP="00B205BA">
            <w:pPr>
              <w:spacing w:after="120" w:line="240" w:lineRule="auto"/>
              <w:rPr>
                <w:rFonts w:eastAsia="Times New Roman" w:cs="Arial"/>
                <w:color w:val="000000"/>
                <w:sz w:val="16"/>
                <w:szCs w:val="16"/>
                <w:lang w:eastAsia="es-MX"/>
              </w:rPr>
            </w:pPr>
            <w:r w:rsidRPr="008913E4">
              <w:rPr>
                <w:rFonts w:eastAsia="Times New Roman" w:cs="Arial"/>
                <w:color w:val="000000"/>
                <w:sz w:val="16"/>
                <w:szCs w:val="16"/>
                <w:lang w:eastAsia="es-MX"/>
              </w:rPr>
              <w:t>Campeche, Cam.</w:t>
            </w:r>
          </w:p>
        </w:tc>
        <w:tc>
          <w:tcPr>
            <w:tcW w:w="1145" w:type="dxa"/>
            <w:noWrap/>
            <w:vAlign w:val="center"/>
            <w:hideMark/>
          </w:tcPr>
          <w:p w14:paraId="14D8CD92"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104.7</w:t>
            </w:r>
          </w:p>
        </w:tc>
        <w:tc>
          <w:tcPr>
            <w:tcW w:w="1794" w:type="dxa"/>
            <w:noWrap/>
            <w:vAlign w:val="center"/>
            <w:hideMark/>
          </w:tcPr>
          <w:p w14:paraId="5C5319BB"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9.1</w:t>
            </w:r>
          </w:p>
        </w:tc>
        <w:tc>
          <w:tcPr>
            <w:tcW w:w="1773" w:type="dxa"/>
            <w:noWrap/>
            <w:vAlign w:val="center"/>
            <w:hideMark/>
          </w:tcPr>
          <w:p w14:paraId="7B0EF48B"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-95.7</w:t>
            </w:r>
          </w:p>
        </w:tc>
      </w:tr>
      <w:tr w:rsidR="00261A27" w:rsidRPr="008913E4" w14:paraId="5F6A667D" w14:textId="77777777" w:rsidTr="000635A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F2F2F2" w:themeFill="background1" w:themeFillShade="F2"/>
            <w:noWrap/>
            <w:vAlign w:val="center"/>
            <w:hideMark/>
          </w:tcPr>
          <w:p w14:paraId="322FACBD" w14:textId="77777777" w:rsidR="00261A27" w:rsidRPr="008913E4" w:rsidRDefault="00261A27" w:rsidP="00B205BA">
            <w:pPr>
              <w:spacing w:after="120" w:line="240" w:lineRule="auto"/>
              <w:rPr>
                <w:rFonts w:eastAsia="Times New Roman" w:cs="Arial"/>
                <w:color w:val="000000"/>
                <w:sz w:val="16"/>
                <w:szCs w:val="16"/>
                <w:lang w:eastAsia="es-MX"/>
              </w:rPr>
            </w:pPr>
            <w:r w:rsidRPr="008913E4">
              <w:rPr>
                <w:rFonts w:eastAsia="Times New Roman" w:cs="Arial"/>
                <w:color w:val="000000"/>
                <w:sz w:val="16"/>
                <w:szCs w:val="16"/>
                <w:lang w:eastAsia="es-MX"/>
              </w:rPr>
              <w:t>Othón Blanco, Quintana R.</w:t>
            </w:r>
          </w:p>
        </w:tc>
        <w:tc>
          <w:tcPr>
            <w:tcW w:w="1145" w:type="dxa"/>
            <w:noWrap/>
            <w:vAlign w:val="center"/>
            <w:hideMark/>
          </w:tcPr>
          <w:p w14:paraId="6A02A2BA"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334.7</w:t>
            </w:r>
          </w:p>
        </w:tc>
        <w:tc>
          <w:tcPr>
            <w:tcW w:w="1794" w:type="dxa"/>
            <w:noWrap/>
            <w:vAlign w:val="center"/>
            <w:hideMark/>
          </w:tcPr>
          <w:p w14:paraId="0229B222"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252.6</w:t>
            </w:r>
          </w:p>
        </w:tc>
        <w:tc>
          <w:tcPr>
            <w:tcW w:w="1773" w:type="dxa"/>
            <w:noWrap/>
            <w:vAlign w:val="center"/>
            <w:hideMark/>
          </w:tcPr>
          <w:p w14:paraId="14A37FCC"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-82.1</w:t>
            </w:r>
          </w:p>
        </w:tc>
      </w:tr>
      <w:tr w:rsidR="00261A27" w:rsidRPr="008913E4" w14:paraId="0B53E4ED" w14:textId="77777777" w:rsidTr="000635AB">
        <w:trPr>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F2F2F2" w:themeFill="background1" w:themeFillShade="F2"/>
            <w:noWrap/>
            <w:vAlign w:val="center"/>
            <w:hideMark/>
          </w:tcPr>
          <w:p w14:paraId="0FEAAECB" w14:textId="77777777" w:rsidR="00261A27" w:rsidRPr="008913E4" w:rsidRDefault="00261A27" w:rsidP="00B205BA">
            <w:pPr>
              <w:spacing w:after="120" w:line="240" w:lineRule="auto"/>
              <w:rPr>
                <w:rFonts w:eastAsia="Times New Roman" w:cs="Arial"/>
                <w:color w:val="000000"/>
                <w:sz w:val="16"/>
                <w:szCs w:val="16"/>
                <w:lang w:eastAsia="es-MX"/>
              </w:rPr>
            </w:pPr>
            <w:r w:rsidRPr="008913E4">
              <w:rPr>
                <w:rFonts w:eastAsia="Times New Roman" w:cs="Arial"/>
                <w:color w:val="000000"/>
                <w:sz w:val="16"/>
                <w:szCs w:val="16"/>
                <w:lang w:eastAsia="es-MX"/>
              </w:rPr>
              <w:t>Durango, Durango</w:t>
            </w:r>
          </w:p>
        </w:tc>
        <w:tc>
          <w:tcPr>
            <w:tcW w:w="1145" w:type="dxa"/>
            <w:noWrap/>
            <w:vAlign w:val="center"/>
            <w:hideMark/>
          </w:tcPr>
          <w:p w14:paraId="39404C02"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275.4</w:t>
            </w:r>
          </w:p>
        </w:tc>
        <w:tc>
          <w:tcPr>
            <w:tcW w:w="1794" w:type="dxa"/>
            <w:noWrap/>
            <w:vAlign w:val="center"/>
            <w:hideMark/>
          </w:tcPr>
          <w:p w14:paraId="72B0AD48"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210.3</w:t>
            </w:r>
          </w:p>
        </w:tc>
        <w:tc>
          <w:tcPr>
            <w:tcW w:w="1773" w:type="dxa"/>
            <w:noWrap/>
            <w:vAlign w:val="center"/>
            <w:hideMark/>
          </w:tcPr>
          <w:p w14:paraId="7EF4AB13"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-65.1</w:t>
            </w:r>
          </w:p>
        </w:tc>
      </w:tr>
      <w:tr w:rsidR="00261A27" w:rsidRPr="008913E4" w14:paraId="22046953" w14:textId="77777777" w:rsidTr="000635A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F2F2F2" w:themeFill="background1" w:themeFillShade="F2"/>
            <w:noWrap/>
            <w:vAlign w:val="center"/>
            <w:hideMark/>
          </w:tcPr>
          <w:p w14:paraId="2C8216AA" w14:textId="77777777" w:rsidR="00261A27" w:rsidRPr="008913E4" w:rsidRDefault="00261A27" w:rsidP="00B205BA">
            <w:pPr>
              <w:spacing w:after="120" w:line="240" w:lineRule="auto"/>
              <w:rPr>
                <w:rFonts w:eastAsia="Times New Roman" w:cs="Arial"/>
                <w:color w:val="000000"/>
                <w:sz w:val="16"/>
                <w:szCs w:val="16"/>
                <w:lang w:eastAsia="es-MX"/>
              </w:rPr>
            </w:pPr>
            <w:r w:rsidRPr="008913E4">
              <w:rPr>
                <w:rFonts w:eastAsia="Times New Roman" w:cs="Arial"/>
                <w:color w:val="000000"/>
                <w:sz w:val="16"/>
                <w:szCs w:val="16"/>
                <w:lang w:eastAsia="es-MX"/>
              </w:rPr>
              <w:t>San Luis Potosí, SLP</w:t>
            </w:r>
          </w:p>
        </w:tc>
        <w:tc>
          <w:tcPr>
            <w:tcW w:w="1145" w:type="dxa"/>
            <w:noWrap/>
            <w:vAlign w:val="center"/>
            <w:hideMark/>
          </w:tcPr>
          <w:p w14:paraId="15AC44F0"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408.6</w:t>
            </w:r>
          </w:p>
        </w:tc>
        <w:tc>
          <w:tcPr>
            <w:tcW w:w="1794" w:type="dxa"/>
            <w:noWrap/>
            <w:vAlign w:val="center"/>
            <w:hideMark/>
          </w:tcPr>
          <w:p w14:paraId="0CDD621D"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348.6</w:t>
            </w:r>
          </w:p>
        </w:tc>
        <w:tc>
          <w:tcPr>
            <w:tcW w:w="1773" w:type="dxa"/>
            <w:noWrap/>
            <w:vAlign w:val="center"/>
            <w:hideMark/>
          </w:tcPr>
          <w:p w14:paraId="2409AB7C" w14:textId="77777777" w:rsidR="00261A27" w:rsidRPr="008913E4" w:rsidRDefault="00261A27" w:rsidP="00B205BA">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-60.0</w:t>
            </w:r>
          </w:p>
        </w:tc>
      </w:tr>
      <w:tr w:rsidR="00261A27" w:rsidRPr="008913E4" w14:paraId="442079D0" w14:textId="77777777" w:rsidTr="000635AB">
        <w:trPr>
          <w:trHeight w:val="291"/>
          <w:jc w:val="center"/>
        </w:trPr>
        <w:tc>
          <w:tcPr>
            <w:cnfStyle w:val="001000000000" w:firstRow="0" w:lastRow="0" w:firstColumn="1" w:lastColumn="0" w:oddVBand="0" w:evenVBand="0" w:oddHBand="0" w:evenHBand="0" w:firstRowFirstColumn="0" w:firstRowLastColumn="0" w:lastRowFirstColumn="0" w:lastRowLastColumn="0"/>
            <w:tcW w:w="3011" w:type="dxa"/>
            <w:shd w:val="clear" w:color="auto" w:fill="F2F2F2" w:themeFill="background1" w:themeFillShade="F2"/>
            <w:noWrap/>
            <w:vAlign w:val="center"/>
            <w:hideMark/>
          </w:tcPr>
          <w:p w14:paraId="1E494E40" w14:textId="77777777" w:rsidR="00261A27" w:rsidRPr="008913E4" w:rsidRDefault="00261A27" w:rsidP="00B205BA">
            <w:pPr>
              <w:spacing w:after="120" w:line="240" w:lineRule="auto"/>
              <w:rPr>
                <w:rFonts w:eastAsia="Times New Roman" w:cs="Arial"/>
                <w:color w:val="000000"/>
                <w:sz w:val="16"/>
                <w:szCs w:val="16"/>
                <w:lang w:eastAsia="es-MX"/>
              </w:rPr>
            </w:pPr>
            <w:r w:rsidRPr="008913E4">
              <w:rPr>
                <w:rFonts w:eastAsia="Times New Roman" w:cs="Arial"/>
                <w:color w:val="000000"/>
                <w:sz w:val="16"/>
                <w:szCs w:val="16"/>
                <w:lang w:eastAsia="es-MX"/>
              </w:rPr>
              <w:t>Tuxtla Gutiérrez, Chis.</w:t>
            </w:r>
          </w:p>
        </w:tc>
        <w:tc>
          <w:tcPr>
            <w:tcW w:w="1145" w:type="dxa"/>
            <w:noWrap/>
            <w:vAlign w:val="center"/>
            <w:hideMark/>
          </w:tcPr>
          <w:p w14:paraId="7D4BB075"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314.0</w:t>
            </w:r>
          </w:p>
        </w:tc>
        <w:tc>
          <w:tcPr>
            <w:tcW w:w="1794" w:type="dxa"/>
            <w:noWrap/>
            <w:vAlign w:val="center"/>
            <w:hideMark/>
          </w:tcPr>
          <w:p w14:paraId="5BBD7615"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271.9</w:t>
            </w:r>
          </w:p>
        </w:tc>
        <w:tc>
          <w:tcPr>
            <w:tcW w:w="1773" w:type="dxa"/>
            <w:noWrap/>
            <w:vAlign w:val="center"/>
            <w:hideMark/>
          </w:tcPr>
          <w:p w14:paraId="0E67EDF5" w14:textId="77777777" w:rsidR="00261A27" w:rsidRPr="008913E4" w:rsidRDefault="00261A27" w:rsidP="00B205BA">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MX"/>
              </w:rPr>
            </w:pPr>
            <w:r w:rsidRPr="008913E4">
              <w:rPr>
                <w:rFonts w:eastAsia="Times New Roman" w:cs="Arial"/>
                <w:color w:val="000000"/>
                <w:sz w:val="16"/>
                <w:szCs w:val="16"/>
                <w:lang w:eastAsia="es-MX"/>
              </w:rPr>
              <w:t>-42.1</w:t>
            </w:r>
          </w:p>
        </w:tc>
      </w:tr>
    </w:tbl>
    <w:p w14:paraId="61A29A5B" w14:textId="77777777" w:rsidR="00384441" w:rsidRDefault="00384441" w:rsidP="00626AB9">
      <w:pPr>
        <w:tabs>
          <w:tab w:val="left" w:pos="4849"/>
        </w:tabs>
        <w:spacing w:after="120" w:line="240" w:lineRule="auto"/>
        <w:rPr>
          <w:rFonts w:cs="Arial"/>
          <w:sz w:val="18"/>
          <w:szCs w:val="18"/>
        </w:rPr>
      </w:pPr>
    </w:p>
    <w:p w14:paraId="42B73B8D" w14:textId="697FA9D1" w:rsidR="00261A27" w:rsidRPr="00626AB9" w:rsidRDefault="00261A27" w:rsidP="00626AB9">
      <w:pPr>
        <w:tabs>
          <w:tab w:val="left" w:pos="4849"/>
        </w:tabs>
        <w:spacing w:after="120" w:line="240" w:lineRule="auto"/>
        <w:rPr>
          <w:b/>
          <w:bCs/>
        </w:rPr>
      </w:pPr>
      <w:r w:rsidRPr="008913E4">
        <w:rPr>
          <w:rFonts w:cs="Arial"/>
          <w:sz w:val="18"/>
          <w:szCs w:val="18"/>
        </w:rPr>
        <w:t xml:space="preserve">Fuente: </w:t>
      </w:r>
      <w:r w:rsidRPr="00261A27">
        <w:rPr>
          <w:rFonts w:cs="Arial"/>
          <w:sz w:val="18"/>
          <w:szCs w:val="18"/>
        </w:rPr>
        <w:t>Elaborado por la Dirección de Contabilidad de la Tesorería Municipal de Hermosillo con datos del portal Disciplina Financiera de Entidades Federativas y Municipios de la Secretaría de Hacienda</w:t>
      </w:r>
      <w:r w:rsidRPr="008913E4">
        <w:rPr>
          <w:rFonts w:cs="Arial"/>
          <w:sz w:val="18"/>
          <w:szCs w:val="18"/>
        </w:rPr>
        <w:t xml:space="preserve"> y Crédito Público</w:t>
      </w:r>
    </w:p>
    <w:p w14:paraId="0A747AD9" w14:textId="5CCBFD27" w:rsidR="00261A27" w:rsidRPr="008913E4" w:rsidRDefault="00261A27" w:rsidP="00B205BA">
      <w:pPr>
        <w:shd w:val="clear" w:color="auto" w:fill="FFFFFF"/>
        <w:spacing w:after="120" w:line="240" w:lineRule="auto"/>
        <w:rPr>
          <w:rFonts w:cstheme="minorHAnsi"/>
          <w:b/>
          <w:bCs/>
          <w:color w:val="000000"/>
          <w:shd w:val="clear" w:color="auto" w:fill="FFFFFF"/>
          <w:lang w:eastAsia="es-MX"/>
        </w:rPr>
      </w:pPr>
      <w:r w:rsidRPr="008913E4">
        <w:rPr>
          <w:rFonts w:cstheme="minorHAnsi"/>
          <w:b/>
          <w:bCs/>
          <w:color w:val="000000"/>
          <w:shd w:val="clear" w:color="auto" w:fill="FFFFFF"/>
          <w:lang w:eastAsia="es-MX"/>
        </w:rPr>
        <w:t>Transparencia y rendición de cuentas</w:t>
      </w:r>
      <w:r w:rsidR="00626AB9">
        <w:rPr>
          <w:rFonts w:cstheme="minorHAnsi"/>
          <w:b/>
          <w:bCs/>
          <w:color w:val="000000"/>
          <w:shd w:val="clear" w:color="auto" w:fill="FFFFFF"/>
          <w:lang w:eastAsia="es-MX"/>
        </w:rPr>
        <w:t>.</w:t>
      </w:r>
    </w:p>
    <w:p w14:paraId="31999C84" w14:textId="77777777" w:rsidR="00261A27" w:rsidRPr="00626AB9" w:rsidRDefault="00261A27" w:rsidP="00B205BA">
      <w:pPr>
        <w:shd w:val="clear" w:color="auto" w:fill="FFFFFF"/>
        <w:spacing w:after="120" w:line="240" w:lineRule="auto"/>
        <w:rPr>
          <w:rFonts w:cs="Arial"/>
        </w:rPr>
      </w:pPr>
      <w:r w:rsidRPr="00626AB9">
        <w:rPr>
          <w:rFonts w:cs="Arial"/>
        </w:rPr>
        <w:t>La transparencia y la rendición de cuentas son un derecho del ciudadano y una obligación de su gobierno. La ciudadanía se sentirá confiada en la medida en que se le informe y comunique qué hace su gobierno, en qué gasta y cuál es el origen de los recursos. Adicionalmente a la información que por ley se debe publicar por los sujetos obligados, se encuentra la transparencia proactiva, que es el mecanismo voluntario para hacer pública información relevante y útil para la sociedad de manera anticipada y activa. Esta va más allá de las obligaciones legales, con objeto de dar máxima publicidad a información socialmente útil, facilitar su acceso, con un lenguaje ciudadano, que fomente la participación ciudadana en las decisiones públicas.</w:t>
      </w:r>
    </w:p>
    <w:p w14:paraId="6D164AF1" w14:textId="77777777" w:rsidR="00261A27" w:rsidRPr="00626AB9" w:rsidRDefault="00261A27" w:rsidP="00B205BA">
      <w:pPr>
        <w:shd w:val="clear" w:color="auto" w:fill="FFFFFF"/>
        <w:spacing w:after="120" w:line="240" w:lineRule="auto"/>
        <w:rPr>
          <w:rFonts w:cs="Arial"/>
        </w:rPr>
      </w:pPr>
      <w:r w:rsidRPr="00626AB9">
        <w:rPr>
          <w:rFonts w:cs="Arial"/>
        </w:rPr>
        <w:t xml:space="preserve">El H. Ayuntamiento de Hermosillo tiene un portal de transparencia proactiva denominado </w:t>
      </w:r>
      <w:r w:rsidRPr="00626AB9">
        <w:rPr>
          <w:rFonts w:cs="Arial"/>
          <w:i/>
          <w:iCs/>
        </w:rPr>
        <w:t>TuObra.mx</w:t>
      </w:r>
      <w:r w:rsidRPr="00626AB9">
        <w:rPr>
          <w:rFonts w:cs="Arial"/>
        </w:rPr>
        <w:t>, herramienta tecnológica diseñada para la rendición de cuentas y de fácil acceso del ciudadano a la información de las licitaciones, la obra pública y su ubicación georreferenciada. Además, presenta la información de las obras con participación ciudadana y valor público que se realizan a través del programa CRECES.</w:t>
      </w:r>
    </w:p>
    <w:p w14:paraId="0B45FB56" w14:textId="77777777" w:rsidR="00261A27" w:rsidRDefault="00261A27" w:rsidP="00B205BA">
      <w:pPr>
        <w:shd w:val="clear" w:color="auto" w:fill="FFFFFF"/>
        <w:spacing w:after="120" w:line="240" w:lineRule="auto"/>
        <w:rPr>
          <w:rFonts w:cs="Arial"/>
          <w:color w:val="000000" w:themeColor="text1"/>
        </w:rPr>
      </w:pPr>
      <w:r w:rsidRPr="00626AB9">
        <w:rPr>
          <w:rFonts w:cs="Arial"/>
        </w:rPr>
        <w:t xml:space="preserve">En México, la transparencia y la rendición de cuentas se consideran un activo para la buena gobernanza. El Instituto Nacional de Transparencia, Acceso a la Información y Protección de Datos Personales (INAI) realiza una convocatoria anual en los estados y municipios </w:t>
      </w:r>
      <w:r w:rsidRPr="008913E4">
        <w:rPr>
          <w:rFonts w:cs="Arial"/>
          <w:color w:val="000000" w:themeColor="text1"/>
        </w:rPr>
        <w:t xml:space="preserve">para promover, reconocer, incentivar y difundir innovaciones y buenas prácticas en materia de protección de datos personales, que puedan ser replicadas por los distintos sujetos obligados del país. </w:t>
      </w:r>
    </w:p>
    <w:p w14:paraId="16C7C86B" w14:textId="77777777" w:rsidR="00261A27" w:rsidRPr="008913E4" w:rsidRDefault="00261A27" w:rsidP="00B205BA">
      <w:pPr>
        <w:shd w:val="clear" w:color="auto" w:fill="FFFFFF"/>
        <w:spacing w:after="120" w:line="240" w:lineRule="auto"/>
        <w:rPr>
          <w:rFonts w:cs="Arial"/>
          <w:color w:val="000000" w:themeColor="text1"/>
        </w:rPr>
      </w:pPr>
      <w:r w:rsidRPr="008913E4">
        <w:rPr>
          <w:rFonts w:cs="Arial"/>
          <w:color w:val="000000" w:themeColor="text1"/>
        </w:rPr>
        <w:t xml:space="preserve">El gobierno </w:t>
      </w:r>
      <w:r>
        <w:rPr>
          <w:rFonts w:cs="Arial"/>
          <w:color w:val="000000" w:themeColor="text1"/>
        </w:rPr>
        <w:t xml:space="preserve">municipal </w:t>
      </w:r>
      <w:r w:rsidRPr="008913E4">
        <w:rPr>
          <w:rFonts w:cs="Arial"/>
          <w:color w:val="000000" w:themeColor="text1"/>
        </w:rPr>
        <w:t>de Hermosillo obtuvo el segundo lugar del Premio de Innovación y Buenas Prácticas en la Protección de Datos Personal</w:t>
      </w:r>
      <w:r>
        <w:rPr>
          <w:rFonts w:cs="Arial"/>
          <w:color w:val="000000" w:themeColor="text1"/>
        </w:rPr>
        <w:t>es</w:t>
      </w:r>
      <w:r w:rsidRPr="008913E4">
        <w:rPr>
          <w:rFonts w:cs="Arial"/>
          <w:color w:val="000000" w:themeColor="text1"/>
        </w:rPr>
        <w:t xml:space="preserve"> 2023, con el proyecto denominado “Sistema de Gestión Documento de Seguridad”.</w:t>
      </w:r>
    </w:p>
    <w:p w14:paraId="096070DD" w14:textId="77777777" w:rsidR="00261A27" w:rsidRPr="008913E4" w:rsidRDefault="00261A27" w:rsidP="00B205BA">
      <w:pPr>
        <w:spacing w:before="100" w:beforeAutospacing="1" w:after="120" w:line="240" w:lineRule="auto"/>
        <w:rPr>
          <w:rFonts w:cs="Arial"/>
          <w:color w:val="202124"/>
          <w:kern w:val="2"/>
          <w:shd w:val="clear" w:color="auto" w:fill="FFFFFF"/>
          <w:lang w:eastAsia="es-MX"/>
          <w14:ligatures w14:val="standardContextual"/>
        </w:rPr>
      </w:pPr>
      <w:r w:rsidRPr="008913E4">
        <w:rPr>
          <w:rFonts w:cs="Arial"/>
          <w:color w:val="202124"/>
          <w:kern w:val="2"/>
          <w:shd w:val="clear" w:color="auto" w:fill="FFFFFF"/>
          <w:lang w:eastAsia="es-ES_tradnl"/>
          <w14:ligatures w14:val="standardContextual"/>
        </w:rPr>
        <w:t xml:space="preserve">El </w:t>
      </w:r>
      <w:r>
        <w:rPr>
          <w:rFonts w:cs="Arial"/>
          <w:color w:val="202124"/>
          <w:kern w:val="2"/>
          <w:shd w:val="clear" w:color="auto" w:fill="FFFFFF"/>
          <w:lang w:eastAsia="es-ES_tradnl"/>
          <w14:ligatures w14:val="standardContextual"/>
        </w:rPr>
        <w:t>m</w:t>
      </w:r>
      <w:r w:rsidRPr="008913E4">
        <w:rPr>
          <w:rFonts w:cs="Arial"/>
          <w:color w:val="202124"/>
          <w:kern w:val="2"/>
          <w:shd w:val="clear" w:color="auto" w:fill="FFFFFF"/>
          <w:lang w:eastAsia="es-ES_tradnl"/>
          <w14:ligatures w14:val="standardContextual"/>
        </w:rPr>
        <w:t xml:space="preserve">unicipio </w:t>
      </w:r>
      <w:r>
        <w:rPr>
          <w:rFonts w:cs="Arial"/>
          <w:color w:val="202124"/>
          <w:kern w:val="2"/>
          <w:shd w:val="clear" w:color="auto" w:fill="FFFFFF"/>
          <w:lang w:eastAsia="es-ES_tradnl"/>
          <w14:ligatures w14:val="standardContextual"/>
        </w:rPr>
        <w:t>también</w:t>
      </w:r>
      <w:r w:rsidRPr="008913E4">
        <w:rPr>
          <w:rFonts w:cs="Arial"/>
          <w:color w:val="202124"/>
          <w:kern w:val="2"/>
          <w:shd w:val="clear" w:color="auto" w:fill="FFFFFF"/>
          <w:lang w:eastAsia="es-ES_tradnl"/>
          <w14:ligatures w14:val="standardContextual"/>
        </w:rPr>
        <w:t xml:space="preserve"> cuenta con el </w:t>
      </w:r>
      <w:r w:rsidRPr="008913E4">
        <w:rPr>
          <w:rFonts w:cs="Arial"/>
          <w:color w:val="202124"/>
          <w:kern w:val="2"/>
          <w:shd w:val="clear" w:color="auto" w:fill="FFFFFF"/>
          <w:lang w:eastAsia="es-MX"/>
          <w14:ligatures w14:val="standardContextual"/>
        </w:rPr>
        <w:t xml:space="preserve">Portal de Transparencia Presupuestaria de Hermosillo (PTP), </w:t>
      </w:r>
      <w:r>
        <w:rPr>
          <w:rFonts w:cs="Arial"/>
          <w:color w:val="202124"/>
          <w:kern w:val="2"/>
          <w:shd w:val="clear" w:color="auto" w:fill="FFFFFF"/>
          <w:lang w:eastAsia="es-MX"/>
          <w14:ligatures w14:val="standardContextual"/>
        </w:rPr>
        <w:t>a través del</w:t>
      </w:r>
      <w:r w:rsidRPr="008913E4">
        <w:rPr>
          <w:rFonts w:cs="Arial"/>
          <w:color w:val="202124"/>
          <w:kern w:val="2"/>
          <w:shd w:val="clear" w:color="auto" w:fill="FFFFFF"/>
          <w:lang w:eastAsia="es-MX"/>
          <w14:ligatures w14:val="standardContextual"/>
        </w:rPr>
        <w:t xml:space="preserve"> cual presenta la información de las finanzas públicas municipales con un lenguaje ciudadano</w:t>
      </w:r>
      <w:r>
        <w:rPr>
          <w:rFonts w:cs="Arial"/>
          <w:color w:val="202124"/>
          <w:kern w:val="2"/>
          <w:shd w:val="clear" w:color="auto" w:fill="FFFFFF"/>
          <w:lang w:eastAsia="es-MX"/>
          <w14:ligatures w14:val="standardContextual"/>
        </w:rPr>
        <w:t>, para informar sobre</w:t>
      </w:r>
      <w:r w:rsidRPr="008913E4">
        <w:rPr>
          <w:rFonts w:cs="Arial"/>
          <w:color w:val="202124"/>
          <w:kern w:val="2"/>
          <w:shd w:val="clear" w:color="auto" w:fill="FFFFFF"/>
          <w:lang w:eastAsia="es-MX"/>
          <w14:ligatures w14:val="standardContextual"/>
        </w:rPr>
        <w:t xml:space="preserve"> el origen, destino y resultados de los recursos públicos</w:t>
      </w:r>
      <w:r>
        <w:rPr>
          <w:rFonts w:cs="Arial"/>
          <w:color w:val="202124"/>
          <w:kern w:val="2"/>
          <w:shd w:val="clear" w:color="auto" w:fill="FFFFFF"/>
          <w:lang w:eastAsia="es-MX"/>
          <w14:ligatures w14:val="standardContextual"/>
        </w:rPr>
        <w:t>. El portal</w:t>
      </w:r>
      <w:r w:rsidRPr="008913E4">
        <w:rPr>
          <w:rFonts w:cs="Arial"/>
          <w:color w:val="202124"/>
          <w:kern w:val="2"/>
          <w:shd w:val="clear" w:color="auto" w:fill="FFFFFF"/>
          <w:lang w:eastAsia="es-MX"/>
          <w14:ligatures w14:val="standardContextual"/>
        </w:rPr>
        <w:t xml:space="preserve"> </w:t>
      </w:r>
      <w:r>
        <w:rPr>
          <w:rFonts w:cs="Arial"/>
          <w:color w:val="202124"/>
          <w:kern w:val="2"/>
          <w:shd w:val="clear" w:color="auto" w:fill="FFFFFF"/>
          <w:lang w:eastAsia="es-MX"/>
          <w14:ligatures w14:val="standardContextual"/>
        </w:rPr>
        <w:t>es operado</w:t>
      </w:r>
      <w:r w:rsidRPr="008913E4">
        <w:rPr>
          <w:rFonts w:cs="Arial"/>
          <w:color w:val="202124"/>
          <w:kern w:val="2"/>
          <w:shd w:val="clear" w:color="auto" w:fill="FFFFFF"/>
          <w:lang w:eastAsia="es-MX"/>
          <w14:ligatures w14:val="standardContextual"/>
        </w:rPr>
        <w:t xml:space="preserve"> de forma transversal </w:t>
      </w:r>
      <w:r>
        <w:rPr>
          <w:rFonts w:cs="Arial"/>
          <w:color w:val="202124"/>
          <w:kern w:val="2"/>
          <w:shd w:val="clear" w:color="auto" w:fill="FFFFFF"/>
          <w:lang w:eastAsia="es-MX"/>
          <w14:ligatures w14:val="standardContextual"/>
        </w:rPr>
        <w:t>por</w:t>
      </w:r>
      <w:r w:rsidRPr="008913E4">
        <w:rPr>
          <w:rFonts w:cs="Arial"/>
          <w:color w:val="202124"/>
          <w:kern w:val="2"/>
          <w:shd w:val="clear" w:color="auto" w:fill="FFFFFF"/>
          <w:lang w:eastAsia="es-MX"/>
          <w14:ligatures w14:val="standardContextual"/>
        </w:rPr>
        <w:t xml:space="preserve"> las dependencias y entidades de la administración pública municipal.</w:t>
      </w:r>
    </w:p>
    <w:p w14:paraId="53D68668" w14:textId="77777777" w:rsidR="00261A27" w:rsidRPr="008913E4" w:rsidRDefault="00261A27" w:rsidP="00B205BA">
      <w:pPr>
        <w:spacing w:after="120" w:line="240" w:lineRule="auto"/>
        <w:rPr>
          <w:rFonts w:cs="Arial"/>
          <w:color w:val="202124"/>
          <w:kern w:val="2"/>
          <w:shd w:val="clear" w:color="auto" w:fill="FFFFFF"/>
          <w14:ligatures w14:val="standardContextual"/>
        </w:rPr>
      </w:pPr>
      <w:r>
        <w:rPr>
          <w:rFonts w:cs="Arial"/>
          <w:color w:val="202124"/>
          <w:kern w:val="2"/>
          <w:shd w:val="clear" w:color="auto" w:fill="FFFFFF"/>
          <w14:ligatures w14:val="standardContextual"/>
        </w:rPr>
        <w:t>En</w:t>
      </w:r>
      <w:r w:rsidRPr="008913E4">
        <w:rPr>
          <w:rFonts w:cs="Arial"/>
          <w:color w:val="202124"/>
          <w:kern w:val="2"/>
          <w:shd w:val="clear" w:color="auto" w:fill="FFFFFF"/>
          <w14:ligatures w14:val="standardContextual"/>
        </w:rPr>
        <w:t xml:space="preserve"> el módulo de Finanzas Municipales se puede</w:t>
      </w:r>
      <w:r>
        <w:rPr>
          <w:rFonts w:cs="Arial"/>
          <w:color w:val="202124"/>
          <w:kern w:val="2"/>
          <w:shd w:val="clear" w:color="auto" w:fill="FFFFFF"/>
          <w14:ligatures w14:val="standardContextual"/>
        </w:rPr>
        <w:t>n</w:t>
      </w:r>
      <w:r w:rsidRPr="008913E4">
        <w:rPr>
          <w:rFonts w:cs="Arial"/>
          <w:color w:val="202124"/>
          <w:kern w:val="2"/>
          <w:shd w:val="clear" w:color="auto" w:fill="FFFFFF"/>
          <w14:ligatures w14:val="standardContextual"/>
        </w:rPr>
        <w:t xml:space="preserve"> visualizar y descargar los archivos y documentos a través de los cuales el Ayuntamiento rinde cuentas acerca del manejo de las </w:t>
      </w:r>
      <w:r w:rsidRPr="008913E4">
        <w:rPr>
          <w:rFonts w:cs="Arial"/>
          <w:color w:val="202124"/>
          <w:kern w:val="2"/>
          <w:shd w:val="clear" w:color="auto" w:fill="FFFFFF"/>
          <w14:ligatures w14:val="standardContextual"/>
        </w:rPr>
        <w:lastRenderedPageBreak/>
        <w:t>finanzas públicas del municipio</w:t>
      </w:r>
      <w:r>
        <w:rPr>
          <w:rFonts w:cs="Arial"/>
          <w:color w:val="202124"/>
          <w:kern w:val="2"/>
          <w:shd w:val="clear" w:color="auto" w:fill="FFFFFF"/>
          <w14:ligatures w14:val="standardContextual"/>
        </w:rPr>
        <w:t>. El módulo</w:t>
      </w:r>
      <w:r w:rsidRPr="008913E4">
        <w:rPr>
          <w:rFonts w:cs="Arial"/>
          <w:color w:val="202124"/>
          <w:kern w:val="2"/>
          <w:shd w:val="clear" w:color="auto" w:fill="FFFFFF"/>
          <w14:ligatures w14:val="standardContextual"/>
        </w:rPr>
        <w:t xml:space="preserve"> contiene información </w:t>
      </w:r>
      <w:r>
        <w:rPr>
          <w:rFonts w:cs="Arial"/>
          <w:color w:val="202124"/>
          <w:kern w:val="2"/>
          <w:shd w:val="clear" w:color="auto" w:fill="FFFFFF"/>
          <w14:ligatures w14:val="standardContextual"/>
        </w:rPr>
        <w:t>desde el</w:t>
      </w:r>
      <w:r w:rsidRPr="008913E4">
        <w:rPr>
          <w:rFonts w:cs="Arial"/>
          <w:color w:val="202124"/>
          <w:kern w:val="2"/>
          <w:shd w:val="clear" w:color="auto" w:fill="FFFFFF"/>
          <w14:ligatures w14:val="standardContextual"/>
        </w:rPr>
        <w:t xml:space="preserve"> año 2020 a la fecha, tanto de la administración central como de las paramunicipales. </w:t>
      </w:r>
    </w:p>
    <w:p w14:paraId="67EF1F7E" w14:textId="77777777" w:rsidR="00261A27" w:rsidRPr="00AF0E23" w:rsidRDefault="00261A27" w:rsidP="00B205BA">
      <w:pPr>
        <w:spacing w:after="120" w:line="240" w:lineRule="auto"/>
        <w:rPr>
          <w:rFonts w:cs="Arial"/>
          <w:color w:val="202124"/>
          <w:kern w:val="2"/>
          <w:shd w:val="clear" w:color="auto" w:fill="FFFFFF"/>
          <w14:ligatures w14:val="standardContextual"/>
        </w:rPr>
      </w:pPr>
      <w:r w:rsidRPr="00AF0E23">
        <w:rPr>
          <w:rFonts w:cs="Arial"/>
          <w:color w:val="202124"/>
          <w:kern w:val="2"/>
          <w:shd w:val="clear" w:color="auto" w:fill="FFFFFF"/>
          <w14:ligatures w14:val="standardContextual"/>
        </w:rPr>
        <w:t>Por su parte, a marzo de 2024, el sitio de transparencia presupuestaria alberga 12</w:t>
      </w:r>
      <w:r>
        <w:rPr>
          <w:rFonts w:cs="Arial"/>
          <w:color w:val="202124"/>
          <w:kern w:val="2"/>
          <w:shd w:val="clear" w:color="auto" w:fill="FFFFFF"/>
          <w14:ligatures w14:val="standardContextual"/>
        </w:rPr>
        <w:t xml:space="preserve"> </w:t>
      </w:r>
      <w:r w:rsidRPr="00AF0E23">
        <w:rPr>
          <w:rFonts w:cs="Arial"/>
          <w:color w:val="202124"/>
          <w:kern w:val="2"/>
          <w:shd w:val="clear" w:color="auto" w:fill="FFFFFF"/>
          <w14:ligatures w14:val="standardContextual"/>
        </w:rPr>
        <w:t>190 documentos</w:t>
      </w:r>
      <w:r w:rsidRPr="00662123">
        <w:rPr>
          <w:rFonts w:cs="Arial"/>
          <w:color w:val="202124"/>
          <w:kern w:val="2"/>
          <w:shd w:val="clear" w:color="auto" w:fill="FFFFFF"/>
          <w14:ligatures w14:val="standardContextual"/>
        </w:rPr>
        <w:t xml:space="preserve"> </w:t>
      </w:r>
      <w:r>
        <w:rPr>
          <w:rFonts w:cs="Arial"/>
          <w:color w:val="202124"/>
          <w:kern w:val="2"/>
          <w:shd w:val="clear" w:color="auto" w:fill="FFFFFF"/>
          <w14:ligatures w14:val="standardContextual"/>
        </w:rPr>
        <w:t>con información de</w:t>
      </w:r>
      <w:r w:rsidRPr="006D2B7E">
        <w:rPr>
          <w:rFonts w:cs="Arial"/>
          <w:color w:val="202124"/>
          <w:kern w:val="2"/>
          <w:shd w:val="clear" w:color="auto" w:fill="FFFFFF"/>
          <w14:ligatures w14:val="standardContextual"/>
        </w:rPr>
        <w:t xml:space="preserve"> la administración central y las paramunicipales</w:t>
      </w:r>
      <w:r w:rsidRPr="00AF0E23">
        <w:rPr>
          <w:rFonts w:cs="Arial"/>
          <w:color w:val="202124"/>
          <w:kern w:val="2"/>
          <w:shd w:val="clear" w:color="auto" w:fill="FFFFFF"/>
          <w14:ligatures w14:val="standardContextual"/>
        </w:rPr>
        <w:t>, distribuido</w:t>
      </w:r>
      <w:r>
        <w:rPr>
          <w:rFonts w:cs="Arial"/>
          <w:color w:val="202124"/>
          <w:kern w:val="2"/>
          <w:shd w:val="clear" w:color="auto" w:fill="FFFFFF"/>
          <w14:ligatures w14:val="standardContextual"/>
        </w:rPr>
        <w:t>s</w:t>
      </w:r>
      <w:r w:rsidRPr="00AF0E23">
        <w:rPr>
          <w:rFonts w:cs="Arial"/>
          <w:color w:val="202124"/>
          <w:kern w:val="2"/>
          <w:shd w:val="clear" w:color="auto" w:fill="FFFFFF"/>
          <w14:ligatures w14:val="standardContextual"/>
        </w:rPr>
        <w:t xml:space="preserve"> en 5 años</w:t>
      </w:r>
      <w:r>
        <w:rPr>
          <w:rFonts w:cs="Arial"/>
          <w:color w:val="202124"/>
          <w:kern w:val="2"/>
          <w:shd w:val="clear" w:color="auto" w:fill="FFFFFF"/>
          <w14:ligatures w14:val="standardContextual"/>
        </w:rPr>
        <w:t>.</w:t>
      </w:r>
      <w:r w:rsidRPr="00AF0E23">
        <w:rPr>
          <w:rFonts w:cs="Arial"/>
          <w:color w:val="202124"/>
          <w:kern w:val="2"/>
          <w:shd w:val="clear" w:color="auto" w:fill="FFFFFF"/>
          <w14:ligatures w14:val="standardContextual"/>
        </w:rPr>
        <w:t xml:space="preserve"> </w:t>
      </w:r>
      <w:r w:rsidRPr="00662123">
        <w:rPr>
          <w:rFonts w:cs="Arial"/>
          <w:color w:val="202124"/>
          <w:kern w:val="2"/>
          <w:shd w:val="clear" w:color="auto" w:fill="FFFFFF"/>
          <w14:ligatures w14:val="standardContextual"/>
        </w:rPr>
        <w:t>E</w:t>
      </w:r>
      <w:r w:rsidRPr="00AF0E23">
        <w:rPr>
          <w:rFonts w:cs="Arial"/>
          <w:color w:val="202124"/>
          <w:kern w:val="2"/>
          <w:shd w:val="clear" w:color="auto" w:fill="FFFFFF"/>
          <w14:ligatures w14:val="standardContextual"/>
        </w:rPr>
        <w:t>stos documentos son público</w:t>
      </w:r>
      <w:r>
        <w:rPr>
          <w:rFonts w:cs="Arial"/>
          <w:color w:val="202124"/>
          <w:kern w:val="2"/>
          <w:shd w:val="clear" w:color="auto" w:fill="FFFFFF"/>
          <w14:ligatures w14:val="standardContextual"/>
        </w:rPr>
        <w:t>s</w:t>
      </w:r>
      <w:r w:rsidRPr="00AF0E23">
        <w:rPr>
          <w:rFonts w:cs="Arial"/>
          <w:color w:val="202124"/>
          <w:kern w:val="2"/>
          <w:shd w:val="clear" w:color="auto" w:fill="FFFFFF"/>
          <w14:ligatures w14:val="standardContextual"/>
        </w:rPr>
        <w:t xml:space="preserve"> y se encuentran en formato abierto para que la ciudadanía pueda hacer los cruces de información que </w:t>
      </w:r>
      <w:r>
        <w:rPr>
          <w:rFonts w:cs="Arial"/>
          <w:color w:val="202124"/>
          <w:kern w:val="2"/>
          <w:shd w:val="clear" w:color="auto" w:fill="FFFFFF"/>
          <w14:ligatures w14:val="standardContextual"/>
        </w:rPr>
        <w:t>considere</w:t>
      </w:r>
      <w:r w:rsidRPr="00AF0E23">
        <w:rPr>
          <w:rFonts w:cs="Arial"/>
          <w:color w:val="202124"/>
          <w:kern w:val="2"/>
          <w:shd w:val="clear" w:color="auto" w:fill="FFFFFF"/>
          <w14:ligatures w14:val="standardContextual"/>
        </w:rPr>
        <w:t xml:space="preserve"> necesarios. </w:t>
      </w:r>
    </w:p>
    <w:p w14:paraId="5B980B33" w14:textId="18BBB6CF" w:rsidR="00261A27" w:rsidRPr="008913E4" w:rsidRDefault="00261A27" w:rsidP="00B205BA">
      <w:pPr>
        <w:spacing w:before="100" w:beforeAutospacing="1" w:after="120" w:line="240" w:lineRule="auto"/>
        <w:rPr>
          <w:rFonts w:cs="Arial"/>
          <w:lang w:eastAsia="es-MX"/>
        </w:rPr>
      </w:pPr>
      <w:r w:rsidRPr="008913E4">
        <w:rPr>
          <w:rFonts w:cs="Arial"/>
          <w:b/>
          <w:bCs/>
          <w:lang w:eastAsia="es-MX"/>
        </w:rPr>
        <w:t xml:space="preserve">Control </w:t>
      </w:r>
      <w:r>
        <w:rPr>
          <w:rFonts w:cs="Arial"/>
          <w:b/>
          <w:bCs/>
          <w:lang w:eastAsia="es-MX"/>
        </w:rPr>
        <w:t>i</w:t>
      </w:r>
      <w:r w:rsidRPr="008913E4">
        <w:rPr>
          <w:rFonts w:cs="Arial"/>
          <w:b/>
          <w:bCs/>
          <w:lang w:eastAsia="es-MX"/>
        </w:rPr>
        <w:t>nterno</w:t>
      </w:r>
      <w:r w:rsidR="00626AB9">
        <w:rPr>
          <w:rFonts w:cs="Arial"/>
          <w:b/>
          <w:bCs/>
          <w:lang w:eastAsia="es-MX"/>
        </w:rPr>
        <w:t>.</w:t>
      </w:r>
    </w:p>
    <w:p w14:paraId="72F288FA" w14:textId="77777777" w:rsidR="00261A27" w:rsidRPr="00AF0E23" w:rsidRDefault="00261A27" w:rsidP="00B205BA">
      <w:pPr>
        <w:spacing w:after="120" w:line="240" w:lineRule="auto"/>
        <w:rPr>
          <w:rFonts w:cs="Arial"/>
          <w:color w:val="202124"/>
          <w:kern w:val="2"/>
          <w:shd w:val="clear" w:color="auto" w:fill="FFFFFF"/>
          <w14:ligatures w14:val="standardContextual"/>
        </w:rPr>
      </w:pPr>
      <w:r w:rsidRPr="00AF0E23">
        <w:rPr>
          <w:rFonts w:cs="Arial"/>
          <w:color w:val="202124"/>
          <w:kern w:val="2"/>
          <w:shd w:val="clear" w:color="auto" w:fill="FFFFFF"/>
          <w14:ligatures w14:val="standardContextual"/>
        </w:rPr>
        <w:t xml:space="preserve">La buena administración </w:t>
      </w:r>
      <w:r>
        <w:rPr>
          <w:rFonts w:cs="Arial"/>
          <w:color w:val="202124"/>
          <w:kern w:val="2"/>
          <w:shd w:val="clear" w:color="auto" w:fill="FFFFFF"/>
          <w14:ligatures w14:val="standardContextual"/>
        </w:rPr>
        <w:t xml:space="preserve">gubernamental </w:t>
      </w:r>
      <w:r w:rsidRPr="00AF0E23">
        <w:rPr>
          <w:rFonts w:cs="Arial"/>
          <w:color w:val="202124"/>
          <w:kern w:val="2"/>
          <w:shd w:val="clear" w:color="auto" w:fill="FFFFFF"/>
          <w14:ligatures w14:val="standardContextual"/>
        </w:rPr>
        <w:t xml:space="preserve">tiene como propósito garantizar la eficiencia, la eficacia, la calidad y la transparencia en la gestión, asegurando el cumplimiento de los ordenamientos legales aplicables. </w:t>
      </w:r>
      <w:r>
        <w:rPr>
          <w:rFonts w:cs="Arial"/>
          <w:color w:val="202124"/>
          <w:kern w:val="2"/>
          <w:shd w:val="clear" w:color="auto" w:fill="FFFFFF"/>
          <w14:ligatures w14:val="standardContextual"/>
        </w:rPr>
        <w:t>Instrumentos valiosos en este proceso son los</w:t>
      </w:r>
      <w:r w:rsidRPr="00AF0E23">
        <w:rPr>
          <w:rFonts w:cs="Arial"/>
          <w:color w:val="202124"/>
          <w:kern w:val="2"/>
          <w:shd w:val="clear" w:color="auto" w:fill="FFFFFF"/>
          <w14:ligatures w14:val="standardContextual"/>
        </w:rPr>
        <w:t xml:space="preserve"> mecanismos de control interno</w:t>
      </w:r>
      <w:r>
        <w:rPr>
          <w:rFonts w:cs="Arial"/>
          <w:color w:val="202124"/>
          <w:kern w:val="2"/>
          <w:shd w:val="clear" w:color="auto" w:fill="FFFFFF"/>
          <w14:ligatures w14:val="standardContextual"/>
        </w:rPr>
        <w:t>, que</w:t>
      </w:r>
      <w:r w:rsidRPr="00AF0E23">
        <w:rPr>
          <w:rFonts w:cs="Arial"/>
          <w:color w:val="202124"/>
          <w:kern w:val="2"/>
          <w:shd w:val="clear" w:color="auto" w:fill="FFFFFF"/>
          <w14:ligatures w14:val="standardContextual"/>
        </w:rPr>
        <w:t xml:space="preserve"> han evolucionado a lo largo del tiempo, incorporando diversas metodologías que aportan orden y sentido a la actividad gubernamental.</w:t>
      </w:r>
    </w:p>
    <w:p w14:paraId="5D7DDCC6" w14:textId="77777777" w:rsidR="00261A27" w:rsidRPr="00AF0E23" w:rsidRDefault="00261A27" w:rsidP="00B205BA">
      <w:pPr>
        <w:spacing w:after="120" w:line="240" w:lineRule="auto"/>
        <w:rPr>
          <w:rFonts w:cs="Arial"/>
          <w:color w:val="202124"/>
          <w:kern w:val="2"/>
          <w:shd w:val="clear" w:color="auto" w:fill="FFFFFF"/>
          <w14:ligatures w14:val="standardContextual"/>
        </w:rPr>
      </w:pPr>
      <w:r w:rsidRPr="00AF0E23">
        <w:rPr>
          <w:rFonts w:cs="Arial"/>
          <w:color w:val="202124"/>
          <w:kern w:val="2"/>
          <w:shd w:val="clear" w:color="auto" w:fill="FFFFFF"/>
          <w14:ligatures w14:val="standardContextual"/>
        </w:rPr>
        <w:t>En este contexto, se ha dado especial relevancia al enfoque de procesos, que prioriza la prevención de errores, omisiones, riesgos administrativos y de corrupción, entre otros. Este enfoque considera la aplicación de controles que incluyen</w:t>
      </w:r>
      <w:r>
        <w:rPr>
          <w:rFonts w:cs="Arial"/>
          <w:color w:val="202124"/>
          <w:kern w:val="2"/>
          <w:shd w:val="clear" w:color="auto" w:fill="FFFFFF"/>
          <w14:ligatures w14:val="standardContextual"/>
        </w:rPr>
        <w:t>, por ejemplo,</w:t>
      </w:r>
      <w:r w:rsidRPr="00AF0E23">
        <w:rPr>
          <w:rFonts w:cs="Arial"/>
          <w:color w:val="202124"/>
          <w:kern w:val="2"/>
          <w:shd w:val="clear" w:color="auto" w:fill="FFFFFF"/>
          <w14:ligatures w14:val="standardContextual"/>
        </w:rPr>
        <w:t xml:space="preserve"> </w:t>
      </w:r>
      <w:r>
        <w:rPr>
          <w:rFonts w:cs="Arial"/>
          <w:color w:val="202124"/>
          <w:kern w:val="2"/>
          <w:shd w:val="clear" w:color="auto" w:fill="FFFFFF"/>
          <w14:ligatures w14:val="standardContextual"/>
        </w:rPr>
        <w:t>el</w:t>
      </w:r>
      <w:r w:rsidRPr="00AF0E23">
        <w:rPr>
          <w:rFonts w:cs="Arial"/>
          <w:color w:val="202124"/>
          <w:kern w:val="2"/>
          <w:shd w:val="clear" w:color="auto" w:fill="FFFFFF"/>
          <w14:ligatures w14:val="standardContextual"/>
        </w:rPr>
        <w:t xml:space="preserve"> análisis normativo, el cual debe ser constantemente actualizado para adaptarse al contexto actual. De esta manera, se busca asegurar que las actividades y actos administrativos den certeza sobre la actuación pública y generen productos y servicios alineados con el marco normativo, </w:t>
      </w:r>
      <w:r>
        <w:rPr>
          <w:rFonts w:cs="Arial"/>
          <w:color w:val="202124"/>
          <w:kern w:val="2"/>
          <w:shd w:val="clear" w:color="auto" w:fill="FFFFFF"/>
          <w14:ligatures w14:val="standardContextual"/>
        </w:rPr>
        <w:t>a fin</w:t>
      </w:r>
      <w:r w:rsidRPr="00AF0E23">
        <w:rPr>
          <w:rFonts w:cs="Arial"/>
          <w:color w:val="202124"/>
          <w:kern w:val="2"/>
          <w:shd w:val="clear" w:color="auto" w:fill="FFFFFF"/>
          <w14:ligatures w14:val="standardContextual"/>
        </w:rPr>
        <w:t xml:space="preserve"> de obtener resultados de impacto y valor público.</w:t>
      </w:r>
    </w:p>
    <w:p w14:paraId="408B7ECE" w14:textId="77777777" w:rsidR="00261A27" w:rsidRPr="00AF0E23" w:rsidRDefault="00261A27" w:rsidP="00B205BA">
      <w:pPr>
        <w:spacing w:after="120" w:line="240" w:lineRule="auto"/>
        <w:rPr>
          <w:rFonts w:cs="Arial"/>
          <w:color w:val="202124"/>
          <w:kern w:val="2"/>
          <w:shd w:val="clear" w:color="auto" w:fill="FFFFFF"/>
          <w14:ligatures w14:val="standardContextual"/>
        </w:rPr>
      </w:pPr>
      <w:r w:rsidRPr="00AF0E23">
        <w:rPr>
          <w:rFonts w:cs="Arial"/>
          <w:color w:val="202124"/>
          <w:kern w:val="2"/>
          <w:shd w:val="clear" w:color="auto" w:fill="FFFFFF"/>
          <w14:ligatures w14:val="standardContextual"/>
        </w:rPr>
        <w:t>El control interno y la transparencia se complementan para vigilar la actuación gubernamental, asegurar el cumplimiento de los objetivos, garantizar el uso adecuado de los recursos públicos y combatir la corrupción.</w:t>
      </w:r>
    </w:p>
    <w:p w14:paraId="428C8DBC" w14:textId="77777777" w:rsidR="00261A27" w:rsidRDefault="00261A27" w:rsidP="00B205BA">
      <w:pPr>
        <w:spacing w:after="120" w:line="240" w:lineRule="auto"/>
        <w:rPr>
          <w:rFonts w:cs="Arial"/>
          <w:color w:val="202124"/>
          <w:kern w:val="2"/>
          <w:shd w:val="clear" w:color="auto" w:fill="FFFFFF"/>
          <w14:ligatures w14:val="standardContextual"/>
        </w:rPr>
      </w:pPr>
      <w:r w:rsidRPr="00AF0E23">
        <w:rPr>
          <w:rFonts w:cs="Arial"/>
          <w:color w:val="202124"/>
          <w:kern w:val="2"/>
          <w:shd w:val="clear" w:color="auto" w:fill="FFFFFF"/>
          <w14:ligatures w14:val="standardContextual"/>
        </w:rPr>
        <w:t>Organizaciones internacionales y nacionales</w:t>
      </w:r>
      <w:r>
        <w:rPr>
          <w:rFonts w:cs="Arial"/>
          <w:color w:val="202124"/>
          <w:kern w:val="2"/>
          <w:shd w:val="clear" w:color="auto" w:fill="FFFFFF"/>
          <w14:ligatures w14:val="standardContextual"/>
        </w:rPr>
        <w:t xml:space="preserve"> también participan en esta vigilancia.</w:t>
      </w:r>
      <w:r w:rsidRPr="00AF0E23">
        <w:rPr>
          <w:rFonts w:cs="Arial"/>
          <w:color w:val="202124"/>
          <w:kern w:val="2"/>
          <w:shd w:val="clear" w:color="auto" w:fill="FFFFFF"/>
          <w14:ligatures w14:val="standardContextual"/>
        </w:rPr>
        <w:t xml:space="preserve"> </w:t>
      </w:r>
      <w:r>
        <w:rPr>
          <w:rFonts w:cs="Arial"/>
          <w:color w:val="202124"/>
          <w:kern w:val="2"/>
          <w:shd w:val="clear" w:color="auto" w:fill="FFFFFF"/>
          <w14:ligatures w14:val="standardContextual"/>
        </w:rPr>
        <w:t xml:space="preserve">Recientemente, </w:t>
      </w:r>
      <w:r w:rsidRPr="00AF0E23">
        <w:rPr>
          <w:rFonts w:cs="Arial"/>
          <w:color w:val="202124"/>
          <w:kern w:val="2"/>
          <w:shd w:val="clear" w:color="auto" w:fill="FFFFFF"/>
          <w14:ligatures w14:val="standardContextual"/>
        </w:rPr>
        <w:t>Transparencia Internacional y Transparencia Mexicana presentaron la edición 2023 del Índice de Percepción de la Corrupción (IPC)</w:t>
      </w:r>
      <w:r>
        <w:rPr>
          <w:rStyle w:val="Refdenotaalpie"/>
          <w:rFonts w:cs="Arial"/>
          <w:color w:val="202124"/>
          <w:kern w:val="2"/>
          <w:shd w:val="clear" w:color="auto" w:fill="FFFFFF"/>
          <w14:ligatures w14:val="standardContextual"/>
        </w:rPr>
        <w:footnoteReference w:id="54"/>
      </w:r>
      <w:r w:rsidRPr="00AF0E23">
        <w:rPr>
          <w:rFonts w:cs="Arial"/>
          <w:color w:val="202124"/>
          <w:kern w:val="2"/>
          <w:shd w:val="clear" w:color="auto" w:fill="FFFFFF"/>
          <w14:ligatures w14:val="standardContextual"/>
        </w:rPr>
        <w:t xml:space="preserve">, que evalúa la situación de la corrupción en 180 países. </w:t>
      </w:r>
    </w:p>
    <w:p w14:paraId="25264A87" w14:textId="77777777" w:rsidR="00261A27" w:rsidRPr="00AF0E23" w:rsidRDefault="00261A27" w:rsidP="00B205BA">
      <w:pPr>
        <w:spacing w:after="120" w:line="240" w:lineRule="auto"/>
        <w:rPr>
          <w:rFonts w:cs="Arial"/>
          <w:color w:val="202124"/>
          <w:kern w:val="2"/>
          <w:shd w:val="clear" w:color="auto" w:fill="FFFFFF"/>
          <w14:ligatures w14:val="standardContextual"/>
        </w:rPr>
      </w:pPr>
      <w:r w:rsidRPr="00AF0E23">
        <w:rPr>
          <w:rFonts w:cs="Arial"/>
          <w:color w:val="202124"/>
          <w:kern w:val="2"/>
          <w:shd w:val="clear" w:color="auto" w:fill="FFFFFF"/>
          <w14:ligatures w14:val="standardContextual"/>
        </w:rPr>
        <w:t>A pesar de que la sociedad mexicana identifica la corrupción como uno de los principales obstáculos para el desarrollo social y la reducción de desigualdades, México no ha experimentado cambios en su puntaje ni en su posición en el IPC desde 2020.</w:t>
      </w:r>
    </w:p>
    <w:p w14:paraId="4905DFBB" w14:textId="77777777" w:rsidR="00261A27" w:rsidRPr="00AF0E23" w:rsidRDefault="00261A27" w:rsidP="00B205BA">
      <w:pPr>
        <w:spacing w:after="120" w:line="240" w:lineRule="auto"/>
        <w:rPr>
          <w:rFonts w:cs="Arial"/>
          <w:color w:val="202124"/>
          <w:kern w:val="2"/>
          <w:shd w:val="clear" w:color="auto" w:fill="FFFFFF"/>
          <w14:ligatures w14:val="standardContextual"/>
        </w:rPr>
      </w:pPr>
      <w:r w:rsidRPr="00AF0E23">
        <w:rPr>
          <w:rFonts w:cs="Arial"/>
          <w:color w:val="202124"/>
          <w:kern w:val="2"/>
          <w:shd w:val="clear" w:color="auto" w:fill="FFFFFF"/>
          <w14:ligatures w14:val="standardContextual"/>
        </w:rPr>
        <w:t xml:space="preserve">A nivel local, la encuesta realizada por el Instituto Superior de Auditoría y Fiscalización del Estado de Sonora (ISAF) para evaluar la percepción municipal no ha tenido una nueva edición. Sin embargo, los resultados del </w:t>
      </w:r>
      <w:r w:rsidRPr="00662123">
        <w:rPr>
          <w:rFonts w:cs="Arial"/>
          <w:color w:val="202124"/>
          <w:kern w:val="2"/>
          <w:shd w:val="clear" w:color="auto" w:fill="FFFFFF"/>
          <w14:ligatures w14:val="standardContextual"/>
        </w:rPr>
        <w:t>Informe</w:t>
      </w:r>
      <w:r w:rsidRPr="00AF0E23">
        <w:rPr>
          <w:rFonts w:cs="Arial"/>
          <w:color w:val="202124"/>
          <w:kern w:val="2"/>
          <w:shd w:val="clear" w:color="auto" w:fill="FFFFFF"/>
          <w14:ligatures w14:val="standardContextual"/>
        </w:rPr>
        <w:t xml:space="preserve"> de </w:t>
      </w:r>
      <w:r w:rsidRPr="00662123">
        <w:rPr>
          <w:rFonts w:cs="Arial"/>
          <w:color w:val="202124"/>
          <w:kern w:val="2"/>
          <w:shd w:val="clear" w:color="auto" w:fill="FFFFFF"/>
          <w14:ligatures w14:val="standardContextual"/>
        </w:rPr>
        <w:t xml:space="preserve">Indicadores </w:t>
      </w:r>
      <w:r w:rsidRPr="00AF0E23">
        <w:rPr>
          <w:rFonts w:cs="Arial"/>
          <w:color w:val="202124"/>
          <w:kern w:val="2"/>
          <w:shd w:val="clear" w:color="auto" w:fill="FFFFFF"/>
          <w14:ligatures w14:val="standardContextual"/>
        </w:rPr>
        <w:t xml:space="preserve">2024 de la organización civil Hermosillo </w:t>
      </w:r>
      <w:r>
        <w:rPr>
          <w:rFonts w:cs="Arial"/>
          <w:color w:val="202124"/>
          <w:kern w:val="2"/>
          <w:shd w:val="clear" w:color="auto" w:fill="FFFFFF"/>
          <w14:ligatures w14:val="standardContextual"/>
        </w:rPr>
        <w:t>¿Có</w:t>
      </w:r>
      <w:r w:rsidRPr="00AF0E23">
        <w:rPr>
          <w:rFonts w:cs="Arial"/>
          <w:color w:val="202124"/>
          <w:kern w:val="2"/>
          <w:shd w:val="clear" w:color="auto" w:fill="FFFFFF"/>
          <w14:ligatures w14:val="standardContextual"/>
        </w:rPr>
        <w:t>mo Vamos</w:t>
      </w:r>
      <w:r>
        <w:rPr>
          <w:rFonts w:cs="Arial"/>
          <w:color w:val="202124"/>
          <w:kern w:val="2"/>
          <w:shd w:val="clear" w:color="auto" w:fill="FFFFFF"/>
          <w14:ligatures w14:val="standardContextual"/>
        </w:rPr>
        <w:t>?</w:t>
      </w:r>
      <w:r w:rsidRPr="00AF0E23">
        <w:rPr>
          <w:rFonts w:cs="Arial"/>
          <w:color w:val="202124"/>
          <w:kern w:val="2"/>
          <w:shd w:val="clear" w:color="auto" w:fill="FFFFFF"/>
          <w14:ligatures w14:val="standardContextual"/>
        </w:rPr>
        <w:t xml:space="preserve"> reflejan algunas mejoras en este ámbito.</w:t>
      </w:r>
    </w:p>
    <w:p w14:paraId="0164D5BD" w14:textId="77777777" w:rsidR="00261A27" w:rsidRPr="00AF0E23" w:rsidRDefault="00261A27" w:rsidP="00B205BA">
      <w:pPr>
        <w:spacing w:after="120" w:line="240" w:lineRule="auto"/>
        <w:rPr>
          <w:rFonts w:cs="Arial"/>
          <w:color w:val="202124"/>
          <w:kern w:val="2"/>
          <w:shd w:val="clear" w:color="auto" w:fill="FFFFFF"/>
          <w14:ligatures w14:val="standardContextual"/>
        </w:rPr>
      </w:pPr>
      <w:r>
        <w:rPr>
          <w:rFonts w:cs="Arial"/>
          <w:color w:val="202124"/>
          <w:kern w:val="2"/>
          <w:shd w:val="clear" w:color="auto" w:fill="FFFFFF"/>
          <w14:ligatures w14:val="standardContextual"/>
        </w:rPr>
        <w:t>Acorde con lo anterior</w:t>
      </w:r>
      <w:r w:rsidRPr="00AF0E23">
        <w:rPr>
          <w:rFonts w:cs="Arial"/>
          <w:color w:val="202124"/>
          <w:kern w:val="2"/>
          <w:shd w:val="clear" w:color="auto" w:fill="FFFFFF"/>
          <w14:ligatures w14:val="standardContextual"/>
        </w:rPr>
        <w:t>, esta administración tiene como objetivo implementar medidas de control y evaluación que visibilicen la actividad gubernamental en cumplimiento de los principios constitucionales</w:t>
      </w:r>
      <w:r>
        <w:rPr>
          <w:rFonts w:cs="Arial"/>
          <w:color w:val="202124"/>
          <w:kern w:val="2"/>
          <w:shd w:val="clear" w:color="auto" w:fill="FFFFFF"/>
          <w14:ligatures w14:val="standardContextual"/>
        </w:rPr>
        <w:t xml:space="preserve"> de</w:t>
      </w:r>
      <w:r w:rsidRPr="00AF0E23">
        <w:rPr>
          <w:rFonts w:cs="Arial"/>
          <w:color w:val="202124"/>
          <w:kern w:val="2"/>
          <w:shd w:val="clear" w:color="auto" w:fill="FFFFFF"/>
          <w14:ligatures w14:val="standardContextual"/>
        </w:rPr>
        <w:t xml:space="preserve"> legalidad, honradez, lealtad, imparcialidad y eficiencia que rigen la ética pública de los servidores públicos en México y en el estado de Sonora.</w:t>
      </w:r>
    </w:p>
    <w:p w14:paraId="14686E1B" w14:textId="77777777" w:rsidR="00261A27" w:rsidRDefault="00261A27" w:rsidP="00B205BA">
      <w:pPr>
        <w:spacing w:after="120" w:line="240" w:lineRule="auto"/>
        <w:rPr>
          <w:rFonts w:cs="Arial"/>
          <w:color w:val="202124"/>
          <w:kern w:val="2"/>
          <w:shd w:val="clear" w:color="auto" w:fill="FFFFFF"/>
          <w14:ligatures w14:val="standardContextual"/>
        </w:rPr>
      </w:pPr>
      <w:r w:rsidRPr="00AF0E23">
        <w:rPr>
          <w:rFonts w:cs="Arial"/>
          <w:color w:val="202124"/>
          <w:kern w:val="2"/>
          <w:shd w:val="clear" w:color="auto" w:fill="FFFFFF"/>
          <w14:ligatures w14:val="standardContextual"/>
        </w:rPr>
        <w:t xml:space="preserve">El fortalecimiento de los principios de buena administración, el fomento de la denuncia y la vigilancia social, así como la identificación de los riesgos de corrupción inherentes en los procesos, son fundamentales para garantizar la integridad en la gestión pública. </w:t>
      </w:r>
    </w:p>
    <w:p w14:paraId="0554CF5D" w14:textId="77777777" w:rsidR="00261A27" w:rsidRPr="00AF0E23" w:rsidRDefault="00261A27" w:rsidP="00B205BA">
      <w:pPr>
        <w:spacing w:after="120" w:line="240" w:lineRule="auto"/>
        <w:rPr>
          <w:rFonts w:cs="Arial"/>
          <w:color w:val="202124"/>
          <w:kern w:val="2"/>
          <w:shd w:val="clear" w:color="auto" w:fill="FFFFFF"/>
          <w14:ligatures w14:val="standardContextual"/>
        </w:rPr>
      </w:pPr>
      <w:r w:rsidRPr="00AF0E23">
        <w:rPr>
          <w:rFonts w:cs="Arial"/>
          <w:color w:val="202124"/>
          <w:kern w:val="2"/>
          <w:shd w:val="clear" w:color="auto" w:fill="FFFFFF"/>
          <w14:ligatures w14:val="standardContextual"/>
        </w:rPr>
        <w:lastRenderedPageBreak/>
        <w:t xml:space="preserve">Para </w:t>
      </w:r>
      <w:r>
        <w:rPr>
          <w:rFonts w:cs="Arial"/>
          <w:color w:val="202124"/>
          <w:kern w:val="2"/>
          <w:shd w:val="clear" w:color="auto" w:fill="FFFFFF"/>
          <w14:ligatures w14:val="standardContextual"/>
        </w:rPr>
        <w:t>avanzar en este proceso</w:t>
      </w:r>
      <w:r w:rsidRPr="00AF0E23">
        <w:rPr>
          <w:rFonts w:cs="Arial"/>
          <w:color w:val="202124"/>
          <w:kern w:val="2"/>
          <w:shd w:val="clear" w:color="auto" w:fill="FFFFFF"/>
          <w14:ligatures w14:val="standardContextual"/>
        </w:rPr>
        <w:t xml:space="preserve">, se </w:t>
      </w:r>
      <w:r>
        <w:rPr>
          <w:rFonts w:cs="Arial"/>
          <w:color w:val="202124"/>
          <w:kern w:val="2"/>
          <w:shd w:val="clear" w:color="auto" w:fill="FFFFFF"/>
          <w14:ligatures w14:val="standardContextual"/>
        </w:rPr>
        <w:t>aplican</w:t>
      </w:r>
      <w:r w:rsidRPr="00AF0E23">
        <w:rPr>
          <w:rFonts w:cs="Arial"/>
          <w:color w:val="202124"/>
          <w:kern w:val="2"/>
          <w:shd w:val="clear" w:color="auto" w:fill="FFFFFF"/>
          <w14:ligatures w14:val="standardContextual"/>
        </w:rPr>
        <w:t xml:space="preserve"> medidas de control para prevenir prácticas desleales. Asimismo, se ha capacitado a los servidores públicos responsables de las compras gubernamentales en el uso del sistema COMPRANET, se promueven las compras consolidadas en productos de consumo transversal y se refuerzan los principios de buena </w:t>
      </w:r>
      <w:r w:rsidRPr="00261A27">
        <w:rPr>
          <w:rFonts w:cs="Arial"/>
          <w:color w:val="202124"/>
          <w:kern w:val="2"/>
          <w:shd w:val="clear" w:color="auto" w:fill="FFFFFF"/>
          <w14:ligatures w14:val="standardContextual"/>
        </w:rPr>
        <w:t>administración, así como el fomento a la denuncia y la vigilancia social.</w:t>
      </w:r>
    </w:p>
    <w:p w14:paraId="2715F64B" w14:textId="1916D08C" w:rsidR="00261A27" w:rsidRDefault="00261A27" w:rsidP="00B205BA">
      <w:pPr>
        <w:spacing w:after="120" w:line="240" w:lineRule="auto"/>
        <w:rPr>
          <w:rFonts w:cs="Arial"/>
          <w:color w:val="000000"/>
          <w:sz w:val="18"/>
          <w:szCs w:val="18"/>
        </w:rPr>
      </w:pPr>
    </w:p>
    <w:p w14:paraId="1B4B3E0A" w14:textId="3097BB6F" w:rsidR="00261A27" w:rsidRDefault="00261A27" w:rsidP="00B205BA">
      <w:pPr>
        <w:spacing w:after="120" w:line="240" w:lineRule="auto"/>
        <w:rPr>
          <w:rFonts w:cs="Arial"/>
          <w:color w:val="000000"/>
          <w:sz w:val="18"/>
          <w:szCs w:val="18"/>
        </w:rPr>
      </w:pPr>
    </w:p>
    <w:p w14:paraId="47FE54D6" w14:textId="03096279" w:rsidR="00261A27" w:rsidRDefault="00261A27" w:rsidP="00B205BA">
      <w:pPr>
        <w:spacing w:after="120" w:line="240" w:lineRule="auto"/>
        <w:rPr>
          <w:rFonts w:cs="Arial"/>
          <w:color w:val="000000"/>
          <w:sz w:val="18"/>
          <w:szCs w:val="18"/>
        </w:rPr>
      </w:pPr>
    </w:p>
    <w:p w14:paraId="1A136F6F" w14:textId="76A6C6FF" w:rsidR="00261A27" w:rsidRDefault="00261A27" w:rsidP="00B205BA">
      <w:pPr>
        <w:spacing w:after="120" w:line="240" w:lineRule="auto"/>
        <w:rPr>
          <w:rFonts w:cs="Arial"/>
          <w:color w:val="000000"/>
          <w:sz w:val="18"/>
          <w:szCs w:val="18"/>
        </w:rPr>
      </w:pPr>
    </w:p>
    <w:p w14:paraId="772D1507" w14:textId="178C9911" w:rsidR="00261A27" w:rsidRDefault="00261A27" w:rsidP="00B205BA">
      <w:pPr>
        <w:spacing w:after="120" w:line="240" w:lineRule="auto"/>
        <w:rPr>
          <w:rFonts w:cs="Arial"/>
          <w:color w:val="000000"/>
          <w:sz w:val="18"/>
          <w:szCs w:val="18"/>
        </w:rPr>
      </w:pPr>
    </w:p>
    <w:p w14:paraId="07D8EDD5" w14:textId="2828B0E3" w:rsidR="00261A27" w:rsidRDefault="00261A27" w:rsidP="00B205BA">
      <w:pPr>
        <w:spacing w:after="120" w:line="240" w:lineRule="auto"/>
        <w:rPr>
          <w:rFonts w:cs="Arial"/>
          <w:color w:val="000000"/>
          <w:sz w:val="18"/>
          <w:szCs w:val="18"/>
        </w:rPr>
      </w:pPr>
    </w:p>
    <w:p w14:paraId="3C16CA42" w14:textId="515A1EFE" w:rsidR="00261A27" w:rsidRDefault="00261A27" w:rsidP="00B205BA">
      <w:pPr>
        <w:spacing w:after="120" w:line="240" w:lineRule="auto"/>
        <w:rPr>
          <w:rFonts w:cs="Arial"/>
          <w:color w:val="000000"/>
          <w:sz w:val="18"/>
          <w:szCs w:val="18"/>
        </w:rPr>
      </w:pPr>
    </w:p>
    <w:p w14:paraId="0963C806" w14:textId="53FD482C" w:rsidR="00261A27" w:rsidRDefault="00261A27" w:rsidP="00B205BA">
      <w:pPr>
        <w:spacing w:after="120" w:line="240" w:lineRule="auto"/>
        <w:rPr>
          <w:rFonts w:cs="Arial"/>
          <w:color w:val="000000"/>
          <w:sz w:val="18"/>
          <w:szCs w:val="18"/>
        </w:rPr>
      </w:pPr>
    </w:p>
    <w:p w14:paraId="36C6B074" w14:textId="7F6C1E44" w:rsidR="00261A27" w:rsidRDefault="00261A27" w:rsidP="00B205BA">
      <w:pPr>
        <w:spacing w:after="120" w:line="240" w:lineRule="auto"/>
        <w:rPr>
          <w:rFonts w:cs="Arial"/>
          <w:color w:val="000000"/>
          <w:sz w:val="18"/>
          <w:szCs w:val="18"/>
        </w:rPr>
      </w:pPr>
    </w:p>
    <w:p w14:paraId="71D20585" w14:textId="212AB209" w:rsidR="00261A27" w:rsidRDefault="00261A27" w:rsidP="00B205BA">
      <w:pPr>
        <w:spacing w:after="120" w:line="240" w:lineRule="auto"/>
        <w:rPr>
          <w:rFonts w:cs="Arial"/>
          <w:color w:val="000000"/>
          <w:sz w:val="18"/>
          <w:szCs w:val="18"/>
        </w:rPr>
      </w:pPr>
    </w:p>
    <w:p w14:paraId="7DFCBA57" w14:textId="638588D9" w:rsidR="00261A27" w:rsidRDefault="00261A27" w:rsidP="00B205BA">
      <w:pPr>
        <w:spacing w:after="120" w:line="240" w:lineRule="auto"/>
        <w:rPr>
          <w:rFonts w:cs="Arial"/>
          <w:color w:val="000000"/>
          <w:sz w:val="18"/>
          <w:szCs w:val="18"/>
        </w:rPr>
      </w:pPr>
    </w:p>
    <w:p w14:paraId="14DFE6BE" w14:textId="77777777" w:rsidR="00261A27" w:rsidRPr="008913E4" w:rsidRDefault="00261A27" w:rsidP="00B205BA">
      <w:pPr>
        <w:spacing w:after="120" w:line="240" w:lineRule="auto"/>
        <w:rPr>
          <w:rFonts w:cs="Arial"/>
          <w:color w:val="202124"/>
          <w:kern w:val="2"/>
          <w:shd w:val="clear" w:color="auto" w:fill="FFFFFF"/>
          <w14:ligatures w14:val="standardContextual"/>
        </w:rPr>
      </w:pPr>
    </w:p>
    <w:p w14:paraId="109652CF" w14:textId="77777777" w:rsidR="00261A27" w:rsidRDefault="00261A27" w:rsidP="00B205BA">
      <w:pPr>
        <w:spacing w:after="120" w:line="240" w:lineRule="auto"/>
      </w:pPr>
    </w:p>
    <w:p w14:paraId="431B30E1" w14:textId="77777777" w:rsidR="00626AB9" w:rsidRDefault="00626AB9" w:rsidP="00B205BA">
      <w:pPr>
        <w:spacing w:after="120" w:line="240" w:lineRule="auto"/>
      </w:pPr>
    </w:p>
    <w:p w14:paraId="7933C73A" w14:textId="77777777" w:rsidR="00626AB9" w:rsidRDefault="00626AB9" w:rsidP="00B205BA">
      <w:pPr>
        <w:spacing w:after="120" w:line="240" w:lineRule="auto"/>
      </w:pPr>
    </w:p>
    <w:p w14:paraId="033344D3" w14:textId="77777777" w:rsidR="00626AB9" w:rsidRDefault="00626AB9" w:rsidP="00B205BA">
      <w:pPr>
        <w:spacing w:after="120" w:line="240" w:lineRule="auto"/>
      </w:pPr>
    </w:p>
    <w:p w14:paraId="256A6192" w14:textId="77777777" w:rsidR="00626AB9" w:rsidRDefault="00626AB9" w:rsidP="00B205BA">
      <w:pPr>
        <w:spacing w:after="120" w:line="240" w:lineRule="auto"/>
      </w:pPr>
    </w:p>
    <w:p w14:paraId="66661199" w14:textId="77777777" w:rsidR="00626AB9" w:rsidRDefault="00626AB9" w:rsidP="00B205BA">
      <w:pPr>
        <w:spacing w:after="120" w:line="240" w:lineRule="auto"/>
      </w:pPr>
    </w:p>
    <w:p w14:paraId="3BC5E650" w14:textId="77777777" w:rsidR="00626AB9" w:rsidRDefault="00626AB9" w:rsidP="00B205BA">
      <w:pPr>
        <w:spacing w:after="120" w:line="240" w:lineRule="auto"/>
      </w:pPr>
    </w:p>
    <w:p w14:paraId="4628C397" w14:textId="77777777" w:rsidR="00626AB9" w:rsidRDefault="00626AB9" w:rsidP="00B205BA">
      <w:pPr>
        <w:spacing w:after="120" w:line="240" w:lineRule="auto"/>
      </w:pPr>
    </w:p>
    <w:p w14:paraId="660DAC1C" w14:textId="77777777" w:rsidR="00626AB9" w:rsidRDefault="00626AB9" w:rsidP="00B205BA">
      <w:pPr>
        <w:spacing w:after="120" w:line="240" w:lineRule="auto"/>
      </w:pPr>
    </w:p>
    <w:p w14:paraId="086202DD" w14:textId="77777777" w:rsidR="00626AB9" w:rsidRDefault="00626AB9" w:rsidP="00B205BA">
      <w:pPr>
        <w:spacing w:after="120" w:line="240" w:lineRule="auto"/>
      </w:pPr>
    </w:p>
    <w:p w14:paraId="06D3BBA5" w14:textId="77777777" w:rsidR="00BD09D3" w:rsidRDefault="00BD09D3" w:rsidP="00B205BA">
      <w:pPr>
        <w:spacing w:after="120" w:line="240" w:lineRule="auto"/>
      </w:pPr>
    </w:p>
    <w:p w14:paraId="3894E204" w14:textId="77777777" w:rsidR="00BD09D3" w:rsidRDefault="00BD09D3" w:rsidP="00B205BA">
      <w:pPr>
        <w:spacing w:after="120" w:line="240" w:lineRule="auto"/>
      </w:pPr>
    </w:p>
    <w:p w14:paraId="651C98C9" w14:textId="77777777" w:rsidR="00BD09D3" w:rsidRDefault="00BD09D3" w:rsidP="00B205BA">
      <w:pPr>
        <w:spacing w:after="120" w:line="240" w:lineRule="auto"/>
      </w:pPr>
    </w:p>
    <w:p w14:paraId="7CC9DCC4" w14:textId="77777777" w:rsidR="00384441" w:rsidRDefault="00384441" w:rsidP="00B205BA">
      <w:pPr>
        <w:spacing w:after="120" w:line="240" w:lineRule="auto"/>
      </w:pPr>
    </w:p>
    <w:p w14:paraId="693709F1" w14:textId="77777777" w:rsidR="00384441" w:rsidRDefault="00384441" w:rsidP="00B205BA">
      <w:pPr>
        <w:spacing w:after="120" w:line="240" w:lineRule="auto"/>
      </w:pPr>
    </w:p>
    <w:p w14:paraId="3A867F28" w14:textId="77777777" w:rsidR="00384441" w:rsidRDefault="00384441" w:rsidP="00B205BA">
      <w:pPr>
        <w:spacing w:after="120" w:line="240" w:lineRule="auto"/>
      </w:pPr>
    </w:p>
    <w:p w14:paraId="3E06F5AF" w14:textId="77777777" w:rsidR="00384441" w:rsidRDefault="00384441" w:rsidP="00B205BA">
      <w:pPr>
        <w:spacing w:after="120" w:line="240" w:lineRule="auto"/>
      </w:pPr>
    </w:p>
    <w:p w14:paraId="65138837" w14:textId="77777777" w:rsidR="00384441" w:rsidRDefault="00384441" w:rsidP="00B205BA">
      <w:pPr>
        <w:spacing w:after="120" w:line="240" w:lineRule="auto"/>
      </w:pPr>
    </w:p>
    <w:p w14:paraId="54C39887" w14:textId="77777777" w:rsidR="00384441" w:rsidRDefault="00384441" w:rsidP="00B205BA">
      <w:pPr>
        <w:spacing w:after="120" w:line="240" w:lineRule="auto"/>
      </w:pPr>
    </w:p>
    <w:p w14:paraId="790512BF" w14:textId="77777777" w:rsidR="00AB3140" w:rsidRDefault="00AB3140" w:rsidP="00B205BA">
      <w:pPr>
        <w:spacing w:after="120" w:line="240" w:lineRule="auto"/>
        <w:rPr>
          <w:rFonts w:cs="Arial"/>
          <w:color w:val="202124"/>
          <w:kern w:val="2"/>
          <w:shd w:val="clear" w:color="auto" w:fill="FFFFFF"/>
          <w14:ligatures w14:val="standardContextual"/>
        </w:rPr>
      </w:pPr>
    </w:p>
    <w:bookmarkEnd w:id="20"/>
    <w:bookmarkEnd w:id="21"/>
    <w:p w14:paraId="41D73A59" w14:textId="77777777" w:rsidR="00BB6455" w:rsidRPr="00AB3140" w:rsidRDefault="00BB6455" w:rsidP="00B205BA">
      <w:pPr>
        <w:spacing w:after="120" w:line="240" w:lineRule="auto"/>
        <w:rPr>
          <w:rFonts w:cs="Arial"/>
          <w:b/>
          <w:bCs/>
          <w:sz w:val="28"/>
          <w:szCs w:val="28"/>
        </w:rPr>
      </w:pPr>
      <w:r w:rsidRPr="00AB3140">
        <w:rPr>
          <w:rFonts w:cs="Arial"/>
          <w:b/>
          <w:bCs/>
          <w:sz w:val="28"/>
          <w:szCs w:val="28"/>
        </w:rPr>
        <w:lastRenderedPageBreak/>
        <w:t>RETOS, ESTRATEGIAS Y LINEAS DE ACCIÓN</w:t>
      </w:r>
    </w:p>
    <w:p w14:paraId="44D7FC14" w14:textId="77777777" w:rsidR="00BB6455" w:rsidRPr="00BB6455" w:rsidRDefault="00BB6455" w:rsidP="00B205BA">
      <w:pPr>
        <w:spacing w:after="120" w:line="240" w:lineRule="auto"/>
        <w:rPr>
          <w:rFonts w:cs="Arial"/>
          <w:b/>
          <w:bCs/>
        </w:rPr>
      </w:pPr>
      <w:r w:rsidRPr="00BB6455">
        <w:rPr>
          <w:rFonts w:cs="Arial"/>
          <w:b/>
          <w:bCs/>
        </w:rPr>
        <w:t>Reto 5.1. Fortalecer la gobernanza a través de la cercanía con la sociedad, los sectores productivos y los organismos públicos y privados, que incidan en la toma de decisiones para impulsar el desarrollo integral del municipio de Hermosillo.</w:t>
      </w:r>
    </w:p>
    <w:p w14:paraId="2CEE681A" w14:textId="77777777" w:rsidR="00BB6455" w:rsidRPr="00BB6455" w:rsidRDefault="00BB6455" w:rsidP="00B205BA">
      <w:pPr>
        <w:spacing w:after="120" w:line="240" w:lineRule="auto"/>
        <w:rPr>
          <w:rFonts w:cs="Arial"/>
          <w:b/>
          <w:bCs/>
        </w:rPr>
      </w:pPr>
      <w:r w:rsidRPr="00BB6455">
        <w:rPr>
          <w:rFonts w:cs="Arial"/>
          <w:b/>
          <w:bCs/>
        </w:rPr>
        <w:t>Estrategia 5.1.1. Establecer un plan de trabajo con el fin de desarrollar las acciones, metas e indicadores mediante un monitoreo constante.</w:t>
      </w:r>
    </w:p>
    <w:p w14:paraId="511C894F"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4ECC69B3" w14:textId="77777777" w:rsidR="00BB6455" w:rsidRPr="00410DE9" w:rsidRDefault="00BB6455" w:rsidP="00B205BA">
      <w:pPr>
        <w:spacing w:after="120" w:line="240" w:lineRule="auto"/>
        <w:rPr>
          <w:rFonts w:cs="Arial"/>
        </w:rPr>
      </w:pPr>
      <w:r w:rsidRPr="00410DE9">
        <w:rPr>
          <w:rFonts w:cs="Arial"/>
        </w:rPr>
        <w:t>5.1.1.1. Realizar visitas periódicas de campo del presidente municipal para supervisión y monitoreo de las obras y acciones en proceso.</w:t>
      </w:r>
    </w:p>
    <w:p w14:paraId="12FFD53E" w14:textId="77777777" w:rsidR="00BB6455" w:rsidRPr="00410DE9" w:rsidRDefault="00BB6455" w:rsidP="00B205BA">
      <w:pPr>
        <w:spacing w:after="120" w:line="240" w:lineRule="auto"/>
        <w:rPr>
          <w:rFonts w:cs="Arial"/>
        </w:rPr>
      </w:pPr>
      <w:r w:rsidRPr="00410DE9">
        <w:rPr>
          <w:rFonts w:cs="Arial"/>
        </w:rPr>
        <w:t>5.1.1.2. Llevar a cabo visitas a las diferentes instituciones públicas y/o privadas con la finalidad de gestionar recursos y promoción de la ciudad para atraer inversión a gran escala.</w:t>
      </w:r>
    </w:p>
    <w:p w14:paraId="7BA45D7F" w14:textId="77777777" w:rsidR="00BB6455" w:rsidRPr="00BB6455" w:rsidRDefault="00BB6455" w:rsidP="00B205BA">
      <w:pPr>
        <w:spacing w:after="120" w:line="240" w:lineRule="auto"/>
        <w:rPr>
          <w:rFonts w:cs="Arial"/>
          <w:b/>
          <w:bCs/>
        </w:rPr>
      </w:pPr>
      <w:r w:rsidRPr="00BB6455">
        <w:rPr>
          <w:rFonts w:cs="Arial"/>
          <w:b/>
          <w:bCs/>
        </w:rPr>
        <w:t>Estrategia 5.1.2. Mejorar la coordinación interinstitucional para reducir el tiempo de respuesta de las solicitudes ciudadanas.</w:t>
      </w:r>
    </w:p>
    <w:p w14:paraId="6BA3D742"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0785DE37" w14:textId="77777777" w:rsidR="00BB6455" w:rsidRPr="00410DE9" w:rsidRDefault="00BB6455" w:rsidP="00B205BA">
      <w:pPr>
        <w:spacing w:after="120" w:line="240" w:lineRule="auto"/>
        <w:rPr>
          <w:rFonts w:cs="Arial"/>
        </w:rPr>
      </w:pPr>
      <w:r w:rsidRPr="00410DE9">
        <w:rPr>
          <w:rFonts w:cs="Arial"/>
        </w:rPr>
        <w:t>5.1.2.1. Realizar reuniones ciudadanas en las colonias donde el Presidente Municipal y/o funcionarios brinden atención personalizada a temas demandados.</w:t>
      </w:r>
    </w:p>
    <w:p w14:paraId="35AA925D" w14:textId="77777777" w:rsidR="00BB6455" w:rsidRPr="00410DE9" w:rsidRDefault="00BB6455" w:rsidP="00B205BA">
      <w:pPr>
        <w:spacing w:after="120" w:line="240" w:lineRule="auto"/>
        <w:rPr>
          <w:rFonts w:cs="Arial"/>
        </w:rPr>
      </w:pPr>
      <w:r w:rsidRPr="00410DE9">
        <w:rPr>
          <w:rFonts w:cs="Arial"/>
        </w:rPr>
        <w:t>5.1.2.2. Atender, canalizar y dar seguimiento a solicitudes recibidas a través de la línea ciudadana.</w:t>
      </w:r>
    </w:p>
    <w:p w14:paraId="6BBDBDF8" w14:textId="77777777" w:rsidR="00BB6455" w:rsidRPr="00410DE9" w:rsidRDefault="00BB6455" w:rsidP="00B205BA">
      <w:pPr>
        <w:spacing w:after="120" w:line="240" w:lineRule="auto"/>
        <w:rPr>
          <w:rFonts w:cs="Arial"/>
        </w:rPr>
      </w:pPr>
      <w:r w:rsidRPr="00410DE9">
        <w:rPr>
          <w:rFonts w:cs="Arial"/>
        </w:rPr>
        <w:t xml:space="preserve">5.1.2.3. Capacitar a personal en habilidades de atención, comunicación y conocimientos para que realice una correcta canalización y seguimiento a las solicitudes ciudadanas. </w:t>
      </w:r>
    </w:p>
    <w:p w14:paraId="692DB82B" w14:textId="77777777" w:rsidR="00BB6455" w:rsidRPr="00410DE9" w:rsidRDefault="00BB6455" w:rsidP="00B205BA">
      <w:pPr>
        <w:spacing w:after="120" w:line="240" w:lineRule="auto"/>
        <w:rPr>
          <w:rFonts w:cs="Arial"/>
        </w:rPr>
      </w:pPr>
      <w:r w:rsidRPr="00410DE9">
        <w:rPr>
          <w:rFonts w:cs="Arial"/>
        </w:rPr>
        <w:t>5.1.2.4. Brindar orientación a personas con discapacidad auditiva y/o muda a través de medios adaptados.</w:t>
      </w:r>
    </w:p>
    <w:p w14:paraId="19FF4B2D" w14:textId="77777777" w:rsidR="00BB6455" w:rsidRPr="00BB6455" w:rsidRDefault="00BB6455" w:rsidP="00B205BA">
      <w:pPr>
        <w:spacing w:after="120" w:line="240" w:lineRule="auto"/>
        <w:rPr>
          <w:rFonts w:cs="Arial"/>
          <w:b/>
          <w:bCs/>
        </w:rPr>
      </w:pPr>
      <w:r w:rsidRPr="00BB6455">
        <w:rPr>
          <w:rFonts w:cs="Arial"/>
          <w:b/>
          <w:bCs/>
        </w:rPr>
        <w:t>Estrategia 5.1.3. Promover mecanismos de gestión de información para la toma de decisiones orientada al cumplimiento de los objetivos estratégicos del municipio.</w:t>
      </w:r>
    </w:p>
    <w:p w14:paraId="71F3B2FE"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2D26BC93" w14:textId="77777777" w:rsidR="00BB6455" w:rsidRPr="00410DE9" w:rsidRDefault="00BB6455" w:rsidP="00B205BA">
      <w:pPr>
        <w:spacing w:after="120" w:line="240" w:lineRule="auto"/>
        <w:rPr>
          <w:rFonts w:cs="Arial"/>
        </w:rPr>
      </w:pPr>
      <w:r w:rsidRPr="00410DE9">
        <w:rPr>
          <w:rFonts w:cs="Arial"/>
        </w:rPr>
        <w:t>5.1.3.1. Gestionar el diseño y desarrollo de un sistema integral de información para el registro, control y seguimiento de las actividades estratégicas de las dependencias municipales.</w:t>
      </w:r>
    </w:p>
    <w:p w14:paraId="421D2872" w14:textId="77777777" w:rsidR="00BB6455" w:rsidRPr="00410DE9" w:rsidRDefault="00BB6455" w:rsidP="00B205BA">
      <w:pPr>
        <w:spacing w:after="120" w:line="240" w:lineRule="auto"/>
        <w:rPr>
          <w:rFonts w:cs="Arial"/>
        </w:rPr>
      </w:pPr>
      <w:r w:rsidRPr="00410DE9">
        <w:rPr>
          <w:rFonts w:cs="Arial"/>
        </w:rPr>
        <w:t>5.1.3.2. Monitorear el avance de los Proyectos Estratégicos Municipales.</w:t>
      </w:r>
    </w:p>
    <w:p w14:paraId="73A57D78" w14:textId="77777777" w:rsidR="00BB6455" w:rsidRPr="00410DE9" w:rsidRDefault="00BB6455" w:rsidP="00B205BA">
      <w:pPr>
        <w:spacing w:after="120" w:line="240" w:lineRule="auto"/>
        <w:rPr>
          <w:rFonts w:cs="Arial"/>
        </w:rPr>
      </w:pPr>
      <w:r w:rsidRPr="00410DE9">
        <w:rPr>
          <w:rFonts w:cs="Arial"/>
        </w:rPr>
        <w:t>5.1.3.3. Controlar la gestión de los acuerdos alcanzados en los gabinetes.</w:t>
      </w:r>
    </w:p>
    <w:p w14:paraId="2ECB5F8D" w14:textId="77777777" w:rsidR="00BB6455" w:rsidRPr="00410DE9" w:rsidRDefault="00BB6455" w:rsidP="00B205BA">
      <w:pPr>
        <w:spacing w:after="120" w:line="240" w:lineRule="auto"/>
        <w:rPr>
          <w:rFonts w:cs="Arial"/>
        </w:rPr>
      </w:pPr>
      <w:r w:rsidRPr="00410DE9">
        <w:rPr>
          <w:rFonts w:cs="Arial"/>
        </w:rPr>
        <w:t>5.1.3.4. Realizar el seguimiento de las metas y las cuentas públicas de los Organismos Públicos Descentralizados.</w:t>
      </w:r>
    </w:p>
    <w:p w14:paraId="4B1D80E9" w14:textId="77777777" w:rsidR="00BB6455" w:rsidRPr="00BB6455" w:rsidRDefault="00BB6455" w:rsidP="00B205BA">
      <w:pPr>
        <w:spacing w:after="120" w:line="240" w:lineRule="auto"/>
        <w:rPr>
          <w:rFonts w:cs="Arial"/>
          <w:b/>
          <w:bCs/>
        </w:rPr>
      </w:pPr>
      <w:r w:rsidRPr="00BB6455">
        <w:rPr>
          <w:rFonts w:cs="Arial"/>
          <w:b/>
          <w:bCs/>
        </w:rPr>
        <w:t>Estrategia 5.1.4. Promover convenios de colaboración con los organismos e instituciones públicas y privadas a nivel municipal, estatal, nacional e internacional.</w:t>
      </w:r>
    </w:p>
    <w:p w14:paraId="45E73892"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52720F48" w14:textId="77777777" w:rsidR="00BB6455" w:rsidRPr="00410DE9" w:rsidRDefault="00BB6455" w:rsidP="00B205BA">
      <w:pPr>
        <w:spacing w:after="120" w:line="240" w:lineRule="auto"/>
        <w:rPr>
          <w:rFonts w:cs="Arial"/>
        </w:rPr>
      </w:pPr>
      <w:r w:rsidRPr="00410DE9">
        <w:rPr>
          <w:rFonts w:cs="Arial"/>
        </w:rPr>
        <w:t>5.1.4.1. Realizar acciones para fortalecer la relación y colaboración con instituciones gubernamentales, empresariales y sociales para promover el desarrollo económico, social y cultural de la ciudad.</w:t>
      </w:r>
    </w:p>
    <w:p w14:paraId="7CC1199D" w14:textId="77777777" w:rsidR="00BB6455" w:rsidRPr="00410DE9" w:rsidRDefault="00BB6455" w:rsidP="00B205BA">
      <w:pPr>
        <w:spacing w:after="120" w:line="240" w:lineRule="auto"/>
        <w:rPr>
          <w:rFonts w:cs="Arial"/>
        </w:rPr>
      </w:pPr>
      <w:r w:rsidRPr="00410DE9">
        <w:rPr>
          <w:rFonts w:cs="Arial"/>
        </w:rPr>
        <w:t>5.1.4.2. Firmar convenios o acuerdos de colaboración con instituciones y gobiernos.</w:t>
      </w:r>
    </w:p>
    <w:p w14:paraId="1700A1C9" w14:textId="77777777" w:rsidR="00BB6455" w:rsidRPr="00410DE9" w:rsidRDefault="00BB6455" w:rsidP="00B205BA">
      <w:pPr>
        <w:spacing w:after="120" w:line="240" w:lineRule="auto"/>
        <w:rPr>
          <w:rFonts w:cs="Arial"/>
        </w:rPr>
      </w:pPr>
      <w:r w:rsidRPr="00410DE9">
        <w:rPr>
          <w:rFonts w:cs="Arial"/>
        </w:rPr>
        <w:lastRenderedPageBreak/>
        <w:t>5.1.4.3. Establecer relación de hermandad con ciudades internacionales, con el fin de fomentar el intercambio cultural, económico y educativo.</w:t>
      </w:r>
    </w:p>
    <w:p w14:paraId="0E4B5857" w14:textId="77777777" w:rsidR="00BB6455" w:rsidRPr="00410DE9" w:rsidRDefault="00BB6455" w:rsidP="00B205BA">
      <w:pPr>
        <w:spacing w:after="120" w:line="240" w:lineRule="auto"/>
        <w:rPr>
          <w:rFonts w:cs="Arial"/>
        </w:rPr>
      </w:pPr>
      <w:r w:rsidRPr="00410DE9">
        <w:rPr>
          <w:rFonts w:cs="Arial"/>
        </w:rPr>
        <w:t>5.1.4.4. Gestionar y coordinar de forma bilateral la agenda de trabajo del Presidente Municipal, visitantes y delegaciones nacionales, extranjeras, proporcionando información y apoyo en eventos y reuniones, además de manejo de protocolo de atención.</w:t>
      </w:r>
    </w:p>
    <w:p w14:paraId="7B88BD8B" w14:textId="77777777" w:rsidR="00BB6455" w:rsidRPr="00410DE9" w:rsidRDefault="00BB6455" w:rsidP="00B205BA">
      <w:pPr>
        <w:spacing w:after="120" w:line="240" w:lineRule="auto"/>
        <w:rPr>
          <w:rFonts w:cs="Arial"/>
        </w:rPr>
      </w:pPr>
      <w:r w:rsidRPr="00410DE9">
        <w:rPr>
          <w:rFonts w:cs="Arial"/>
        </w:rPr>
        <w:t>5.1.4.5. Establecer y mantener los medios de comunicación de gobiernos, embajadas, instituciones y asociaciones para promover y fortalecer las relaciones institucionales.</w:t>
      </w:r>
    </w:p>
    <w:p w14:paraId="47DC89B0" w14:textId="77777777" w:rsidR="00BB6455" w:rsidRPr="00BB6455" w:rsidRDefault="00BB6455" w:rsidP="00B205BA">
      <w:pPr>
        <w:spacing w:after="120" w:line="240" w:lineRule="auto"/>
        <w:rPr>
          <w:rFonts w:cs="Arial"/>
          <w:b/>
          <w:bCs/>
        </w:rPr>
      </w:pPr>
      <w:r w:rsidRPr="00BB6455">
        <w:rPr>
          <w:rFonts w:cs="Arial"/>
          <w:b/>
          <w:bCs/>
        </w:rPr>
        <w:t>Reto 5.2. Implementar los mecanismos institucionales que garanticen la incorporación de la perspectiva de género en todo el ciclo de la política pública y la cultura institucional, así como los programas, proyectos y servicios que impulsen las dependencias del gobierno municipal.</w:t>
      </w:r>
    </w:p>
    <w:p w14:paraId="729AF914" w14:textId="77777777" w:rsidR="00BB6455" w:rsidRPr="00BB6455" w:rsidRDefault="00BB6455" w:rsidP="00B205BA">
      <w:pPr>
        <w:spacing w:after="120" w:line="240" w:lineRule="auto"/>
        <w:rPr>
          <w:rFonts w:cs="Arial"/>
          <w:b/>
          <w:bCs/>
        </w:rPr>
      </w:pPr>
      <w:r w:rsidRPr="00BB6455">
        <w:rPr>
          <w:rFonts w:cs="Arial"/>
          <w:b/>
          <w:bCs/>
        </w:rPr>
        <w:t>Estrategia 5.2.1. Llevar a cabo la planeación, desarrollo, implementación, monitoreo y evaluación de la política pública municipal en materia de igualdad entre hombres y mujeres mediante la armonización legislativa del marco federal y estatal, que coadyuve progresivamente a la promoción de los derechos humanos en todos los contextos de desarrollo, el empoderamiento de las mujeres y el combate a la violencia de género.</w:t>
      </w:r>
    </w:p>
    <w:p w14:paraId="3E5273CB"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7C311293" w14:textId="77777777" w:rsidR="00BB6455" w:rsidRPr="00410DE9" w:rsidRDefault="00BB6455" w:rsidP="00B205BA">
      <w:pPr>
        <w:spacing w:after="120" w:line="240" w:lineRule="auto"/>
        <w:rPr>
          <w:rFonts w:cs="Arial"/>
        </w:rPr>
      </w:pPr>
      <w:r w:rsidRPr="00410DE9">
        <w:rPr>
          <w:rFonts w:cs="Arial"/>
        </w:rPr>
        <w:t>5.2.1.1. Formular políticas, reglamentos, normas y acciones específicas de intervención para hacer posible el logro de relaciones igualitarias.</w:t>
      </w:r>
    </w:p>
    <w:p w14:paraId="01A29DD2" w14:textId="77777777" w:rsidR="00BB6455" w:rsidRPr="00410DE9" w:rsidRDefault="00BB6455" w:rsidP="00B205BA">
      <w:pPr>
        <w:spacing w:after="120" w:line="240" w:lineRule="auto"/>
        <w:rPr>
          <w:rFonts w:cs="Arial"/>
        </w:rPr>
      </w:pPr>
      <w:r w:rsidRPr="00410DE9">
        <w:rPr>
          <w:rFonts w:cs="Arial"/>
        </w:rPr>
        <w:t>5.2.1.2. Desarrollar instrumentos técnicos y metodológicos que permitan incorporar la perspectiva de género en los programas municipales con información desagregada según sexo.</w:t>
      </w:r>
    </w:p>
    <w:p w14:paraId="568D440D" w14:textId="77777777" w:rsidR="00BB6455" w:rsidRPr="00410DE9" w:rsidRDefault="00BB6455" w:rsidP="00B205BA">
      <w:pPr>
        <w:spacing w:after="120" w:line="240" w:lineRule="auto"/>
        <w:rPr>
          <w:rFonts w:cs="Arial"/>
        </w:rPr>
      </w:pPr>
      <w:r w:rsidRPr="00410DE9">
        <w:rPr>
          <w:rFonts w:cs="Arial"/>
        </w:rPr>
        <w:t>5.2.1.3. Sensibilizar y capacitar en temas de perspectiva de género a las personas servidoras públicas, para que puedan identificar las asimetrías culturales, sociales, económicas y políticas entre mujeres y hombres.</w:t>
      </w:r>
    </w:p>
    <w:p w14:paraId="04787A7F" w14:textId="77777777" w:rsidR="00BB6455" w:rsidRPr="00410DE9" w:rsidRDefault="00BB6455" w:rsidP="00B205BA">
      <w:pPr>
        <w:spacing w:after="120" w:line="240" w:lineRule="auto"/>
        <w:rPr>
          <w:rFonts w:cs="Arial"/>
        </w:rPr>
      </w:pPr>
      <w:r w:rsidRPr="00410DE9">
        <w:rPr>
          <w:rFonts w:cs="Arial"/>
        </w:rPr>
        <w:t>5.2.1.4. Establecer convenios de colaboración para llevar a cabo acciones de cooperación técnica e institucional, y proyectos y/o acuerdos en materia de igualdad sustantiva entre mujeres y hombres, eliminación de la discriminación y prevención de violencia contra mujeres, adolescentes y niñas, así como transversalización de la perspectiva de género.</w:t>
      </w:r>
    </w:p>
    <w:p w14:paraId="1D001BED" w14:textId="77777777" w:rsidR="00BB6455" w:rsidRPr="00410DE9" w:rsidRDefault="00BB6455" w:rsidP="00B205BA">
      <w:pPr>
        <w:spacing w:after="120" w:line="240" w:lineRule="auto"/>
        <w:rPr>
          <w:rFonts w:cs="Arial"/>
        </w:rPr>
      </w:pPr>
      <w:r w:rsidRPr="00410DE9">
        <w:rPr>
          <w:rFonts w:cs="Arial"/>
        </w:rPr>
        <w:t>5.2.1.5. Coadyuvar con la Tesorería Municipal en la conceptualización de proyectos de presupuestos requeridos para el cumplimiento de la Política Municipal en Materia de Igualdad entre Mujeres y Hombres</w:t>
      </w:r>
    </w:p>
    <w:p w14:paraId="283C1902" w14:textId="77777777" w:rsidR="00BB6455" w:rsidRPr="00BB6455" w:rsidRDefault="00BB6455" w:rsidP="00B205BA">
      <w:pPr>
        <w:spacing w:after="120" w:line="240" w:lineRule="auto"/>
        <w:rPr>
          <w:rFonts w:cs="Arial"/>
          <w:b/>
          <w:bCs/>
        </w:rPr>
      </w:pPr>
      <w:r w:rsidRPr="00BB6455">
        <w:rPr>
          <w:rFonts w:cs="Arial"/>
          <w:b/>
          <w:bCs/>
        </w:rPr>
        <w:t xml:space="preserve">Reto 5.3. Fortalecer la cultura de la transparencia e impulsar mejores prácticas en la protección de datos personales; mediante el uso y aprovechamiento de la tecnología con el objetivo de disminuir las asimetrías de información y mejorar la gestión de datos garantizando la seguridad y confidencialidad de los datos personales.    </w:t>
      </w:r>
    </w:p>
    <w:p w14:paraId="24982743" w14:textId="77777777" w:rsidR="00BB6455" w:rsidRPr="00BB6455" w:rsidRDefault="00BB6455" w:rsidP="00B205BA">
      <w:pPr>
        <w:spacing w:after="120" w:line="240" w:lineRule="auto"/>
        <w:rPr>
          <w:rFonts w:cs="Arial"/>
          <w:b/>
          <w:bCs/>
        </w:rPr>
      </w:pPr>
      <w:r w:rsidRPr="00BB6455">
        <w:rPr>
          <w:rFonts w:cs="Arial"/>
          <w:b/>
          <w:bCs/>
        </w:rPr>
        <w:t xml:space="preserve">Estrategia 5.3.1. Publicar, mantener actualizada y difundir proactivamente información pública, así como los avisos de privacidad y el documento de seguridad en el portal de transparencia; además de dar una atención oportuna de las solicitudes de acceso a la información. </w:t>
      </w:r>
    </w:p>
    <w:p w14:paraId="7C26FE64"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7EFA4659" w14:textId="77777777" w:rsidR="00BB6455" w:rsidRPr="00410DE9" w:rsidRDefault="00BB6455" w:rsidP="00B205BA">
      <w:pPr>
        <w:spacing w:after="120" w:line="240" w:lineRule="auto"/>
        <w:rPr>
          <w:rFonts w:cs="Arial"/>
        </w:rPr>
      </w:pPr>
      <w:r w:rsidRPr="00410DE9">
        <w:rPr>
          <w:rFonts w:cs="Arial"/>
        </w:rPr>
        <w:lastRenderedPageBreak/>
        <w:t>5.3.1.1. Atender y dar seguimiento a las solicitudes de acceso a la información y a las solicitudes ARCOP (acceso, rectificación, cancelación, oposición sobre el tratamiento de datos y portabilidad).</w:t>
      </w:r>
    </w:p>
    <w:p w14:paraId="6269C6A1" w14:textId="77777777" w:rsidR="00BB6455" w:rsidRPr="00410DE9" w:rsidRDefault="00BB6455" w:rsidP="00B205BA">
      <w:pPr>
        <w:spacing w:after="120" w:line="240" w:lineRule="auto"/>
        <w:rPr>
          <w:rFonts w:cs="Arial"/>
        </w:rPr>
      </w:pPr>
      <w:r w:rsidRPr="00410DE9">
        <w:rPr>
          <w:rFonts w:cs="Arial"/>
        </w:rPr>
        <w:t>5.3.1.2. Verificar el cumplimiento de la actualización de las obligaciones trimestrales en las plataformas nacional y municipal de conformidad con la tabla de aplicabilidad vigente.</w:t>
      </w:r>
    </w:p>
    <w:p w14:paraId="0EF609E6" w14:textId="77777777" w:rsidR="00BB6455" w:rsidRPr="00410DE9" w:rsidRDefault="00BB6455" w:rsidP="00B205BA">
      <w:pPr>
        <w:spacing w:after="120" w:line="240" w:lineRule="auto"/>
        <w:rPr>
          <w:rFonts w:cs="Arial"/>
        </w:rPr>
      </w:pPr>
      <w:r w:rsidRPr="00410DE9">
        <w:rPr>
          <w:rFonts w:cs="Arial"/>
        </w:rPr>
        <w:t>5.3.1.3. Coordinar y verificar de manera proactiva la publicación, actualización y disponibilidad a través de los medios electrónicos, información que sea de interés público y aquella que sea útil en el contexto del cambio climático.</w:t>
      </w:r>
    </w:p>
    <w:p w14:paraId="0FE67641" w14:textId="5B928F19" w:rsidR="00BB6455" w:rsidRPr="00410DE9" w:rsidRDefault="00BB6455" w:rsidP="00B205BA">
      <w:pPr>
        <w:spacing w:after="120" w:line="240" w:lineRule="auto"/>
        <w:rPr>
          <w:rFonts w:cs="Arial"/>
        </w:rPr>
      </w:pPr>
      <w:r w:rsidRPr="00410DE9">
        <w:rPr>
          <w:rFonts w:cs="Arial"/>
        </w:rPr>
        <w:t xml:space="preserve">5.3.1.4. Verificar el cumplimiento </w:t>
      </w:r>
      <w:r w:rsidR="00082EEB" w:rsidRPr="00410DE9">
        <w:rPr>
          <w:rFonts w:cs="Arial"/>
        </w:rPr>
        <w:t>de la protección</w:t>
      </w:r>
      <w:r w:rsidRPr="00410DE9">
        <w:rPr>
          <w:rFonts w:cs="Arial"/>
        </w:rPr>
        <w:t xml:space="preserve"> de los datos personales en posesión del Ayuntamiento.</w:t>
      </w:r>
    </w:p>
    <w:p w14:paraId="175349D9" w14:textId="77777777" w:rsidR="00BB6455" w:rsidRPr="00410DE9" w:rsidRDefault="00BB6455" w:rsidP="00B205BA">
      <w:pPr>
        <w:spacing w:after="120" w:line="240" w:lineRule="auto"/>
        <w:rPr>
          <w:rFonts w:cs="Arial"/>
        </w:rPr>
      </w:pPr>
      <w:r w:rsidRPr="00410DE9">
        <w:rPr>
          <w:rFonts w:cs="Arial"/>
        </w:rPr>
        <w:t>5.3.1.5. Verificar el cumplimiento del tratamiento de los datos personales en posesión del Ayuntamiento.</w:t>
      </w:r>
    </w:p>
    <w:p w14:paraId="7144C014" w14:textId="77777777" w:rsidR="00BB6455" w:rsidRPr="00BB6455" w:rsidRDefault="00BB6455" w:rsidP="00B205BA">
      <w:pPr>
        <w:spacing w:after="120" w:line="240" w:lineRule="auto"/>
        <w:rPr>
          <w:rFonts w:cs="Arial"/>
          <w:b/>
          <w:bCs/>
        </w:rPr>
      </w:pPr>
      <w:r w:rsidRPr="00BB6455">
        <w:rPr>
          <w:rFonts w:cs="Arial"/>
          <w:b/>
          <w:bCs/>
        </w:rPr>
        <w:t>Estrategia 5.3.2. Desarrollar e implementar un plan de capacitación para el fortalecimiento sobre transparencia, acceso a la información pública y protección de datos personales con el fin de mejorar las Buenas Prácticas en la materia</w:t>
      </w:r>
    </w:p>
    <w:p w14:paraId="7589AC95" w14:textId="77777777" w:rsidR="00BB6455" w:rsidRPr="00410DE9" w:rsidRDefault="00BB6455" w:rsidP="00B205BA">
      <w:pPr>
        <w:spacing w:after="120" w:line="240" w:lineRule="auto"/>
        <w:rPr>
          <w:rFonts w:cs="Arial"/>
        </w:rPr>
      </w:pPr>
      <w:r w:rsidRPr="00410DE9">
        <w:rPr>
          <w:rFonts w:cs="Arial"/>
        </w:rPr>
        <w:t>Líneas de acción:</w:t>
      </w:r>
    </w:p>
    <w:p w14:paraId="3DAED0EE" w14:textId="77777777" w:rsidR="00BB6455" w:rsidRPr="00410DE9" w:rsidRDefault="00BB6455" w:rsidP="00B205BA">
      <w:pPr>
        <w:spacing w:after="120" w:line="240" w:lineRule="auto"/>
        <w:rPr>
          <w:rFonts w:cs="Arial"/>
        </w:rPr>
      </w:pPr>
      <w:r w:rsidRPr="00410DE9">
        <w:rPr>
          <w:rFonts w:cs="Arial"/>
        </w:rPr>
        <w:t xml:space="preserve">5.3.2.1. Capacitar a los servidores públicos de las dependencias y entidades en materia de Acceso a la Información, Transparencia y Protección de Datos Personales. </w:t>
      </w:r>
    </w:p>
    <w:p w14:paraId="76921D97" w14:textId="77777777" w:rsidR="00BB6455" w:rsidRPr="00410DE9" w:rsidRDefault="00BB6455" w:rsidP="00B205BA">
      <w:pPr>
        <w:spacing w:after="120" w:line="240" w:lineRule="auto"/>
        <w:rPr>
          <w:rFonts w:cs="Arial"/>
        </w:rPr>
      </w:pPr>
      <w:r w:rsidRPr="00410DE9">
        <w:rPr>
          <w:rFonts w:cs="Arial"/>
        </w:rPr>
        <w:t xml:space="preserve">5.3.2.2. Capacitar a enlaces y subenlaces de las dependencias y entidades en materia de Acceso a la Información, Transparencia y Protección de Datos Personales. </w:t>
      </w:r>
    </w:p>
    <w:p w14:paraId="5E860F9B" w14:textId="77777777" w:rsidR="00BB6455" w:rsidRPr="00410DE9" w:rsidRDefault="00BB6455" w:rsidP="00B205BA">
      <w:pPr>
        <w:spacing w:after="120" w:line="240" w:lineRule="auto"/>
        <w:rPr>
          <w:rFonts w:cs="Arial"/>
        </w:rPr>
      </w:pPr>
      <w:r w:rsidRPr="00410DE9">
        <w:rPr>
          <w:rFonts w:cs="Arial"/>
        </w:rPr>
        <w:t>5.3.2.3. Dar difusión a programas tendientes a fortalecer la cultura de la transparencia y la protección de datos personales.</w:t>
      </w:r>
    </w:p>
    <w:p w14:paraId="5811A0EC" w14:textId="77777777" w:rsidR="00BB6455" w:rsidRPr="00BB6455" w:rsidRDefault="00BB6455" w:rsidP="00B205BA">
      <w:pPr>
        <w:spacing w:after="120" w:line="240" w:lineRule="auto"/>
        <w:rPr>
          <w:rFonts w:cs="Arial"/>
          <w:b/>
          <w:bCs/>
        </w:rPr>
      </w:pPr>
      <w:r w:rsidRPr="00BB6455">
        <w:rPr>
          <w:rFonts w:cs="Arial"/>
          <w:b/>
          <w:bCs/>
        </w:rPr>
        <w:t>Reto 5.4. Asegurar el uso eficiente de los recursos materiales, humanos e informáticos de la administración pública municipal con el objetivo de brindar un mejor servicio público para la ciudadanía del municipio.</w:t>
      </w:r>
    </w:p>
    <w:p w14:paraId="375761FD" w14:textId="77777777" w:rsidR="00BB6455" w:rsidRPr="00BB6455" w:rsidRDefault="00BB6455" w:rsidP="00B205BA">
      <w:pPr>
        <w:spacing w:after="120" w:line="240" w:lineRule="auto"/>
        <w:rPr>
          <w:rFonts w:cs="Arial"/>
          <w:b/>
          <w:bCs/>
        </w:rPr>
      </w:pPr>
      <w:r w:rsidRPr="00BB6455">
        <w:rPr>
          <w:rFonts w:cs="Arial"/>
          <w:b/>
          <w:bCs/>
        </w:rPr>
        <w:t>Estrategia 5.4.1. Generar acciones para eficientar el gasto público de manera racional, confiable y transparente, mediante la implementación de mejores prácticas en la materia.</w:t>
      </w:r>
    </w:p>
    <w:p w14:paraId="2E570219" w14:textId="77777777" w:rsidR="00BB6455" w:rsidRPr="00410DE9" w:rsidRDefault="00BB6455" w:rsidP="00B205BA">
      <w:pPr>
        <w:spacing w:after="120" w:line="240" w:lineRule="auto"/>
        <w:rPr>
          <w:rFonts w:cs="Arial"/>
        </w:rPr>
      </w:pPr>
      <w:r w:rsidRPr="00410DE9">
        <w:rPr>
          <w:rFonts w:cs="Arial"/>
        </w:rPr>
        <w:t>Líneas de acción:</w:t>
      </w:r>
    </w:p>
    <w:p w14:paraId="5AF85518" w14:textId="77777777" w:rsidR="00BB6455" w:rsidRPr="00410DE9" w:rsidRDefault="00BB6455" w:rsidP="00B205BA">
      <w:pPr>
        <w:spacing w:after="120" w:line="240" w:lineRule="auto"/>
        <w:rPr>
          <w:rFonts w:cs="Arial"/>
        </w:rPr>
      </w:pPr>
      <w:r w:rsidRPr="00410DE9">
        <w:rPr>
          <w:rFonts w:cs="Arial"/>
        </w:rPr>
        <w:t>5.4.1.1. Utilizar el sistema de compras, donde se consideren los procesos de licitación, mecanismos de subasta inversa y competencia e instrumentos para la supervisión ciudadana.</w:t>
      </w:r>
    </w:p>
    <w:p w14:paraId="03E555A9" w14:textId="77777777" w:rsidR="00BB6455" w:rsidRPr="00410DE9" w:rsidRDefault="00BB6455" w:rsidP="00B205BA">
      <w:pPr>
        <w:spacing w:after="120" w:line="240" w:lineRule="auto"/>
        <w:rPr>
          <w:rFonts w:cs="Arial"/>
        </w:rPr>
      </w:pPr>
      <w:r w:rsidRPr="00410DE9">
        <w:rPr>
          <w:rFonts w:cs="Arial"/>
        </w:rPr>
        <w:t>5.4.1.2. Fortalecer los procedimientos de contratación para la adjudicación y arrendamiento de bienes, así como la prestación de servicios de cualquier naturaleza, con base en los principios de economía, eficiencia, eficacia, transparencia, honradez, imparcialidad y máxima publicidad que garanticen las mejores condiciones para el Ayuntamiento, en estricto apego al marco jurídico vigente.</w:t>
      </w:r>
    </w:p>
    <w:p w14:paraId="1013E301" w14:textId="77777777" w:rsidR="00BB6455" w:rsidRPr="00410DE9" w:rsidRDefault="00BB6455" w:rsidP="00B205BA">
      <w:pPr>
        <w:spacing w:after="120" w:line="240" w:lineRule="auto"/>
        <w:rPr>
          <w:rFonts w:cs="Arial"/>
        </w:rPr>
      </w:pPr>
      <w:r w:rsidRPr="00410DE9">
        <w:rPr>
          <w:rFonts w:cs="Arial"/>
        </w:rPr>
        <w:t>5.4.1.3. Analizar el comportamiento de consumo en lo referente a materiales y suministros de las áreas del Ayuntamiento para dar preferencia a las compras consolidadas.</w:t>
      </w:r>
    </w:p>
    <w:p w14:paraId="65F85016" w14:textId="77777777" w:rsidR="00BB6455" w:rsidRPr="00410DE9" w:rsidRDefault="00BB6455" w:rsidP="00B205BA">
      <w:pPr>
        <w:spacing w:after="120" w:line="240" w:lineRule="auto"/>
        <w:rPr>
          <w:rFonts w:cs="Arial"/>
        </w:rPr>
      </w:pPr>
      <w:r w:rsidRPr="00410DE9">
        <w:rPr>
          <w:rFonts w:cs="Arial"/>
        </w:rPr>
        <w:t>5.4.1.4. Impulsar una política de eficiencia energética en los edificios del Ayuntamiento, con el propósito de lograr ahorros en el consumo de energía a través de la adopción de tecnología de vanguardia en el uso de electricidad.</w:t>
      </w:r>
    </w:p>
    <w:p w14:paraId="02255B13" w14:textId="77777777" w:rsidR="00BB6455" w:rsidRPr="00BB6455" w:rsidRDefault="00BB6455" w:rsidP="00B205BA">
      <w:pPr>
        <w:spacing w:after="120" w:line="240" w:lineRule="auto"/>
        <w:rPr>
          <w:rFonts w:cs="Arial"/>
          <w:b/>
          <w:bCs/>
        </w:rPr>
      </w:pPr>
      <w:r w:rsidRPr="00BB6455">
        <w:rPr>
          <w:rFonts w:cs="Arial"/>
          <w:b/>
          <w:bCs/>
        </w:rPr>
        <w:lastRenderedPageBreak/>
        <w:t>Estrategia 5.4.2. Fortalecer la capacidad del Ayuntamiento para la prestación de servicios públicos mediante la mejora en la gestión del capital humano y con ello aumentar la productividad a través de parámetros de calidad y eficiencia.</w:t>
      </w:r>
    </w:p>
    <w:p w14:paraId="6E239DC6" w14:textId="77777777" w:rsidR="00BB6455" w:rsidRPr="00410DE9" w:rsidRDefault="00BB6455" w:rsidP="00B205BA">
      <w:pPr>
        <w:spacing w:after="120" w:line="240" w:lineRule="auto"/>
        <w:rPr>
          <w:rFonts w:cs="Arial"/>
        </w:rPr>
      </w:pPr>
      <w:r w:rsidRPr="00410DE9">
        <w:rPr>
          <w:rFonts w:cs="Arial"/>
        </w:rPr>
        <w:t>Líneas de acción:</w:t>
      </w:r>
    </w:p>
    <w:p w14:paraId="6768A5C6" w14:textId="77777777" w:rsidR="00BB6455" w:rsidRPr="00410DE9" w:rsidRDefault="00BB6455" w:rsidP="00B205BA">
      <w:pPr>
        <w:spacing w:after="120" w:line="240" w:lineRule="auto"/>
        <w:rPr>
          <w:rFonts w:cs="Arial"/>
        </w:rPr>
      </w:pPr>
      <w:r w:rsidRPr="00410DE9">
        <w:rPr>
          <w:rFonts w:cs="Arial"/>
        </w:rPr>
        <w:t>5.4.2.1. Fortalecer la vinculación con Instituciones de Educación Media Superior y Superior bajo esquemas de prestación de servicio social o prácticas profesionales, a fin de apoyar los proyectos estratégicos del municipio.</w:t>
      </w:r>
    </w:p>
    <w:p w14:paraId="34AC7C9D" w14:textId="77777777" w:rsidR="00BB6455" w:rsidRPr="00410DE9" w:rsidRDefault="00BB6455" w:rsidP="00B205BA">
      <w:pPr>
        <w:spacing w:after="120" w:line="240" w:lineRule="auto"/>
        <w:rPr>
          <w:rFonts w:cs="Arial"/>
        </w:rPr>
      </w:pPr>
      <w:r w:rsidRPr="00410DE9">
        <w:rPr>
          <w:rFonts w:cs="Arial"/>
        </w:rPr>
        <w:t>5.4.2.2. Implementar mejores prácticas en materia de gestión de capital humano y desarrollo organizacional, con el objetivo de fortalecer la capacidad instalada en dependencias, procurando de igual forma impulsar medidas de seguridad e higiene.</w:t>
      </w:r>
    </w:p>
    <w:p w14:paraId="58356B26" w14:textId="77777777" w:rsidR="00BB6455" w:rsidRPr="00410DE9" w:rsidRDefault="00BB6455" w:rsidP="00B205BA">
      <w:pPr>
        <w:spacing w:after="120" w:line="240" w:lineRule="auto"/>
        <w:rPr>
          <w:rFonts w:cs="Arial"/>
        </w:rPr>
      </w:pPr>
      <w:r w:rsidRPr="00410DE9">
        <w:rPr>
          <w:rFonts w:cs="Arial"/>
        </w:rPr>
        <w:t>5.4.2.3. Fortalecer los programas de capacitación que prioricen la obtención de grados, especializaciones, cursos y competencias por parte de las y los servidores públicos en la búsqueda de mejorar la capacidad técnica u operativa de dependencias y entidades de la administración municipal.</w:t>
      </w:r>
    </w:p>
    <w:p w14:paraId="145C8206" w14:textId="77777777" w:rsidR="00BB6455" w:rsidRPr="00BB6455" w:rsidRDefault="00BB6455" w:rsidP="00B205BA">
      <w:pPr>
        <w:spacing w:after="120" w:line="240" w:lineRule="auto"/>
        <w:rPr>
          <w:rFonts w:cs="Arial"/>
          <w:b/>
          <w:bCs/>
        </w:rPr>
      </w:pPr>
      <w:r w:rsidRPr="00BB6455">
        <w:rPr>
          <w:rFonts w:cs="Arial"/>
          <w:b/>
          <w:bCs/>
        </w:rPr>
        <w:t>Estrategia 5.4.3. Desarrollar la conectividad y digitalización de procesos en materia de atención ciudadana con el objetivo de implementar prácticas de gobierno abierto y para el avance en la construcción de un gobierno digital.</w:t>
      </w:r>
    </w:p>
    <w:p w14:paraId="3BF4E544"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3D0C2750" w14:textId="77777777" w:rsidR="00BB6455" w:rsidRPr="00410DE9" w:rsidRDefault="00BB6455" w:rsidP="00B205BA">
      <w:pPr>
        <w:spacing w:after="120" w:line="240" w:lineRule="auto"/>
        <w:rPr>
          <w:rFonts w:cs="Arial"/>
        </w:rPr>
      </w:pPr>
      <w:r w:rsidRPr="00410DE9">
        <w:rPr>
          <w:rFonts w:cs="Arial"/>
        </w:rPr>
        <w:t>5.4.3.1. Actualizar el portal de internet del Ayuntamiento de Hermosillo, centrándose en la disponibilidad de información de fácil acceso y creando una ventanilla única de servicios para la ciudadanía.</w:t>
      </w:r>
    </w:p>
    <w:p w14:paraId="164CF817" w14:textId="77777777" w:rsidR="00BB6455" w:rsidRPr="00410DE9" w:rsidRDefault="00BB6455" w:rsidP="00B205BA">
      <w:pPr>
        <w:spacing w:after="120" w:line="240" w:lineRule="auto"/>
        <w:rPr>
          <w:rFonts w:cs="Arial"/>
        </w:rPr>
      </w:pPr>
      <w:r w:rsidRPr="00410DE9">
        <w:rPr>
          <w:rFonts w:cs="Arial"/>
        </w:rPr>
        <w:t>5.4.3.2. Aumentar la cantidad de espacios públicos con acceso a internet inalámbrico gratuito, mediante la implementación de tecnologías de comunicación avanzadas.</w:t>
      </w:r>
    </w:p>
    <w:p w14:paraId="4CAAB06F" w14:textId="77777777" w:rsidR="00562904" w:rsidRDefault="00562904" w:rsidP="00B205BA">
      <w:pPr>
        <w:spacing w:after="120" w:line="240" w:lineRule="auto"/>
        <w:rPr>
          <w:rFonts w:cs="Arial"/>
          <w:b/>
          <w:bCs/>
        </w:rPr>
      </w:pPr>
    </w:p>
    <w:p w14:paraId="5A00261F" w14:textId="77777777" w:rsidR="00562904" w:rsidRDefault="00562904" w:rsidP="00B205BA">
      <w:pPr>
        <w:spacing w:after="120" w:line="240" w:lineRule="auto"/>
        <w:rPr>
          <w:rFonts w:cs="Arial"/>
          <w:b/>
          <w:bCs/>
        </w:rPr>
      </w:pPr>
    </w:p>
    <w:p w14:paraId="292133BD" w14:textId="77777777" w:rsidR="00562904" w:rsidRDefault="00562904" w:rsidP="00B205BA">
      <w:pPr>
        <w:spacing w:after="120" w:line="240" w:lineRule="auto"/>
        <w:rPr>
          <w:rFonts w:cs="Arial"/>
          <w:b/>
          <w:bCs/>
        </w:rPr>
      </w:pPr>
    </w:p>
    <w:p w14:paraId="704F476E" w14:textId="77777777" w:rsidR="00562904" w:rsidRDefault="00562904" w:rsidP="00B205BA">
      <w:pPr>
        <w:spacing w:after="120" w:line="240" w:lineRule="auto"/>
        <w:rPr>
          <w:rFonts w:cs="Arial"/>
          <w:b/>
          <w:bCs/>
        </w:rPr>
      </w:pPr>
    </w:p>
    <w:p w14:paraId="7F461CC4" w14:textId="77777777" w:rsidR="00562904" w:rsidRDefault="00562904" w:rsidP="00B205BA">
      <w:pPr>
        <w:spacing w:after="120" w:line="240" w:lineRule="auto"/>
        <w:rPr>
          <w:rFonts w:cs="Arial"/>
          <w:b/>
          <w:bCs/>
        </w:rPr>
      </w:pPr>
    </w:p>
    <w:p w14:paraId="585006BB" w14:textId="77777777" w:rsidR="00562904" w:rsidRDefault="00562904" w:rsidP="00B205BA">
      <w:pPr>
        <w:spacing w:after="120" w:line="240" w:lineRule="auto"/>
        <w:rPr>
          <w:rFonts w:cs="Arial"/>
          <w:b/>
          <w:bCs/>
        </w:rPr>
      </w:pPr>
    </w:p>
    <w:p w14:paraId="7203B835" w14:textId="77777777" w:rsidR="00562904" w:rsidRDefault="00562904" w:rsidP="00B205BA">
      <w:pPr>
        <w:spacing w:after="120" w:line="240" w:lineRule="auto"/>
        <w:rPr>
          <w:rFonts w:cs="Arial"/>
          <w:b/>
          <w:bCs/>
        </w:rPr>
      </w:pPr>
    </w:p>
    <w:p w14:paraId="17CAD01F" w14:textId="77777777" w:rsidR="00562904" w:rsidRDefault="00562904" w:rsidP="00B205BA">
      <w:pPr>
        <w:spacing w:after="120" w:line="240" w:lineRule="auto"/>
        <w:rPr>
          <w:rFonts w:cs="Arial"/>
          <w:b/>
          <w:bCs/>
        </w:rPr>
      </w:pPr>
    </w:p>
    <w:p w14:paraId="1DAC8853" w14:textId="77777777" w:rsidR="00562904" w:rsidRDefault="00562904" w:rsidP="00B205BA">
      <w:pPr>
        <w:spacing w:after="120" w:line="240" w:lineRule="auto"/>
        <w:rPr>
          <w:rFonts w:cs="Arial"/>
          <w:b/>
          <w:bCs/>
        </w:rPr>
      </w:pPr>
    </w:p>
    <w:p w14:paraId="57202594" w14:textId="77777777" w:rsidR="00562904" w:rsidRDefault="00562904" w:rsidP="00B205BA">
      <w:pPr>
        <w:spacing w:after="120" w:line="240" w:lineRule="auto"/>
        <w:rPr>
          <w:rFonts w:cs="Arial"/>
          <w:b/>
          <w:bCs/>
        </w:rPr>
      </w:pPr>
    </w:p>
    <w:p w14:paraId="673F31F2" w14:textId="77777777" w:rsidR="00562904" w:rsidRDefault="00562904" w:rsidP="00B205BA">
      <w:pPr>
        <w:spacing w:after="120" w:line="240" w:lineRule="auto"/>
        <w:rPr>
          <w:rFonts w:cs="Arial"/>
          <w:b/>
          <w:bCs/>
        </w:rPr>
      </w:pPr>
    </w:p>
    <w:p w14:paraId="107DD8BB" w14:textId="77777777" w:rsidR="00562904" w:rsidRDefault="00562904" w:rsidP="00B205BA">
      <w:pPr>
        <w:spacing w:after="120" w:line="240" w:lineRule="auto"/>
        <w:rPr>
          <w:rFonts w:cs="Arial"/>
          <w:b/>
          <w:bCs/>
        </w:rPr>
      </w:pPr>
    </w:p>
    <w:p w14:paraId="0AC9369C" w14:textId="77777777" w:rsidR="00562904" w:rsidRDefault="00562904" w:rsidP="00B205BA">
      <w:pPr>
        <w:spacing w:after="120" w:line="240" w:lineRule="auto"/>
        <w:rPr>
          <w:rFonts w:cs="Arial"/>
          <w:b/>
          <w:bCs/>
        </w:rPr>
      </w:pPr>
    </w:p>
    <w:p w14:paraId="207AF36E" w14:textId="77777777" w:rsidR="00562904" w:rsidRDefault="00562904" w:rsidP="00B205BA">
      <w:pPr>
        <w:spacing w:after="120" w:line="240" w:lineRule="auto"/>
        <w:rPr>
          <w:rFonts w:cs="Arial"/>
          <w:b/>
          <w:bCs/>
        </w:rPr>
      </w:pPr>
    </w:p>
    <w:p w14:paraId="5C39FD04" w14:textId="77777777" w:rsidR="00562904" w:rsidRDefault="00562904" w:rsidP="00B205BA">
      <w:pPr>
        <w:spacing w:after="120" w:line="240" w:lineRule="auto"/>
        <w:rPr>
          <w:rFonts w:cs="Arial"/>
          <w:b/>
          <w:bCs/>
        </w:rPr>
      </w:pPr>
    </w:p>
    <w:p w14:paraId="21D63D89" w14:textId="27D973BE" w:rsidR="00BB6455" w:rsidRPr="00BB6455" w:rsidRDefault="00BB6455" w:rsidP="00B205BA">
      <w:pPr>
        <w:spacing w:after="120" w:line="240" w:lineRule="auto"/>
        <w:rPr>
          <w:rFonts w:cs="Arial"/>
          <w:b/>
          <w:bCs/>
        </w:rPr>
      </w:pPr>
      <w:r w:rsidRPr="00BB6455">
        <w:rPr>
          <w:rFonts w:cs="Arial"/>
          <w:b/>
          <w:bCs/>
        </w:rPr>
        <w:lastRenderedPageBreak/>
        <w:t>Estrategia 5.4.4. Desarrollar un perfil progresivo en impuestos y derechos cobrados a la ciudadanía, dando confianza y certidumbre a las y los contribuyentes de su correcta aplicación en el gasto público, generando una eficiencia y control del erario, utilizando las TIC´s.</w:t>
      </w:r>
    </w:p>
    <w:p w14:paraId="33036692"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2482B28D" w14:textId="77777777" w:rsidR="00BB6455" w:rsidRPr="00410DE9" w:rsidRDefault="00BB6455" w:rsidP="00B205BA">
      <w:pPr>
        <w:spacing w:after="120" w:line="240" w:lineRule="auto"/>
        <w:rPr>
          <w:rFonts w:cs="Arial"/>
        </w:rPr>
      </w:pPr>
      <w:r w:rsidRPr="00410DE9">
        <w:rPr>
          <w:rFonts w:cs="Arial"/>
        </w:rPr>
        <w:t>5.4.4.1. Establecer la correcta coordinación entre dependencias y entidades con la finalidad de ser sujetos de la participación en el Impuesto Sobre la Renta conforme al artículo 3-B de la Ley de Coordinación Fiscal con el objetivo de fortalecer la recaudación del Municipio</w:t>
      </w:r>
    </w:p>
    <w:p w14:paraId="450897F3" w14:textId="77777777" w:rsidR="00BB6455" w:rsidRPr="00410DE9" w:rsidRDefault="00BB6455" w:rsidP="00B205BA">
      <w:pPr>
        <w:spacing w:after="120" w:line="240" w:lineRule="auto"/>
        <w:rPr>
          <w:rFonts w:cs="Arial"/>
        </w:rPr>
      </w:pPr>
      <w:r w:rsidRPr="00410DE9">
        <w:rPr>
          <w:rFonts w:cs="Arial"/>
        </w:rPr>
        <w:t>5.4.4.2. Administrar las prestaciones laborales de las y los trabajadores del Municipio de Hermosillo bajo el principio de balance presupuestario sostenible, procurando en todo momento ajustarse a los tabuladores de sueldos y salarios, así como a los presupuestos aprobados para generar mayor orden en el gasto de servicios personales.</w:t>
      </w:r>
    </w:p>
    <w:p w14:paraId="75BA1F1D" w14:textId="77777777" w:rsidR="00BB6455" w:rsidRPr="00410DE9" w:rsidRDefault="00BB6455" w:rsidP="00B205BA">
      <w:pPr>
        <w:spacing w:after="120" w:line="240" w:lineRule="auto"/>
        <w:rPr>
          <w:rFonts w:cs="Arial"/>
        </w:rPr>
      </w:pPr>
      <w:r w:rsidRPr="00410DE9">
        <w:rPr>
          <w:rFonts w:cs="Arial"/>
        </w:rPr>
        <w:t>5.4.4.3. Actualizar el control de inventarios de suministros y materiales, así como los servicios de los muebles e inmuebles dando preferencias a las compras consolidadas, subastas y licitaciones públicas.</w:t>
      </w:r>
    </w:p>
    <w:p w14:paraId="00489393" w14:textId="77777777" w:rsidR="00BB6455" w:rsidRPr="00410DE9" w:rsidRDefault="00BB6455" w:rsidP="00B205BA">
      <w:pPr>
        <w:spacing w:after="120" w:line="240" w:lineRule="auto"/>
        <w:rPr>
          <w:rFonts w:cs="Arial"/>
        </w:rPr>
      </w:pPr>
      <w:r w:rsidRPr="00410DE9">
        <w:rPr>
          <w:rFonts w:cs="Arial"/>
        </w:rPr>
        <w:t>5.4.4.4. Promover ahorros en las oficinas y vehículos mediante el uso de energías limpias y renovables.</w:t>
      </w:r>
    </w:p>
    <w:p w14:paraId="7B522193" w14:textId="77777777" w:rsidR="00BB6455" w:rsidRPr="00410DE9" w:rsidRDefault="00BB6455" w:rsidP="00B205BA">
      <w:pPr>
        <w:spacing w:after="120" w:line="240" w:lineRule="auto"/>
        <w:rPr>
          <w:rFonts w:cs="Arial"/>
        </w:rPr>
      </w:pPr>
      <w:r w:rsidRPr="00410DE9">
        <w:rPr>
          <w:rFonts w:cs="Arial"/>
        </w:rPr>
        <w:t>5.4.4.5. Optimizar el gasto mediante la reducción de costos y eliminación de gastos</w:t>
      </w:r>
    </w:p>
    <w:p w14:paraId="18DF06EE" w14:textId="77777777" w:rsidR="00BB6455" w:rsidRPr="00410DE9" w:rsidRDefault="00BB6455" w:rsidP="00B205BA">
      <w:pPr>
        <w:spacing w:after="120" w:line="240" w:lineRule="auto"/>
        <w:rPr>
          <w:rFonts w:cs="Arial"/>
        </w:rPr>
      </w:pPr>
      <w:r w:rsidRPr="00410DE9">
        <w:rPr>
          <w:rFonts w:cs="Arial"/>
        </w:rPr>
        <w:t>5.4.4.6. Fomentar un clima organizacional positivo mediante la implementación de un programa de incentivos y prácticas de gestión del capital humano centradas en el bienestar y desarrollo integral.</w:t>
      </w:r>
    </w:p>
    <w:p w14:paraId="3F19AA5C" w14:textId="77777777" w:rsidR="00BB6455" w:rsidRPr="00BB6455" w:rsidRDefault="00BB6455" w:rsidP="00B205BA">
      <w:pPr>
        <w:spacing w:after="120" w:line="240" w:lineRule="auto"/>
        <w:rPr>
          <w:rFonts w:cs="Arial"/>
          <w:b/>
          <w:bCs/>
        </w:rPr>
      </w:pPr>
      <w:r w:rsidRPr="00BB6455">
        <w:rPr>
          <w:rFonts w:cs="Arial"/>
          <w:b/>
          <w:bCs/>
        </w:rPr>
        <w:t>Reto 5.5. Promover la integridad y combatir la corrupción a través de un programa de auditorías internas y la supervisión de auditorías realizadas por entidades externas a la administración pública municipal.</w:t>
      </w:r>
    </w:p>
    <w:p w14:paraId="56A9535A" w14:textId="77777777" w:rsidR="00BB6455" w:rsidRPr="00BB6455" w:rsidRDefault="00BB6455" w:rsidP="00B205BA">
      <w:pPr>
        <w:spacing w:after="120" w:line="240" w:lineRule="auto"/>
        <w:rPr>
          <w:rFonts w:cs="Arial"/>
          <w:b/>
          <w:bCs/>
        </w:rPr>
      </w:pPr>
      <w:r w:rsidRPr="00BB6455">
        <w:rPr>
          <w:rFonts w:cs="Arial"/>
          <w:b/>
          <w:bCs/>
        </w:rPr>
        <w:t>Estrategia 5.5.1. Verificar y evaluar el debido ejercicio de los recursos y el desempeño de los servidores públicos de acuerdo con la normatividad vigente.</w:t>
      </w:r>
    </w:p>
    <w:p w14:paraId="38EF8BEC"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58D7A99C" w14:textId="77777777" w:rsidR="00BB6455" w:rsidRPr="00410DE9" w:rsidRDefault="00BB6455" w:rsidP="00B205BA">
      <w:pPr>
        <w:spacing w:after="120" w:line="240" w:lineRule="auto"/>
        <w:rPr>
          <w:rFonts w:cs="Arial"/>
        </w:rPr>
      </w:pPr>
      <w:r w:rsidRPr="00410DE9">
        <w:rPr>
          <w:rFonts w:cs="Arial"/>
        </w:rPr>
        <w:t>5.5.1.1. Llevar a cabo auditorías en dependencias y entidades con el objetivo de identificar irregularidades.</w:t>
      </w:r>
    </w:p>
    <w:p w14:paraId="6492AD72" w14:textId="77777777" w:rsidR="00BB6455" w:rsidRPr="00410DE9" w:rsidRDefault="00BB6455" w:rsidP="00B205BA">
      <w:pPr>
        <w:spacing w:after="120" w:line="240" w:lineRule="auto"/>
        <w:rPr>
          <w:rFonts w:cs="Arial"/>
        </w:rPr>
      </w:pPr>
      <w:r w:rsidRPr="00410DE9">
        <w:rPr>
          <w:rFonts w:cs="Arial"/>
        </w:rPr>
        <w:t>5.5.1.2. Hacer un seguimiento a las observaciones realizadas por las instituciones o dependencias de los tres niveles de gobierno.</w:t>
      </w:r>
    </w:p>
    <w:p w14:paraId="6A14DE34" w14:textId="77777777" w:rsidR="00BB6455" w:rsidRPr="00410DE9" w:rsidRDefault="00BB6455" w:rsidP="00B205BA">
      <w:pPr>
        <w:spacing w:after="120" w:line="240" w:lineRule="auto"/>
        <w:rPr>
          <w:rFonts w:cs="Arial"/>
        </w:rPr>
      </w:pPr>
      <w:r w:rsidRPr="00410DE9">
        <w:rPr>
          <w:rFonts w:cs="Arial"/>
        </w:rPr>
        <w:t>5.5.1.3. Efectuar auditorías a los procesos de licitación, ejecución y recepción de obras públicas y de los servicios asociados.</w:t>
      </w:r>
    </w:p>
    <w:p w14:paraId="3D9D7165" w14:textId="77777777" w:rsidR="00BB6455" w:rsidRPr="00410DE9" w:rsidRDefault="00BB6455" w:rsidP="00B205BA">
      <w:pPr>
        <w:spacing w:after="120" w:line="240" w:lineRule="auto"/>
        <w:rPr>
          <w:rFonts w:cs="Arial"/>
        </w:rPr>
      </w:pPr>
      <w:r w:rsidRPr="00410DE9">
        <w:rPr>
          <w:rFonts w:cs="Arial"/>
        </w:rPr>
        <w:t>5.5.1.4. Llevar a cabo auditorías técnico-normativas a las autorizaciones, permisos o licencias para el desarrollo urbano.</w:t>
      </w:r>
    </w:p>
    <w:p w14:paraId="5C13F6DF" w14:textId="77777777" w:rsidR="00BB6455" w:rsidRPr="00410DE9" w:rsidRDefault="00BB6455" w:rsidP="00B205BA">
      <w:pPr>
        <w:spacing w:after="120" w:line="240" w:lineRule="auto"/>
        <w:rPr>
          <w:rFonts w:cs="Arial"/>
        </w:rPr>
      </w:pPr>
      <w:r w:rsidRPr="00410DE9">
        <w:rPr>
          <w:rFonts w:cs="Arial"/>
        </w:rPr>
        <w:t>5.5.1.5. Hacer un seguimiento y resolver las observaciones relacionadas con la obra pública, tanto internas como externas, así como con el desarrollo urbano.</w:t>
      </w:r>
    </w:p>
    <w:p w14:paraId="04F2B849" w14:textId="77777777" w:rsidR="00BB6455" w:rsidRPr="00410DE9" w:rsidRDefault="00BB6455" w:rsidP="00B205BA">
      <w:pPr>
        <w:spacing w:after="120" w:line="240" w:lineRule="auto"/>
        <w:rPr>
          <w:rFonts w:cs="Arial"/>
        </w:rPr>
      </w:pPr>
      <w:r w:rsidRPr="00410DE9">
        <w:rPr>
          <w:rFonts w:cs="Arial"/>
        </w:rPr>
        <w:t>5.5.1.6. Actualizar el padrón de sujetos obligados para la declaración de situación patrimonial conforme a lo que establece la normatividad aplicable.</w:t>
      </w:r>
    </w:p>
    <w:p w14:paraId="6E9471E1" w14:textId="77777777" w:rsidR="00BB6455" w:rsidRPr="00410DE9" w:rsidRDefault="00BB6455" w:rsidP="00B205BA">
      <w:pPr>
        <w:spacing w:after="120" w:line="240" w:lineRule="auto"/>
        <w:rPr>
          <w:rFonts w:cs="Arial"/>
        </w:rPr>
      </w:pPr>
      <w:r w:rsidRPr="00410DE9">
        <w:rPr>
          <w:rFonts w:cs="Arial"/>
        </w:rPr>
        <w:t>5.5.1.7. Brindar apoyo para asegurar el cumplimiento total en la presentación de la Declaración de Situación Patrimonial y de Intereses de todos los servidores públicos municipales, conforme a lo que estipula la normatividad aplicable.</w:t>
      </w:r>
    </w:p>
    <w:p w14:paraId="4FE1A8C4" w14:textId="77777777" w:rsidR="00BB6455" w:rsidRPr="00410DE9" w:rsidRDefault="00BB6455" w:rsidP="00B205BA">
      <w:pPr>
        <w:spacing w:after="120" w:line="240" w:lineRule="auto"/>
        <w:rPr>
          <w:rFonts w:cs="Arial"/>
        </w:rPr>
      </w:pPr>
      <w:r w:rsidRPr="00410DE9">
        <w:rPr>
          <w:rFonts w:cs="Arial"/>
        </w:rPr>
        <w:lastRenderedPageBreak/>
        <w:t>5.5.1.8. Verificar la integridad de la información presentada por los servidores públicos en sus declaraciones de situación patrimonial y de intereses.</w:t>
      </w:r>
    </w:p>
    <w:p w14:paraId="1F1453ED" w14:textId="77777777" w:rsidR="00BB6455" w:rsidRPr="00BB6455" w:rsidRDefault="00BB6455" w:rsidP="00B205BA">
      <w:pPr>
        <w:spacing w:after="120" w:line="240" w:lineRule="auto"/>
        <w:rPr>
          <w:rFonts w:cs="Arial"/>
          <w:b/>
          <w:bCs/>
        </w:rPr>
      </w:pPr>
      <w:r w:rsidRPr="00BB6455">
        <w:rPr>
          <w:rFonts w:cs="Arial"/>
          <w:b/>
          <w:bCs/>
        </w:rPr>
        <w:t>Estrategia 5.5.2. Investigar, sustanciar y resolver procedimientos de presunta responsabilidad administrativa.</w:t>
      </w:r>
    </w:p>
    <w:p w14:paraId="69E47413" w14:textId="77777777" w:rsidR="00BB6455" w:rsidRPr="00410DE9" w:rsidRDefault="00BB6455" w:rsidP="00B205BA">
      <w:pPr>
        <w:spacing w:after="120" w:line="240" w:lineRule="auto"/>
        <w:rPr>
          <w:rFonts w:cs="Arial"/>
        </w:rPr>
      </w:pPr>
      <w:r w:rsidRPr="00410DE9">
        <w:rPr>
          <w:rFonts w:cs="Arial"/>
        </w:rPr>
        <w:t>Líneas de acción:</w:t>
      </w:r>
    </w:p>
    <w:p w14:paraId="7C45F9F4" w14:textId="77777777" w:rsidR="00BB6455" w:rsidRPr="00410DE9" w:rsidRDefault="00BB6455" w:rsidP="00B205BA">
      <w:pPr>
        <w:spacing w:after="120" w:line="240" w:lineRule="auto"/>
        <w:rPr>
          <w:rFonts w:cs="Arial"/>
        </w:rPr>
      </w:pPr>
      <w:r w:rsidRPr="00410DE9">
        <w:rPr>
          <w:rFonts w:cs="Arial"/>
        </w:rPr>
        <w:t>5.5.2.1. Admitir las denuncias presentadas ante la Coordinación de Investigación por la presunta falta administrativa del servidor público o quien resulte responsable.</w:t>
      </w:r>
    </w:p>
    <w:p w14:paraId="23930BEA" w14:textId="77777777" w:rsidR="00BB6455" w:rsidRPr="00410DE9" w:rsidRDefault="00BB6455" w:rsidP="00B205BA">
      <w:pPr>
        <w:spacing w:after="120" w:line="240" w:lineRule="auto"/>
        <w:rPr>
          <w:rFonts w:cs="Arial"/>
        </w:rPr>
      </w:pPr>
      <w:r w:rsidRPr="00410DE9">
        <w:rPr>
          <w:rFonts w:cs="Arial"/>
        </w:rPr>
        <w:t>5.5.2.2. Llevar a cabo la investigación, integración e instrucción de las quejas y/o denuncias que se formulen en contra de los Policías, Jueces Calificadores, Médicos Legistas y Secretarios de Acuerdos por el probable mal desempeño de sus obligaciones y/o funciones.</w:t>
      </w:r>
    </w:p>
    <w:p w14:paraId="5B3CD6AA" w14:textId="77777777" w:rsidR="00BB6455" w:rsidRPr="00410DE9" w:rsidRDefault="00BB6455" w:rsidP="00B205BA">
      <w:pPr>
        <w:spacing w:after="120" w:line="240" w:lineRule="auto"/>
        <w:rPr>
          <w:rFonts w:cs="Arial"/>
        </w:rPr>
      </w:pPr>
      <w:r w:rsidRPr="00410DE9">
        <w:rPr>
          <w:rFonts w:cs="Arial"/>
        </w:rPr>
        <w:t>5.5.2.3. Informar a la autoridad competente la existencia de elementos que acrediten la posible comisión de falta administrativa, o responsabilidad penal relacionada con policías, jueces calificadores, médicos legistas y secretarios de acuerdos.</w:t>
      </w:r>
    </w:p>
    <w:p w14:paraId="48041C9C" w14:textId="77777777" w:rsidR="00BB6455" w:rsidRPr="00410DE9" w:rsidRDefault="00BB6455" w:rsidP="00B205BA">
      <w:pPr>
        <w:spacing w:after="120" w:line="240" w:lineRule="auto"/>
        <w:rPr>
          <w:rFonts w:cs="Arial"/>
        </w:rPr>
      </w:pPr>
      <w:r w:rsidRPr="00410DE9">
        <w:rPr>
          <w:rFonts w:cs="Arial"/>
        </w:rPr>
        <w:t>5.5.2.4. Integrar, resolver y en su caso remitir a la autoridad correspondiente, los procedimientos de presunta responsabilidad administrativa por faltas graves y no graves, de acuerdo a la normatividad aplicable.</w:t>
      </w:r>
    </w:p>
    <w:p w14:paraId="60CA793E" w14:textId="77777777" w:rsidR="00BB6455" w:rsidRPr="00BB6455" w:rsidRDefault="00BB6455" w:rsidP="00B205BA">
      <w:pPr>
        <w:spacing w:after="120" w:line="240" w:lineRule="auto"/>
        <w:rPr>
          <w:rFonts w:cs="Arial"/>
          <w:b/>
          <w:bCs/>
        </w:rPr>
      </w:pPr>
      <w:r w:rsidRPr="00BB6455">
        <w:rPr>
          <w:rFonts w:cs="Arial"/>
          <w:b/>
          <w:bCs/>
        </w:rPr>
        <w:t>Reto 5.6. Vigilar el cumplimiento de la normatividad que rige la gestión pública a través de la supervisión, evaluación y rendición de cuentas.</w:t>
      </w:r>
    </w:p>
    <w:p w14:paraId="529A20EE" w14:textId="77777777" w:rsidR="00BB6455" w:rsidRPr="00BB6455" w:rsidRDefault="00BB6455" w:rsidP="00B205BA">
      <w:pPr>
        <w:spacing w:after="120" w:line="240" w:lineRule="auto"/>
        <w:rPr>
          <w:rFonts w:cs="Arial"/>
          <w:b/>
          <w:bCs/>
        </w:rPr>
      </w:pPr>
      <w:r w:rsidRPr="00BB6455">
        <w:rPr>
          <w:rFonts w:cs="Arial"/>
          <w:b/>
          <w:bCs/>
        </w:rPr>
        <w:t>Estrategia 5.6.1. Atender, acompañar y orientar a la ciudadanía respecto a las normas y reglas a las que están sujetos las y los servidores públicos para garantizar la debida conducta en el desempeño de sus funciones.</w:t>
      </w:r>
    </w:p>
    <w:p w14:paraId="7DEE2964"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34B6E6DA" w14:textId="77777777" w:rsidR="00BB6455" w:rsidRPr="00410DE9" w:rsidRDefault="00BB6455" w:rsidP="00B205BA">
      <w:pPr>
        <w:spacing w:after="120" w:line="240" w:lineRule="auto"/>
        <w:rPr>
          <w:rFonts w:cs="Arial"/>
        </w:rPr>
      </w:pPr>
      <w:r w:rsidRPr="00410DE9">
        <w:rPr>
          <w:rFonts w:cs="Arial"/>
        </w:rPr>
        <w:t>5.6.1.1. Atender y resolver las quejas ciudadanas de acuerdo con las facultades establecidas en la normativa vigente.</w:t>
      </w:r>
    </w:p>
    <w:p w14:paraId="67C3070B" w14:textId="77777777" w:rsidR="00BB6455" w:rsidRPr="00410DE9" w:rsidRDefault="00BB6455" w:rsidP="00B205BA">
      <w:pPr>
        <w:spacing w:after="120" w:line="240" w:lineRule="auto"/>
        <w:rPr>
          <w:rFonts w:cs="Arial"/>
        </w:rPr>
      </w:pPr>
      <w:r w:rsidRPr="00410DE9">
        <w:rPr>
          <w:rFonts w:cs="Arial"/>
        </w:rPr>
        <w:t>5.6.1.2. Verificar y supervisar durante los recorridos y operativos, la actuación de los Policías, Jueces Calificadores, Médicos Legistas y Secretarios de Acuerdos.</w:t>
      </w:r>
    </w:p>
    <w:p w14:paraId="3FF226A2" w14:textId="77777777" w:rsidR="00BB6455" w:rsidRPr="007503ED" w:rsidRDefault="00BB6455" w:rsidP="00B205BA">
      <w:pPr>
        <w:spacing w:after="120" w:line="240" w:lineRule="auto"/>
        <w:rPr>
          <w:rFonts w:cs="Arial"/>
          <w:b/>
          <w:bCs/>
        </w:rPr>
      </w:pPr>
      <w:r w:rsidRPr="007503ED">
        <w:rPr>
          <w:rFonts w:cs="Arial"/>
          <w:b/>
          <w:bCs/>
        </w:rPr>
        <w:t>Estrategia 5.6.2. Impulsar la participación ciudadana en la observancia del ejercicio de los recursos públicos y la prestación de los servicios municipales.</w:t>
      </w:r>
    </w:p>
    <w:p w14:paraId="47C0F56F"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50948255" w14:textId="77777777" w:rsidR="00BB6455" w:rsidRPr="00410DE9" w:rsidRDefault="00BB6455" w:rsidP="00B205BA">
      <w:pPr>
        <w:spacing w:after="120" w:line="240" w:lineRule="auto"/>
        <w:rPr>
          <w:rFonts w:cs="Arial"/>
        </w:rPr>
      </w:pPr>
      <w:r w:rsidRPr="00410DE9">
        <w:rPr>
          <w:rFonts w:cs="Arial"/>
        </w:rPr>
        <w:t>5.6.2.1. Promover las actividades de la Contraloría Social para la evaluación de las acciones del gobierno municipal.</w:t>
      </w:r>
    </w:p>
    <w:p w14:paraId="6C58DD01" w14:textId="77777777" w:rsidR="00BB6455" w:rsidRPr="00410DE9" w:rsidRDefault="00BB6455" w:rsidP="00B205BA">
      <w:pPr>
        <w:spacing w:after="120" w:line="240" w:lineRule="auto"/>
        <w:rPr>
          <w:rFonts w:cs="Arial"/>
        </w:rPr>
      </w:pPr>
      <w:r w:rsidRPr="00410DE9">
        <w:rPr>
          <w:rFonts w:cs="Arial"/>
        </w:rPr>
        <w:t>5.6.2.2. Vincular acciones para promover la política de integridad con organizaciones de la sociedad civil y ciudadanía.</w:t>
      </w:r>
    </w:p>
    <w:p w14:paraId="28235F4F" w14:textId="77777777" w:rsidR="00BB6455" w:rsidRPr="00BB6455" w:rsidRDefault="00BB6455" w:rsidP="00B205BA">
      <w:pPr>
        <w:spacing w:after="120" w:line="240" w:lineRule="auto"/>
        <w:rPr>
          <w:rFonts w:cs="Arial"/>
          <w:b/>
          <w:bCs/>
        </w:rPr>
      </w:pPr>
      <w:r w:rsidRPr="00BB6455">
        <w:rPr>
          <w:rFonts w:cs="Arial"/>
          <w:b/>
          <w:bCs/>
        </w:rPr>
        <w:t>Estrategia 5.6.3. Desarrollar los temas de la normativa aplicable para el conocimiento de todas las dependencias y entidades mediante la elaboración de lineamientos, actualizaciones, así como el cumplimiento de los avances de actividades del órgano de control y evaluación gubernamental y el seguimiento de acuerdos.</w:t>
      </w:r>
    </w:p>
    <w:p w14:paraId="700C1B8F"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1B8A3031" w14:textId="77777777" w:rsidR="00BB6455" w:rsidRPr="00410DE9" w:rsidRDefault="00BB6455" w:rsidP="00B205BA">
      <w:pPr>
        <w:spacing w:after="120" w:line="240" w:lineRule="auto"/>
        <w:rPr>
          <w:rFonts w:cs="Arial"/>
        </w:rPr>
      </w:pPr>
      <w:r w:rsidRPr="00410DE9">
        <w:rPr>
          <w:rFonts w:cs="Arial"/>
        </w:rPr>
        <w:t>5.6.3.1. Coordinar la actualización de los manuales de organización y procedimientos de las dependencias y entidades, siguiendo los lineamientos establecidos.</w:t>
      </w:r>
    </w:p>
    <w:p w14:paraId="1F67895E" w14:textId="77777777" w:rsidR="00BB6455" w:rsidRPr="00410DE9" w:rsidRDefault="00BB6455" w:rsidP="00B205BA">
      <w:pPr>
        <w:spacing w:after="120" w:line="240" w:lineRule="auto"/>
        <w:rPr>
          <w:rFonts w:cs="Arial"/>
        </w:rPr>
      </w:pPr>
      <w:r w:rsidRPr="00410DE9">
        <w:rPr>
          <w:rFonts w:cs="Arial"/>
        </w:rPr>
        <w:lastRenderedPageBreak/>
        <w:t>5.6.3.2. Coordinar el proceso de entrega-recepción de las dependencias y entidades de la administración pública municipal.</w:t>
      </w:r>
    </w:p>
    <w:p w14:paraId="620D8C26" w14:textId="77777777" w:rsidR="00BB6455" w:rsidRPr="00BB6455" w:rsidRDefault="00BB6455" w:rsidP="00B205BA">
      <w:pPr>
        <w:spacing w:after="120" w:line="240" w:lineRule="auto"/>
        <w:rPr>
          <w:rFonts w:cs="Arial"/>
          <w:b/>
          <w:bCs/>
        </w:rPr>
      </w:pPr>
      <w:r w:rsidRPr="00BB6455">
        <w:rPr>
          <w:rFonts w:cs="Arial"/>
          <w:b/>
          <w:bCs/>
        </w:rPr>
        <w:t>Reto 5.7. Deliberar, analizar, resolver, controlar y vigilar como cuerpo colegiado, los actos de Administración y de Gobierno Municipal</w:t>
      </w:r>
    </w:p>
    <w:p w14:paraId="3CC68611" w14:textId="77777777" w:rsidR="00BB6455" w:rsidRPr="00BB6455" w:rsidRDefault="00BB6455" w:rsidP="00B205BA">
      <w:pPr>
        <w:spacing w:after="120" w:line="240" w:lineRule="auto"/>
        <w:rPr>
          <w:rFonts w:cs="Arial"/>
          <w:b/>
          <w:bCs/>
        </w:rPr>
      </w:pPr>
      <w:r w:rsidRPr="00BB6455">
        <w:rPr>
          <w:rFonts w:cs="Arial"/>
          <w:b/>
          <w:bCs/>
        </w:rPr>
        <w:t>Estrategia 5.7.1. Lograr que las políticas de gobierno se traduzcan en beneficios para la ciudadanía y resolver los asuntos de manera colegiada, como Ayuntamiento abierto, ciudadano, incluyente y eficiente en las sesiones públicas</w:t>
      </w:r>
    </w:p>
    <w:p w14:paraId="2712021C" w14:textId="77777777" w:rsidR="00BB6455" w:rsidRPr="00410DE9" w:rsidRDefault="00BB6455" w:rsidP="00B205BA">
      <w:pPr>
        <w:spacing w:after="120" w:line="240" w:lineRule="auto"/>
        <w:rPr>
          <w:rFonts w:cs="Arial"/>
        </w:rPr>
      </w:pPr>
      <w:r w:rsidRPr="00410DE9">
        <w:rPr>
          <w:rFonts w:cs="Arial"/>
        </w:rPr>
        <w:t xml:space="preserve">Líneas de acción: </w:t>
      </w:r>
    </w:p>
    <w:p w14:paraId="78E7AE08" w14:textId="77777777" w:rsidR="00BB6455" w:rsidRPr="00410DE9" w:rsidRDefault="00BB6455" w:rsidP="00B205BA">
      <w:pPr>
        <w:spacing w:after="120" w:line="240" w:lineRule="auto"/>
        <w:rPr>
          <w:rFonts w:cs="Arial"/>
        </w:rPr>
      </w:pPr>
      <w:r w:rsidRPr="00410DE9">
        <w:rPr>
          <w:rFonts w:cs="Arial"/>
        </w:rPr>
        <w:t>5.7.1.1. Asistir a las reuniones de Cabildo que sean citados por el Presidente Municipal o por conducto del Secretario del Ayuntamiento.</w:t>
      </w:r>
    </w:p>
    <w:p w14:paraId="6B0C5C25" w14:textId="77777777" w:rsidR="00BB6455" w:rsidRPr="00410DE9" w:rsidRDefault="00BB6455" w:rsidP="00B205BA">
      <w:pPr>
        <w:spacing w:after="120" w:line="240" w:lineRule="auto"/>
        <w:rPr>
          <w:rFonts w:cs="Arial"/>
        </w:rPr>
      </w:pPr>
      <w:r w:rsidRPr="00410DE9">
        <w:rPr>
          <w:rFonts w:cs="Arial"/>
        </w:rPr>
        <w:t>5.7.1.2. Realizar las Sesiones en las diferentes comisiones temáticas en las que los regidores.</w:t>
      </w:r>
    </w:p>
    <w:p w14:paraId="5437DF5E" w14:textId="77777777" w:rsidR="00BB6455" w:rsidRPr="00410DE9" w:rsidRDefault="00BB6455" w:rsidP="00B205BA">
      <w:pPr>
        <w:spacing w:after="120" w:line="240" w:lineRule="auto"/>
        <w:rPr>
          <w:rFonts w:cs="Arial"/>
        </w:rPr>
      </w:pPr>
      <w:r w:rsidRPr="00410DE9">
        <w:rPr>
          <w:rFonts w:cs="Arial"/>
        </w:rPr>
        <w:t>5.7.1.3. Atender a la ciudadanía en los temas de cabildo llevando el debido registro correspondiente a cada regidor.</w:t>
      </w:r>
    </w:p>
    <w:p w14:paraId="7E80F096" w14:textId="77777777" w:rsidR="00BB6455" w:rsidRPr="00BB6455" w:rsidRDefault="00BB6455" w:rsidP="00B205BA">
      <w:pPr>
        <w:spacing w:after="120" w:line="240" w:lineRule="auto"/>
        <w:rPr>
          <w:rFonts w:cs="Arial"/>
          <w:b/>
          <w:bCs/>
        </w:rPr>
      </w:pPr>
      <w:r w:rsidRPr="00BB6455">
        <w:rPr>
          <w:rFonts w:cs="Arial"/>
          <w:b/>
          <w:bCs/>
        </w:rPr>
        <w:t>Reto 5.8. Establecer un espacio de acercamiento ciudadano con el Gobierno Municipal donde los ciudadanos puedan presentar sus requerimientos y solicitudes, garantizando atención personalizada por parte de los servidores públicos de las dependencias y entidades competentes.</w:t>
      </w:r>
    </w:p>
    <w:p w14:paraId="339AA9B9" w14:textId="77777777" w:rsidR="00BB6455" w:rsidRPr="00BB6455" w:rsidRDefault="00BB6455" w:rsidP="00B205BA">
      <w:pPr>
        <w:spacing w:after="120" w:line="240" w:lineRule="auto"/>
        <w:rPr>
          <w:rFonts w:cs="Arial"/>
          <w:b/>
          <w:bCs/>
        </w:rPr>
      </w:pPr>
      <w:r w:rsidRPr="00BB6455">
        <w:rPr>
          <w:rFonts w:cs="Arial"/>
          <w:b/>
          <w:bCs/>
        </w:rPr>
        <w:t>Estrategia 5.8.1. Contribuir a la gobernabilidad del municipio a través de un diálogo colaborativo con la sociedad, con el objetivo de generar acciones que fortalezcan la atención y el seguimiento de las demandas de la ciudadanía en general.</w:t>
      </w:r>
    </w:p>
    <w:p w14:paraId="4F6DE22B"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458A5BCB" w14:textId="77777777" w:rsidR="00BB6455" w:rsidRPr="00410DE9" w:rsidRDefault="00BB6455" w:rsidP="00B205BA">
      <w:pPr>
        <w:spacing w:after="120" w:line="240" w:lineRule="auto"/>
        <w:rPr>
          <w:rFonts w:cs="Arial"/>
        </w:rPr>
      </w:pPr>
      <w:r w:rsidRPr="00410DE9">
        <w:rPr>
          <w:rFonts w:cs="Arial"/>
        </w:rPr>
        <w:t>5.8.1.1. Establecer un diálogo permanente con líderes sociales, sociedad civil organizada, grupos étnicos, organizaciones religiosas, actores políticos y entes gubernamentales con el fin de buscar solución a las problemáticas y demandas que señale la sociedad hermosillense.</w:t>
      </w:r>
    </w:p>
    <w:p w14:paraId="67F06238" w14:textId="77777777" w:rsidR="00BB6455" w:rsidRPr="00410DE9" w:rsidRDefault="00BB6455" w:rsidP="00B205BA">
      <w:pPr>
        <w:spacing w:after="120" w:line="240" w:lineRule="auto"/>
        <w:rPr>
          <w:rFonts w:cs="Arial"/>
        </w:rPr>
      </w:pPr>
      <w:r w:rsidRPr="00410DE9">
        <w:rPr>
          <w:rFonts w:cs="Arial"/>
        </w:rPr>
        <w:t>5.8.1.2. Dar seguimiento y efectuar los trámites ofrecidos a la sociedad, como son las matrículas de las cartillas del servicio militar nacional, carta de residencia</w:t>
      </w:r>
    </w:p>
    <w:p w14:paraId="0BF4F8A1" w14:textId="77777777" w:rsidR="00BB6455" w:rsidRPr="00BB6455" w:rsidRDefault="00BB6455" w:rsidP="00B205BA">
      <w:pPr>
        <w:spacing w:after="120" w:line="240" w:lineRule="auto"/>
        <w:rPr>
          <w:rFonts w:cs="Arial"/>
          <w:b/>
          <w:bCs/>
        </w:rPr>
      </w:pPr>
      <w:r w:rsidRPr="00BB6455">
        <w:rPr>
          <w:rFonts w:cs="Arial"/>
          <w:b/>
          <w:bCs/>
        </w:rPr>
        <w:t>Reto 5.9. Mantener, actualizar y dar seguimiento a los procesos de gestión documental del Ayuntamiento, en apego a la normatividad vigente aplicable.</w:t>
      </w:r>
    </w:p>
    <w:p w14:paraId="4FF2FCBF" w14:textId="77777777" w:rsidR="00BB6455" w:rsidRPr="00BB6455" w:rsidRDefault="00BB6455" w:rsidP="00B205BA">
      <w:pPr>
        <w:spacing w:after="120" w:line="240" w:lineRule="auto"/>
        <w:rPr>
          <w:rFonts w:cs="Arial"/>
          <w:b/>
          <w:bCs/>
        </w:rPr>
      </w:pPr>
      <w:r w:rsidRPr="00BB6455">
        <w:rPr>
          <w:rFonts w:cs="Arial"/>
          <w:b/>
          <w:bCs/>
        </w:rPr>
        <w:t>Estrategia 5.9.1. Optimizar la organización del archivo histórico municipal para beneficiar a la comunidad.</w:t>
      </w:r>
    </w:p>
    <w:p w14:paraId="37D7176F"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51AAD451" w14:textId="77777777" w:rsidR="00BB6455" w:rsidRPr="00410DE9" w:rsidRDefault="00BB6455" w:rsidP="00B205BA">
      <w:pPr>
        <w:spacing w:after="120" w:line="240" w:lineRule="auto"/>
        <w:rPr>
          <w:rFonts w:cs="Arial"/>
        </w:rPr>
      </w:pPr>
      <w:r w:rsidRPr="00410DE9">
        <w:rPr>
          <w:rFonts w:cs="Arial"/>
        </w:rPr>
        <w:t>5.9.1.1. Inventariar el acervo histórico municipal con el apoyo y colaboración de dependencias federales y estatales, bajo la normatividad vigente.</w:t>
      </w:r>
    </w:p>
    <w:p w14:paraId="219FFCD9" w14:textId="77777777" w:rsidR="00BB6455" w:rsidRPr="00410DE9" w:rsidRDefault="00BB6455" w:rsidP="00B205BA">
      <w:pPr>
        <w:spacing w:after="120" w:line="240" w:lineRule="auto"/>
        <w:rPr>
          <w:rFonts w:cs="Arial"/>
        </w:rPr>
      </w:pPr>
      <w:r w:rsidRPr="00410DE9">
        <w:rPr>
          <w:rFonts w:cs="Arial"/>
        </w:rPr>
        <w:t>5.9.1.2. Revisar en conjunto con las Dependencias Municipales los expedientes resguardados en el archivo de concentración municipal y pertenecientes a las distintas Unidades Administrativas, con el propósito de identificar documentos y series que sean susceptibles de baja documental, conforme a las disposiciones normativas aplicables.</w:t>
      </w:r>
    </w:p>
    <w:p w14:paraId="11B3C702" w14:textId="77777777" w:rsidR="00BB6455" w:rsidRPr="00BB6455" w:rsidRDefault="00BB6455" w:rsidP="00B205BA">
      <w:pPr>
        <w:spacing w:after="120" w:line="240" w:lineRule="auto"/>
        <w:rPr>
          <w:rFonts w:cs="Arial"/>
          <w:b/>
          <w:bCs/>
        </w:rPr>
      </w:pPr>
      <w:r w:rsidRPr="00BB6455">
        <w:rPr>
          <w:rFonts w:cs="Arial"/>
          <w:b/>
          <w:bCs/>
        </w:rPr>
        <w:t>Estrategia 5.9.2. Implementar y mejorar la gestión documental y los procesos archivísticos en las Dependencias y Organismos del Ayuntamiento de Hermosillo.</w:t>
      </w:r>
    </w:p>
    <w:p w14:paraId="38E657B7" w14:textId="77777777" w:rsidR="00BB6455" w:rsidRPr="00410DE9" w:rsidRDefault="00BB6455" w:rsidP="00B205BA">
      <w:pPr>
        <w:spacing w:after="120" w:line="240" w:lineRule="auto"/>
        <w:rPr>
          <w:rFonts w:cs="Arial"/>
        </w:rPr>
      </w:pPr>
      <w:r w:rsidRPr="00410DE9">
        <w:rPr>
          <w:rFonts w:cs="Arial"/>
        </w:rPr>
        <w:t xml:space="preserve">Líneas de acción: </w:t>
      </w:r>
    </w:p>
    <w:p w14:paraId="77BFE5F6" w14:textId="77777777" w:rsidR="00BB6455" w:rsidRPr="00410DE9" w:rsidRDefault="00BB6455" w:rsidP="00B205BA">
      <w:pPr>
        <w:spacing w:after="120" w:line="240" w:lineRule="auto"/>
        <w:rPr>
          <w:rFonts w:cs="Arial"/>
        </w:rPr>
      </w:pPr>
      <w:r w:rsidRPr="00410DE9">
        <w:rPr>
          <w:rFonts w:cs="Arial"/>
        </w:rPr>
        <w:lastRenderedPageBreak/>
        <w:t>5.9.2.1. Realizar Sesiones Ordinarias del Grupo Interdisciplinario de Valoración Documental.</w:t>
      </w:r>
    </w:p>
    <w:p w14:paraId="17E61072" w14:textId="77777777" w:rsidR="00BB6455" w:rsidRPr="00410DE9" w:rsidRDefault="00BB6455" w:rsidP="00B205BA">
      <w:pPr>
        <w:spacing w:after="120" w:line="240" w:lineRule="auto"/>
        <w:rPr>
          <w:rFonts w:cs="Arial"/>
        </w:rPr>
      </w:pPr>
      <w:r w:rsidRPr="00410DE9">
        <w:rPr>
          <w:rFonts w:cs="Arial"/>
        </w:rPr>
        <w:t>5.9.2.2. Realizar acciones de cumplimiento ante el Registro Nacional de Archivos.</w:t>
      </w:r>
    </w:p>
    <w:p w14:paraId="7011A57A" w14:textId="77777777" w:rsidR="00BB6455" w:rsidRPr="00410DE9" w:rsidRDefault="00BB6455" w:rsidP="00B205BA">
      <w:pPr>
        <w:spacing w:after="120" w:line="240" w:lineRule="auto"/>
        <w:rPr>
          <w:rFonts w:cs="Arial"/>
        </w:rPr>
      </w:pPr>
      <w:r w:rsidRPr="00410DE9">
        <w:rPr>
          <w:rFonts w:cs="Arial"/>
        </w:rPr>
        <w:t>5.9.2.3. Elaborar el Programa Anual de Desarrollo Archivístico (PADA).</w:t>
      </w:r>
    </w:p>
    <w:p w14:paraId="70061EC5" w14:textId="77777777" w:rsidR="00BB6455" w:rsidRPr="00BB6455" w:rsidRDefault="00BB6455" w:rsidP="00B205BA">
      <w:pPr>
        <w:spacing w:after="120" w:line="240" w:lineRule="auto"/>
        <w:rPr>
          <w:rFonts w:cs="Arial"/>
          <w:b/>
          <w:bCs/>
        </w:rPr>
      </w:pPr>
      <w:r w:rsidRPr="00BB6455">
        <w:rPr>
          <w:rFonts w:cs="Arial"/>
          <w:b/>
          <w:bCs/>
        </w:rPr>
        <w:t>Reto 5.10. Gestionar, supervisar y coordinar los asuntos jurídicos de la administración pública municipal para garantizar que sus acciones se realicen conforme a la legalidad.</w:t>
      </w:r>
    </w:p>
    <w:p w14:paraId="35D769AC" w14:textId="77777777" w:rsidR="00BB6455" w:rsidRPr="00BB6455" w:rsidRDefault="00BB6455" w:rsidP="00B205BA">
      <w:pPr>
        <w:spacing w:after="120" w:line="240" w:lineRule="auto"/>
        <w:rPr>
          <w:rFonts w:cs="Arial"/>
          <w:b/>
          <w:bCs/>
        </w:rPr>
      </w:pPr>
      <w:r w:rsidRPr="00BB6455">
        <w:rPr>
          <w:rFonts w:cs="Arial"/>
          <w:b/>
          <w:bCs/>
        </w:rPr>
        <w:t xml:space="preserve">Estrategia 5.10.1. Fomentar que todas las acciones y decisiones del Ayuntamiento cumplan con las disposiciones legales aplicables, mediante la unificación de criterios para la emisión de dictámenes y opiniones jurídicas en materia de contratos, convenios, reglamentos y normativas.   </w:t>
      </w:r>
    </w:p>
    <w:p w14:paraId="23FDB9F0" w14:textId="77777777" w:rsidR="00BB6455" w:rsidRPr="00BB6455" w:rsidRDefault="00BB6455" w:rsidP="00B205BA">
      <w:pPr>
        <w:spacing w:after="120" w:line="240" w:lineRule="auto"/>
        <w:rPr>
          <w:rFonts w:cs="Arial"/>
        </w:rPr>
      </w:pPr>
      <w:r w:rsidRPr="00BB6455">
        <w:rPr>
          <w:rFonts w:cs="Arial"/>
        </w:rPr>
        <w:t>Líneas de acción: 5.10.1.1. Establecer sistemas de control y procedimientos que mejoren la eficiencia y agilidad en la resolución de los asuntos jurídicos.</w:t>
      </w:r>
    </w:p>
    <w:p w14:paraId="57D2E67B" w14:textId="77777777" w:rsidR="00BB6455" w:rsidRPr="00410DE9" w:rsidRDefault="00BB6455" w:rsidP="00B205BA">
      <w:pPr>
        <w:spacing w:after="120" w:line="240" w:lineRule="auto"/>
        <w:rPr>
          <w:rFonts w:cs="Arial"/>
        </w:rPr>
      </w:pPr>
      <w:r w:rsidRPr="00410DE9">
        <w:rPr>
          <w:rFonts w:cs="Arial"/>
        </w:rPr>
        <w:t>5.10.1.2. Proveer asesoramiento jurídico para emitir opiniones sobre acuerdos, contratos, convenios, dictámenes y otros actos jurídicos que deban ser suscritos por los servidores públicos del Ayuntamiento, garantizando que estos se alineen con la normativa vigente.</w:t>
      </w:r>
    </w:p>
    <w:p w14:paraId="50E0E2A9" w14:textId="77777777" w:rsidR="00BB6455" w:rsidRPr="00410DE9" w:rsidRDefault="00BB6455" w:rsidP="00B205BA">
      <w:pPr>
        <w:spacing w:after="120" w:line="240" w:lineRule="auto"/>
        <w:rPr>
          <w:rFonts w:cs="Arial"/>
        </w:rPr>
      </w:pPr>
      <w:r w:rsidRPr="00410DE9">
        <w:rPr>
          <w:rFonts w:cs="Arial"/>
        </w:rPr>
        <w:t xml:space="preserve">5.10.1.3. Proporcionar apoyo jurídico a las dependencias municipales, redactando demandas y promociones para trámites judiciales y procesales. </w:t>
      </w:r>
    </w:p>
    <w:p w14:paraId="5E644F66" w14:textId="77777777" w:rsidR="00BB6455" w:rsidRPr="00410DE9" w:rsidRDefault="00BB6455" w:rsidP="00B205BA">
      <w:pPr>
        <w:spacing w:after="120" w:line="240" w:lineRule="auto"/>
        <w:rPr>
          <w:rFonts w:cs="Arial"/>
        </w:rPr>
      </w:pPr>
      <w:r w:rsidRPr="00410DE9">
        <w:rPr>
          <w:rFonts w:cs="Arial"/>
        </w:rPr>
        <w:t>5.10.1.4. Dar seguimiento a las quejas por violaciones a derechos humanos ante instancias donde el Ayuntamiento tenga interés.</w:t>
      </w:r>
    </w:p>
    <w:p w14:paraId="4946EC5F" w14:textId="77777777" w:rsidR="00BB6455" w:rsidRPr="00410DE9" w:rsidRDefault="00BB6455" w:rsidP="00B205BA">
      <w:pPr>
        <w:spacing w:after="120" w:line="240" w:lineRule="auto"/>
        <w:rPr>
          <w:rFonts w:cs="Arial"/>
        </w:rPr>
      </w:pPr>
      <w:r w:rsidRPr="00410DE9">
        <w:rPr>
          <w:rFonts w:cs="Arial"/>
        </w:rPr>
        <w:t>5.10.1.5. Actualizar la normatividad de la Administración Pública Municipal.</w:t>
      </w:r>
    </w:p>
    <w:p w14:paraId="40E6DD11" w14:textId="77777777" w:rsidR="00BB6455" w:rsidRPr="00410DE9" w:rsidRDefault="00BB6455" w:rsidP="00B205BA">
      <w:pPr>
        <w:spacing w:after="120" w:line="240" w:lineRule="auto"/>
        <w:rPr>
          <w:rFonts w:cs="Arial"/>
        </w:rPr>
      </w:pPr>
      <w:r w:rsidRPr="00410DE9">
        <w:rPr>
          <w:rFonts w:cs="Arial"/>
        </w:rPr>
        <w:t xml:space="preserve">5.10.1.6. Administrar la Oficialía de Partes Única del Ayuntamiento para asegurar la recepción eficiente y oportuna de documentos. </w:t>
      </w:r>
    </w:p>
    <w:p w14:paraId="73BBA5DF" w14:textId="77777777" w:rsidR="00BB6455" w:rsidRPr="00410DE9" w:rsidRDefault="00BB6455" w:rsidP="00B205BA">
      <w:pPr>
        <w:spacing w:after="120" w:line="240" w:lineRule="auto"/>
        <w:rPr>
          <w:rFonts w:cs="Arial"/>
        </w:rPr>
      </w:pPr>
      <w:r w:rsidRPr="00410DE9">
        <w:rPr>
          <w:rFonts w:cs="Arial"/>
        </w:rPr>
        <w:t>5.10.1.7. Atender los asuntos relacionados con la Responsabilidad Patrimonial del Ayuntamiento, asegurando que se sustancien los procedimientos hasta su resolución, cumpliendo con los plazos y estándares legales establecidos.</w:t>
      </w:r>
    </w:p>
    <w:p w14:paraId="00D74DE8" w14:textId="77777777" w:rsidR="00BB6455" w:rsidRPr="00BB6455" w:rsidRDefault="00BB6455" w:rsidP="00B205BA">
      <w:pPr>
        <w:spacing w:after="120" w:line="240" w:lineRule="auto"/>
        <w:rPr>
          <w:rFonts w:cs="Arial"/>
          <w:b/>
          <w:bCs/>
        </w:rPr>
      </w:pPr>
      <w:r w:rsidRPr="00BB6455">
        <w:rPr>
          <w:rFonts w:cs="Arial"/>
          <w:b/>
          <w:bCs/>
        </w:rPr>
        <w:t>Reto 5.11. Informar a la sociedad sobre las políticas públicas, programas y servicios implementadas por el Ayuntamiento de Hermosillo, a fin de beneficiar a las y los ciudadanos de manera transparente y precisa obteniendo así el mayor impacto posible.</w:t>
      </w:r>
    </w:p>
    <w:p w14:paraId="5ED4745A" w14:textId="77777777" w:rsidR="00BB6455" w:rsidRPr="00BB6455" w:rsidRDefault="00BB6455" w:rsidP="00B205BA">
      <w:pPr>
        <w:spacing w:after="120" w:line="240" w:lineRule="auto"/>
        <w:rPr>
          <w:rFonts w:cs="Arial"/>
          <w:b/>
          <w:bCs/>
        </w:rPr>
      </w:pPr>
      <w:r w:rsidRPr="00BB6455">
        <w:rPr>
          <w:rFonts w:cs="Arial"/>
          <w:b/>
          <w:bCs/>
        </w:rPr>
        <w:t>Estrategia 5.11.1. Desarrollar campañas de comunicación para difundir de manera efectiva a la ciudadanía las acciones, programas y campañas del Gobierno Municipal, determinando los medios de comunicación con mayor impacto de acuerdo con el segmento requerido.</w:t>
      </w:r>
    </w:p>
    <w:p w14:paraId="17808DF2"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39D23569" w14:textId="77777777" w:rsidR="00BB6455" w:rsidRPr="00410DE9" w:rsidRDefault="00BB6455" w:rsidP="00B205BA">
      <w:pPr>
        <w:spacing w:after="120" w:line="240" w:lineRule="auto"/>
        <w:rPr>
          <w:rFonts w:cs="Arial"/>
        </w:rPr>
      </w:pPr>
      <w:r w:rsidRPr="00410DE9">
        <w:rPr>
          <w:rFonts w:cs="Arial"/>
        </w:rPr>
        <w:t>5.11.1.1. Proporcionar cobertura informativa y difusión de las acciones del Gobierno Municipal generando boletines informativos con soporte en los medios visuales.</w:t>
      </w:r>
    </w:p>
    <w:p w14:paraId="5057D556" w14:textId="77777777" w:rsidR="00BB6455" w:rsidRPr="00410DE9" w:rsidRDefault="00BB6455" w:rsidP="00B205BA">
      <w:pPr>
        <w:spacing w:after="120" w:line="240" w:lineRule="auto"/>
        <w:rPr>
          <w:rFonts w:cs="Arial"/>
        </w:rPr>
      </w:pPr>
      <w:r w:rsidRPr="00410DE9">
        <w:rPr>
          <w:rFonts w:cs="Arial"/>
        </w:rPr>
        <w:t>5.11.1.2. Generar acciones de difusión y publicar las actividades de la administración pública municipal en redes sociales con mayor penetración en la ciudadanía de Hermosillo, conforme a las disposiciones normativas aplicables.</w:t>
      </w:r>
    </w:p>
    <w:p w14:paraId="54A01610" w14:textId="77777777" w:rsidR="00BB6455" w:rsidRPr="00410DE9" w:rsidRDefault="00BB6455" w:rsidP="00B205BA">
      <w:pPr>
        <w:spacing w:after="120" w:line="240" w:lineRule="auto"/>
        <w:rPr>
          <w:rFonts w:cs="Arial"/>
        </w:rPr>
      </w:pPr>
      <w:r w:rsidRPr="00410DE9">
        <w:rPr>
          <w:rFonts w:cs="Arial"/>
        </w:rPr>
        <w:lastRenderedPageBreak/>
        <w:t>5.11.1.3. Diseñar, desarrollar y difundir las campañas informáticas del Gobierno Municipal, utilizando los atributos de identificación y reconocimiento establecidos para el municipio de Hermosillo.</w:t>
      </w:r>
    </w:p>
    <w:p w14:paraId="1C7B4B24" w14:textId="77777777" w:rsidR="00BB6455" w:rsidRPr="00410DE9" w:rsidRDefault="00BB6455" w:rsidP="00B205BA">
      <w:pPr>
        <w:spacing w:after="120" w:line="240" w:lineRule="auto"/>
        <w:rPr>
          <w:rFonts w:cs="Arial"/>
        </w:rPr>
      </w:pPr>
      <w:r w:rsidRPr="00410DE9">
        <w:rPr>
          <w:rFonts w:cs="Arial"/>
        </w:rPr>
        <w:t>5.11.1.4. Proporcionar apoyo a las dependencias y entidades para la construcción de acciones de información y comunicación acordes a la plataforma de comunicación institucional.</w:t>
      </w:r>
    </w:p>
    <w:p w14:paraId="40FE6A10" w14:textId="77777777" w:rsidR="00BB6455" w:rsidRPr="00BB6455" w:rsidRDefault="00BB6455" w:rsidP="00B205BA">
      <w:pPr>
        <w:spacing w:after="120" w:line="240" w:lineRule="auto"/>
        <w:rPr>
          <w:rFonts w:cs="Arial"/>
          <w:b/>
          <w:bCs/>
        </w:rPr>
      </w:pPr>
      <w:r w:rsidRPr="00BB6455">
        <w:rPr>
          <w:rFonts w:cs="Arial"/>
          <w:b/>
          <w:bCs/>
        </w:rPr>
        <w:t>Reto 5.12. Consolidar la modernización catastral como un sistema permanente, con mecanismos que adapten de forma continua la base de información catastral a la realidad cambiante y coadyuvar en la planificación urbana a través de la gestión efectiva de datos catastrales.</w:t>
      </w:r>
    </w:p>
    <w:p w14:paraId="7B37B450" w14:textId="77777777" w:rsidR="00BB6455" w:rsidRPr="00BB6455" w:rsidRDefault="00BB6455" w:rsidP="00B205BA">
      <w:pPr>
        <w:spacing w:after="120" w:line="240" w:lineRule="auto"/>
        <w:rPr>
          <w:rFonts w:cs="Arial"/>
          <w:b/>
          <w:bCs/>
        </w:rPr>
      </w:pPr>
      <w:r w:rsidRPr="00BB6455">
        <w:rPr>
          <w:rFonts w:cs="Arial"/>
          <w:b/>
          <w:bCs/>
        </w:rPr>
        <w:t>Estrategia 5.12.1. Mantener las actualizaciones periódicas de la base de datos catastral con el uso de la tecnología de vanguardia.</w:t>
      </w:r>
    </w:p>
    <w:p w14:paraId="230D4C5D" w14:textId="77777777" w:rsidR="00BB6455" w:rsidRPr="00410DE9" w:rsidRDefault="00BB6455" w:rsidP="00B205BA">
      <w:pPr>
        <w:spacing w:after="120" w:line="240" w:lineRule="auto"/>
        <w:rPr>
          <w:rFonts w:cs="Arial"/>
        </w:rPr>
      </w:pPr>
      <w:r w:rsidRPr="00410DE9">
        <w:rPr>
          <w:rFonts w:cs="Arial"/>
        </w:rPr>
        <w:t>Líneas de acción:</w:t>
      </w:r>
    </w:p>
    <w:p w14:paraId="50374375" w14:textId="77777777" w:rsidR="00BB6455" w:rsidRPr="00410DE9" w:rsidRDefault="00BB6455" w:rsidP="00B205BA">
      <w:pPr>
        <w:spacing w:after="120" w:line="240" w:lineRule="auto"/>
        <w:rPr>
          <w:rFonts w:cs="Arial"/>
        </w:rPr>
      </w:pPr>
      <w:r w:rsidRPr="00410DE9">
        <w:rPr>
          <w:rFonts w:cs="Arial"/>
        </w:rPr>
        <w:t>5.12.1.1. Actualizar la cartografía conforme al Programa Municipal de Desarrollo Urbano de las fincas rústicas y urbanas del territorio del municipio de Hermosillo que refleje los cambios en el uso del suelo, nuevas construcciones y modificaciones en las propiedades.</w:t>
      </w:r>
    </w:p>
    <w:p w14:paraId="7323B7C4" w14:textId="77777777" w:rsidR="00BB6455" w:rsidRPr="00410DE9" w:rsidRDefault="00BB6455" w:rsidP="00B205BA">
      <w:pPr>
        <w:spacing w:after="120" w:line="240" w:lineRule="auto"/>
        <w:rPr>
          <w:rFonts w:cs="Arial"/>
        </w:rPr>
      </w:pPr>
      <w:r w:rsidRPr="00410DE9">
        <w:rPr>
          <w:rFonts w:cs="Arial"/>
        </w:rPr>
        <w:t>5.12.1.2. Gestionar los recursos para el equipamiento tecnológico para modernizar los procesos catastrales con el fin de tener un mejor control y verificación de la información catastral.</w:t>
      </w:r>
    </w:p>
    <w:p w14:paraId="3C4DD95B" w14:textId="77777777" w:rsidR="00BB6455" w:rsidRPr="00410DE9" w:rsidRDefault="00BB6455" w:rsidP="00B205BA">
      <w:pPr>
        <w:spacing w:after="120" w:line="240" w:lineRule="auto"/>
        <w:rPr>
          <w:rFonts w:cs="Arial"/>
        </w:rPr>
      </w:pPr>
      <w:r w:rsidRPr="00410DE9">
        <w:rPr>
          <w:rFonts w:cs="Arial"/>
        </w:rPr>
        <w:t>5.12.1.3. Mantener un sistema de digitalización de registros catastrales y archivo físico que facilite el acceso, búsqueda y actualización de la información.</w:t>
      </w:r>
    </w:p>
    <w:p w14:paraId="11985B57" w14:textId="77777777" w:rsidR="00BB6455" w:rsidRPr="00410DE9" w:rsidRDefault="00BB6455" w:rsidP="00B205BA">
      <w:pPr>
        <w:spacing w:after="120" w:line="240" w:lineRule="auto"/>
        <w:rPr>
          <w:rFonts w:cs="Arial"/>
        </w:rPr>
      </w:pPr>
      <w:r w:rsidRPr="00410DE9">
        <w:rPr>
          <w:rFonts w:cs="Arial"/>
        </w:rPr>
        <w:t>5.12.1.4. Fortalecer la depuración de la base de datos alfanumérica con información geoespacial, así como la ortorectificación de imágenes aéreas para la integridad de los datos a largo plazo.</w:t>
      </w:r>
    </w:p>
    <w:p w14:paraId="1CF4E5EF" w14:textId="77777777" w:rsidR="00BB6455" w:rsidRPr="00BB6455" w:rsidRDefault="00BB6455" w:rsidP="00B205BA">
      <w:pPr>
        <w:spacing w:after="120" w:line="240" w:lineRule="auto"/>
        <w:rPr>
          <w:rFonts w:cs="Arial"/>
          <w:b/>
          <w:bCs/>
        </w:rPr>
      </w:pPr>
      <w:r w:rsidRPr="00BB6455">
        <w:rPr>
          <w:rFonts w:cs="Arial"/>
          <w:b/>
          <w:bCs/>
        </w:rPr>
        <w:t>Estrategia 5.12.2. Proporcionar atención al ciudadano en servicios catastrales de forma ágil y apegada al marco normativo.</w:t>
      </w:r>
    </w:p>
    <w:p w14:paraId="7A25C6AE"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1643FEA5" w14:textId="77777777" w:rsidR="00BB6455" w:rsidRPr="00410DE9" w:rsidRDefault="00BB6455" w:rsidP="00B205BA">
      <w:pPr>
        <w:spacing w:after="120" w:line="240" w:lineRule="auto"/>
        <w:rPr>
          <w:rFonts w:cs="Arial"/>
        </w:rPr>
      </w:pPr>
      <w:r w:rsidRPr="00410DE9">
        <w:rPr>
          <w:rFonts w:cs="Arial"/>
        </w:rPr>
        <w:t>5.12.2.1. Actualizar la normatividad aplicable a la administración catastral del municipio de Hermosillo</w:t>
      </w:r>
    </w:p>
    <w:p w14:paraId="498CB61D" w14:textId="77777777" w:rsidR="00BB6455" w:rsidRPr="00410DE9" w:rsidRDefault="00BB6455" w:rsidP="00B205BA">
      <w:pPr>
        <w:spacing w:after="120" w:line="240" w:lineRule="auto"/>
        <w:rPr>
          <w:rFonts w:cs="Arial"/>
        </w:rPr>
      </w:pPr>
      <w:r w:rsidRPr="00410DE9">
        <w:rPr>
          <w:rFonts w:cs="Arial"/>
        </w:rPr>
        <w:t>5.12.2.2. Fortalecer las competencias técnicas del personal en el uso de tecnología, conocimientos normativos y técnicos.</w:t>
      </w:r>
    </w:p>
    <w:p w14:paraId="36335CE3" w14:textId="77777777" w:rsidR="00BB6455" w:rsidRPr="00410DE9" w:rsidRDefault="00BB6455" w:rsidP="00B205BA">
      <w:pPr>
        <w:spacing w:after="120" w:line="240" w:lineRule="auto"/>
        <w:rPr>
          <w:rFonts w:cs="Arial"/>
        </w:rPr>
      </w:pPr>
      <w:r w:rsidRPr="00410DE9">
        <w:rPr>
          <w:rFonts w:cs="Arial"/>
        </w:rPr>
        <w:t>5.12.2.3. Consolidar los trámites digitales para agilizar y controlar los procesos catastrales.</w:t>
      </w:r>
    </w:p>
    <w:p w14:paraId="6B7F4EF2" w14:textId="77777777" w:rsidR="00BB6455" w:rsidRPr="00410DE9" w:rsidRDefault="00BB6455" w:rsidP="00B205BA">
      <w:pPr>
        <w:spacing w:after="120" w:line="240" w:lineRule="auto"/>
        <w:rPr>
          <w:rFonts w:cs="Arial"/>
        </w:rPr>
      </w:pPr>
      <w:r w:rsidRPr="00410DE9">
        <w:rPr>
          <w:rFonts w:cs="Arial"/>
        </w:rPr>
        <w:t>5.12.2.4. Llevar a cabo los trámites de servicios catastrales, cartografía, actualización de base de datos, fusiones, subdivisiones, relotificaciones y deslindes.</w:t>
      </w:r>
    </w:p>
    <w:p w14:paraId="0E049BFE" w14:textId="77777777" w:rsidR="00BB6455" w:rsidRPr="00410DE9" w:rsidRDefault="00BB6455" w:rsidP="00B205BA">
      <w:pPr>
        <w:spacing w:after="120" w:line="240" w:lineRule="auto"/>
        <w:rPr>
          <w:rFonts w:cs="Arial"/>
        </w:rPr>
      </w:pPr>
      <w:r w:rsidRPr="00410DE9">
        <w:rPr>
          <w:rFonts w:cs="Arial"/>
        </w:rPr>
        <w:t>5.12.2.5. Validar las manifestaciones de traslado de dominio a través del catastro digital con los mecanismos de control y seguridad que den certeza jurídica a los interesados.</w:t>
      </w:r>
    </w:p>
    <w:p w14:paraId="61E11F56" w14:textId="77777777" w:rsidR="00BB6455" w:rsidRPr="00410DE9" w:rsidRDefault="00BB6455" w:rsidP="00B205BA">
      <w:pPr>
        <w:spacing w:after="120" w:line="240" w:lineRule="auto"/>
        <w:rPr>
          <w:rFonts w:cs="Arial"/>
        </w:rPr>
      </w:pPr>
      <w:r w:rsidRPr="00410DE9">
        <w:rPr>
          <w:rFonts w:cs="Arial"/>
        </w:rPr>
        <w:t>5.12.2.6. Evaluar la gestión y satisfacción de los ciudadanos que realizan trámites catastrales para generar acciones de mejora.</w:t>
      </w:r>
    </w:p>
    <w:p w14:paraId="147C0BB3" w14:textId="77777777" w:rsidR="00BB6455" w:rsidRPr="00410DE9" w:rsidRDefault="00BB6455" w:rsidP="00B205BA">
      <w:pPr>
        <w:spacing w:after="120" w:line="240" w:lineRule="auto"/>
        <w:rPr>
          <w:rFonts w:cs="Arial"/>
        </w:rPr>
      </w:pPr>
      <w:r w:rsidRPr="00410DE9">
        <w:rPr>
          <w:rFonts w:cs="Arial"/>
        </w:rPr>
        <w:t>5.12.2.7. Optimizar la programación de rutas para las visitas de levantamiento y actualización de cartografía para la conservación de información catastral y la valuación del predio.</w:t>
      </w:r>
    </w:p>
    <w:p w14:paraId="75D98341" w14:textId="77777777" w:rsidR="00BB6455" w:rsidRPr="00BB6455" w:rsidRDefault="00BB6455" w:rsidP="00B205BA">
      <w:pPr>
        <w:spacing w:after="120" w:line="240" w:lineRule="auto"/>
        <w:rPr>
          <w:rFonts w:cs="Arial"/>
          <w:b/>
          <w:bCs/>
        </w:rPr>
      </w:pPr>
      <w:r w:rsidRPr="00BB6455">
        <w:rPr>
          <w:rFonts w:cs="Arial"/>
          <w:b/>
          <w:bCs/>
        </w:rPr>
        <w:lastRenderedPageBreak/>
        <w:t>Estrategia 5.12.3. Fortalecer la coordinación interinstitucional y con organismos públicos y privados para la evolución del catastro municipal y los valores del territorio.</w:t>
      </w:r>
    </w:p>
    <w:p w14:paraId="348D3B6A" w14:textId="77777777" w:rsidR="00BB6455" w:rsidRPr="00410DE9" w:rsidRDefault="00BB6455" w:rsidP="00B205BA">
      <w:pPr>
        <w:spacing w:after="120" w:line="240" w:lineRule="auto"/>
        <w:rPr>
          <w:rFonts w:cs="Arial"/>
        </w:rPr>
      </w:pPr>
      <w:r w:rsidRPr="00410DE9">
        <w:rPr>
          <w:rFonts w:cs="Arial"/>
        </w:rPr>
        <w:t>Líneas de acción:</w:t>
      </w:r>
    </w:p>
    <w:p w14:paraId="292D3371" w14:textId="77777777" w:rsidR="00BB6455" w:rsidRPr="00410DE9" w:rsidRDefault="00BB6455" w:rsidP="00B205BA">
      <w:pPr>
        <w:spacing w:after="120" w:line="240" w:lineRule="auto"/>
        <w:rPr>
          <w:rFonts w:cs="Arial"/>
        </w:rPr>
      </w:pPr>
      <w:r w:rsidRPr="00410DE9">
        <w:rPr>
          <w:rFonts w:cs="Arial"/>
        </w:rPr>
        <w:t>5.12.3.1. Coordinar reuniones con diversas dependencias de los tres niveles de gobierno, con la finalidad de contar con un inventario de predios actualizado y con su respectivo sustento legal.</w:t>
      </w:r>
    </w:p>
    <w:p w14:paraId="461B3909" w14:textId="77777777" w:rsidR="00BB6455" w:rsidRPr="00410DE9" w:rsidRDefault="00BB6455" w:rsidP="00B205BA">
      <w:pPr>
        <w:spacing w:after="120" w:line="240" w:lineRule="auto"/>
        <w:rPr>
          <w:rFonts w:cs="Arial"/>
        </w:rPr>
      </w:pPr>
      <w:r w:rsidRPr="00410DE9">
        <w:rPr>
          <w:rFonts w:cs="Arial"/>
        </w:rPr>
        <w:t>5.12.3.2. Participar en foros, reuniones y grupos de trabajo en materia de desarrollo urbano y gestión catastral.</w:t>
      </w:r>
    </w:p>
    <w:p w14:paraId="1D67F6F2" w14:textId="77777777" w:rsidR="00BB6455" w:rsidRPr="00410DE9" w:rsidRDefault="00BB6455" w:rsidP="00B205BA">
      <w:pPr>
        <w:spacing w:after="120" w:line="240" w:lineRule="auto"/>
        <w:rPr>
          <w:rFonts w:cs="Arial"/>
        </w:rPr>
      </w:pPr>
      <w:r w:rsidRPr="00410DE9">
        <w:rPr>
          <w:rFonts w:cs="Arial"/>
        </w:rPr>
        <w:t>5.12.3.3. Comunicar a las notarías las disposiciones normativas y operativas aplicables.</w:t>
      </w:r>
    </w:p>
    <w:p w14:paraId="3879723D" w14:textId="77777777" w:rsidR="00BB6455" w:rsidRPr="00BB6455" w:rsidRDefault="00BB6455" w:rsidP="00B205BA">
      <w:pPr>
        <w:spacing w:after="120" w:line="240" w:lineRule="auto"/>
        <w:rPr>
          <w:rFonts w:cs="Arial"/>
          <w:b/>
          <w:bCs/>
        </w:rPr>
      </w:pPr>
      <w:r w:rsidRPr="00BB6455">
        <w:rPr>
          <w:rFonts w:cs="Arial"/>
          <w:b/>
          <w:bCs/>
        </w:rPr>
        <w:t>Reto 5.13. Impulsar el Programa de Fortalecimiento Financiero 2.0, con el fin del incrementar los ingresos, hacer más eficientes los egresos y la sostenibilidad de la deuda municipal.</w:t>
      </w:r>
    </w:p>
    <w:p w14:paraId="26205D36" w14:textId="77777777" w:rsidR="00BB6455" w:rsidRPr="00BB6455" w:rsidRDefault="00BB6455" w:rsidP="00B205BA">
      <w:pPr>
        <w:spacing w:after="120" w:line="240" w:lineRule="auto"/>
        <w:rPr>
          <w:rFonts w:cs="Arial"/>
          <w:b/>
          <w:bCs/>
        </w:rPr>
      </w:pPr>
      <w:r w:rsidRPr="00BB6455">
        <w:rPr>
          <w:rFonts w:cs="Arial"/>
          <w:b/>
          <w:bCs/>
        </w:rPr>
        <w:t>Estrategia 5.13.1. Establecer y ejecutar un programa permanente de fortalecimiento del cumplimiento de obligaciones fiscales municipales.</w:t>
      </w:r>
    </w:p>
    <w:p w14:paraId="42A4AC4C"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4272A49E" w14:textId="77777777" w:rsidR="00BB6455" w:rsidRPr="00410DE9" w:rsidRDefault="00BB6455" w:rsidP="00B205BA">
      <w:pPr>
        <w:spacing w:after="120" w:line="240" w:lineRule="auto"/>
        <w:rPr>
          <w:rFonts w:cs="Arial"/>
        </w:rPr>
      </w:pPr>
      <w:r w:rsidRPr="00410DE9">
        <w:rPr>
          <w:rFonts w:cs="Arial"/>
        </w:rPr>
        <w:t>5.13.1.1. Fortalecer los convenios de intercambio de información con dependencias locales y federales y otras instancias, para hacer más eficiente la recaudación de ingresos de las diferentes contribuciones municipales.</w:t>
      </w:r>
    </w:p>
    <w:p w14:paraId="43222667" w14:textId="77777777" w:rsidR="00BB6455" w:rsidRPr="00410DE9" w:rsidRDefault="00BB6455" w:rsidP="00B205BA">
      <w:pPr>
        <w:spacing w:after="120" w:line="240" w:lineRule="auto"/>
        <w:rPr>
          <w:rFonts w:cs="Arial"/>
        </w:rPr>
      </w:pPr>
      <w:r w:rsidRPr="00410DE9">
        <w:rPr>
          <w:rFonts w:cs="Arial"/>
        </w:rPr>
        <w:t>5.13.1.2. Instrumentar Bases Generales de Estímulos Fiscales y Programas de Descuentos en beneficio de las y los hermosillenses y los distintos agentes económicos del municipio, para incrementar los niveles de la recaudación de los ingresos de las diversas contribuciones municipales.</w:t>
      </w:r>
    </w:p>
    <w:p w14:paraId="10281191" w14:textId="77777777" w:rsidR="00BB6455" w:rsidRPr="00410DE9" w:rsidRDefault="00BB6455" w:rsidP="00B205BA">
      <w:pPr>
        <w:spacing w:after="120" w:line="240" w:lineRule="auto"/>
        <w:rPr>
          <w:rFonts w:cs="Arial"/>
        </w:rPr>
      </w:pPr>
      <w:r w:rsidRPr="00410DE9">
        <w:rPr>
          <w:rFonts w:cs="Arial"/>
        </w:rPr>
        <w:t>5.13.1.3. Realizar e intensificar las campañas publicitarias que incentiven el cumplimiento de las obligaciones fiscales en tiempo y forma, logrando una mayor presencia fiscal.</w:t>
      </w:r>
    </w:p>
    <w:p w14:paraId="6C369A7A" w14:textId="77777777" w:rsidR="00BB6455" w:rsidRPr="00410DE9" w:rsidRDefault="00BB6455" w:rsidP="00B205BA">
      <w:pPr>
        <w:spacing w:after="120" w:line="240" w:lineRule="auto"/>
        <w:rPr>
          <w:rFonts w:cs="Arial"/>
        </w:rPr>
      </w:pPr>
      <w:r w:rsidRPr="00410DE9">
        <w:rPr>
          <w:rFonts w:cs="Arial"/>
        </w:rPr>
        <w:t>5.13.1.4. Elaborar e implementar acciones extraordinarias para la recuperación de cuentas en rezago de grandes contribuyentes.</w:t>
      </w:r>
    </w:p>
    <w:p w14:paraId="05D11A02" w14:textId="77777777" w:rsidR="00BB6455" w:rsidRPr="00410DE9" w:rsidRDefault="00BB6455" w:rsidP="00B205BA">
      <w:pPr>
        <w:spacing w:after="120" w:line="240" w:lineRule="auto"/>
        <w:rPr>
          <w:rFonts w:cs="Arial"/>
        </w:rPr>
      </w:pPr>
      <w:r w:rsidRPr="00410DE9">
        <w:rPr>
          <w:rFonts w:cs="Arial"/>
        </w:rPr>
        <w:t xml:space="preserve">5.13.1.5. Fortalecer el equipo de ejecutores fiscales de Tesorería Municipal, para llevar a cabo una recuperación más eficiente de las cuentas recientes que se encuentra en estado de rezago o incumplimiento. </w:t>
      </w:r>
    </w:p>
    <w:p w14:paraId="41DF708E" w14:textId="77777777" w:rsidR="00BB6455" w:rsidRPr="00410DE9" w:rsidRDefault="00BB6455" w:rsidP="00B205BA">
      <w:pPr>
        <w:spacing w:after="120" w:line="240" w:lineRule="auto"/>
        <w:rPr>
          <w:rFonts w:cs="Arial"/>
        </w:rPr>
      </w:pPr>
      <w:r w:rsidRPr="00410DE9">
        <w:rPr>
          <w:rFonts w:cs="Arial"/>
        </w:rPr>
        <w:t>5.13.1.6. Acercar los servicios municipales a los ciudadanos, mediante la instalación Centros de Atención Itinerantes en diferentes colonias y localidades del municipio.</w:t>
      </w:r>
    </w:p>
    <w:p w14:paraId="33EDC969" w14:textId="77777777" w:rsidR="00BB6455" w:rsidRPr="00410DE9" w:rsidRDefault="00BB6455" w:rsidP="00B205BA">
      <w:pPr>
        <w:spacing w:after="120" w:line="240" w:lineRule="auto"/>
        <w:rPr>
          <w:rFonts w:cs="Arial"/>
        </w:rPr>
      </w:pPr>
      <w:r w:rsidRPr="00410DE9">
        <w:rPr>
          <w:rFonts w:cs="Arial"/>
        </w:rPr>
        <w:t xml:space="preserve">5.13.1.7. Reforzar la coordinación con la dependencia federal SEMARNAT para el seguimiento de las concesiones otorgadas por ZOFEMAT y el cobro oportuno de los derechos. </w:t>
      </w:r>
    </w:p>
    <w:p w14:paraId="4454821C" w14:textId="77777777" w:rsidR="00BB6455" w:rsidRPr="00BB6455" w:rsidRDefault="00BB6455" w:rsidP="00B205BA">
      <w:pPr>
        <w:spacing w:after="120" w:line="240" w:lineRule="auto"/>
        <w:rPr>
          <w:rFonts w:cs="Arial"/>
          <w:b/>
          <w:bCs/>
        </w:rPr>
      </w:pPr>
      <w:r w:rsidRPr="00BB6455">
        <w:rPr>
          <w:rFonts w:cs="Arial"/>
          <w:b/>
          <w:bCs/>
        </w:rPr>
        <w:t>Estrategia 5.13.2. Reforzar las acciones de simplificación tributaria para hacer más eficiente la recaudación.</w:t>
      </w:r>
    </w:p>
    <w:p w14:paraId="79103227" w14:textId="77777777" w:rsidR="00BB6455" w:rsidRPr="00410DE9" w:rsidRDefault="00BB6455" w:rsidP="00B205BA">
      <w:pPr>
        <w:spacing w:after="120" w:line="240" w:lineRule="auto"/>
        <w:rPr>
          <w:rFonts w:cs="Arial"/>
        </w:rPr>
      </w:pPr>
      <w:r w:rsidRPr="00410DE9">
        <w:rPr>
          <w:rFonts w:cs="Arial"/>
        </w:rPr>
        <w:t xml:space="preserve">Líneas de acción: </w:t>
      </w:r>
    </w:p>
    <w:p w14:paraId="7D60F508" w14:textId="77777777" w:rsidR="00BB6455" w:rsidRPr="00410DE9" w:rsidRDefault="00BB6455" w:rsidP="00B205BA">
      <w:pPr>
        <w:spacing w:after="120" w:line="240" w:lineRule="auto"/>
        <w:rPr>
          <w:rFonts w:cs="Arial"/>
        </w:rPr>
      </w:pPr>
      <w:r w:rsidRPr="00410DE9">
        <w:rPr>
          <w:rFonts w:cs="Arial"/>
        </w:rPr>
        <w:t>5.13.2.1. Informar a los contribuyentes de sus diversas obligaciones fiscales, dando cobertura a todos los padrones de cobro.</w:t>
      </w:r>
    </w:p>
    <w:p w14:paraId="0BA51F48" w14:textId="77777777" w:rsidR="00BB6455" w:rsidRPr="00410DE9" w:rsidRDefault="00BB6455" w:rsidP="00B205BA">
      <w:pPr>
        <w:spacing w:after="120" w:line="240" w:lineRule="auto"/>
        <w:rPr>
          <w:rFonts w:cs="Arial"/>
        </w:rPr>
      </w:pPr>
      <w:r w:rsidRPr="00410DE9">
        <w:rPr>
          <w:rFonts w:cs="Arial"/>
        </w:rPr>
        <w:t>5.13.2.2. Impulsar el uso de medios de pago electrónicos y digitales en el cumplimiento de contribuciones municipales.</w:t>
      </w:r>
    </w:p>
    <w:p w14:paraId="58ADCBDF" w14:textId="77777777" w:rsidR="00BB6455" w:rsidRPr="00410DE9" w:rsidRDefault="00BB6455" w:rsidP="00B205BA">
      <w:pPr>
        <w:spacing w:after="120" w:line="240" w:lineRule="auto"/>
        <w:rPr>
          <w:rFonts w:cs="Arial"/>
        </w:rPr>
      </w:pPr>
      <w:r w:rsidRPr="00410DE9">
        <w:rPr>
          <w:rFonts w:cs="Arial"/>
        </w:rPr>
        <w:lastRenderedPageBreak/>
        <w:t>5.13.2.3. Profesionalizar a los servidores públicos de las áreas de recaudación, cobranza y atención a contribuyentes.</w:t>
      </w:r>
    </w:p>
    <w:p w14:paraId="1E730520" w14:textId="77777777" w:rsidR="00BB6455" w:rsidRPr="00410DE9" w:rsidRDefault="00BB6455" w:rsidP="00B205BA">
      <w:pPr>
        <w:spacing w:after="120" w:line="240" w:lineRule="auto"/>
        <w:rPr>
          <w:rFonts w:cs="Arial"/>
        </w:rPr>
      </w:pPr>
      <w:r w:rsidRPr="00410DE9">
        <w:rPr>
          <w:rFonts w:cs="Arial"/>
        </w:rPr>
        <w:t>5.13.2.4. Fortalecer el marco normativo para la recuperación de créditos fiscales, ingresos y otorgamiento de estímulos fiscales.</w:t>
      </w:r>
    </w:p>
    <w:p w14:paraId="3D9871AB" w14:textId="77777777" w:rsidR="00BB6455" w:rsidRPr="00BB6455" w:rsidRDefault="00BB6455" w:rsidP="00B205BA">
      <w:pPr>
        <w:spacing w:after="120" w:line="240" w:lineRule="auto"/>
        <w:rPr>
          <w:rFonts w:cs="Arial"/>
          <w:b/>
          <w:bCs/>
        </w:rPr>
      </w:pPr>
      <w:r w:rsidRPr="00BB6455">
        <w:rPr>
          <w:rFonts w:cs="Arial"/>
          <w:b/>
          <w:bCs/>
        </w:rPr>
        <w:t xml:space="preserve">Estrategia 5.13.3. Reforzar los ingresos propios del municipio con incrementos en términos reales, fortaleciendo el Sistema Integral de Control Financiero de los organismos y dependencias. </w:t>
      </w:r>
    </w:p>
    <w:p w14:paraId="1C4D8D2F" w14:textId="77777777" w:rsidR="00BB6455" w:rsidRPr="00410DE9" w:rsidRDefault="00BB6455" w:rsidP="00B205BA">
      <w:pPr>
        <w:spacing w:after="120" w:line="240" w:lineRule="auto"/>
        <w:rPr>
          <w:rFonts w:cs="Arial"/>
        </w:rPr>
      </w:pPr>
      <w:r w:rsidRPr="00410DE9">
        <w:rPr>
          <w:rFonts w:cs="Arial"/>
        </w:rPr>
        <w:t>Líneas de acción:</w:t>
      </w:r>
    </w:p>
    <w:p w14:paraId="662DF24E" w14:textId="77777777" w:rsidR="00BB6455" w:rsidRPr="00410DE9" w:rsidRDefault="00BB6455" w:rsidP="00B205BA">
      <w:pPr>
        <w:spacing w:after="120" w:line="240" w:lineRule="auto"/>
        <w:rPr>
          <w:rFonts w:cs="Arial"/>
        </w:rPr>
      </w:pPr>
      <w:r w:rsidRPr="00410DE9">
        <w:rPr>
          <w:rFonts w:cs="Arial"/>
        </w:rPr>
        <w:t>5.13.3.1. Coordinar la actualización y digitalización de padrones de las dependencias y organismos.</w:t>
      </w:r>
    </w:p>
    <w:p w14:paraId="0BB576F3" w14:textId="77777777" w:rsidR="00BB6455" w:rsidRPr="00410DE9" w:rsidRDefault="00BB6455" w:rsidP="00B205BA">
      <w:pPr>
        <w:spacing w:after="120" w:line="240" w:lineRule="auto"/>
        <w:rPr>
          <w:rFonts w:cs="Arial"/>
        </w:rPr>
      </w:pPr>
      <w:r w:rsidRPr="00410DE9">
        <w:rPr>
          <w:rFonts w:cs="Arial"/>
        </w:rPr>
        <w:t>5.13.3.2. Integrar el Registro Municipal de Contribuyentes, a fin de contar con información fiscal actualizada.</w:t>
      </w:r>
    </w:p>
    <w:p w14:paraId="4BA10F3C" w14:textId="77777777" w:rsidR="00BB6455" w:rsidRPr="00410DE9" w:rsidRDefault="00BB6455" w:rsidP="00B205BA">
      <w:pPr>
        <w:spacing w:after="120" w:line="240" w:lineRule="auto"/>
        <w:rPr>
          <w:rFonts w:cs="Arial"/>
        </w:rPr>
      </w:pPr>
      <w:r w:rsidRPr="00410DE9">
        <w:rPr>
          <w:rFonts w:cs="Arial"/>
        </w:rPr>
        <w:t xml:space="preserve">5.13.3.3. Realizar acciones para reducir la dependencia financiera de las participaciones y aportaciones estatales y federales. </w:t>
      </w:r>
    </w:p>
    <w:p w14:paraId="7CD24B28" w14:textId="77777777" w:rsidR="00BB6455" w:rsidRPr="00BB6455" w:rsidRDefault="00BB6455" w:rsidP="00B205BA">
      <w:pPr>
        <w:spacing w:after="120" w:line="240" w:lineRule="auto"/>
        <w:rPr>
          <w:rFonts w:cs="Arial"/>
          <w:b/>
          <w:bCs/>
        </w:rPr>
      </w:pPr>
      <w:r w:rsidRPr="00BB6455">
        <w:rPr>
          <w:rFonts w:cs="Arial"/>
          <w:b/>
          <w:bCs/>
        </w:rPr>
        <w:t>Estrategia 5.13.4. Mantener en niveles sostenibles la deuda de largo plazo, así como realizar un manejo adecuado de la liquidez con la que cuenta el municipio para hacer frente a sus obligaciones de pago.</w:t>
      </w:r>
    </w:p>
    <w:p w14:paraId="2A9A3FFC"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7A956329" w14:textId="77777777" w:rsidR="00BB6455" w:rsidRPr="00410DE9" w:rsidRDefault="00BB6455" w:rsidP="00B205BA">
      <w:pPr>
        <w:spacing w:after="120" w:line="240" w:lineRule="auto"/>
        <w:rPr>
          <w:rFonts w:cs="Arial"/>
        </w:rPr>
      </w:pPr>
      <w:r w:rsidRPr="00410DE9">
        <w:rPr>
          <w:rFonts w:cs="Arial"/>
        </w:rPr>
        <w:t>5.13.4.1. Supervisar y dar seguimiento constante a las condiciones contratadas con las instituciones financieras.</w:t>
      </w:r>
    </w:p>
    <w:p w14:paraId="500A1A13" w14:textId="77777777" w:rsidR="00BB6455" w:rsidRPr="00410DE9" w:rsidRDefault="00BB6455" w:rsidP="00B205BA">
      <w:pPr>
        <w:spacing w:after="120" w:line="240" w:lineRule="auto"/>
        <w:rPr>
          <w:rFonts w:cs="Arial"/>
        </w:rPr>
      </w:pPr>
      <w:r w:rsidRPr="00410DE9">
        <w:rPr>
          <w:rFonts w:cs="Arial"/>
        </w:rPr>
        <w:t>5.13.4.2. Administrar y controlar la deuda a corto plazo asegurando el cumplimiento a la normatividad vigente aplicable.</w:t>
      </w:r>
    </w:p>
    <w:p w14:paraId="2E97203F" w14:textId="77777777" w:rsidR="00BB6455" w:rsidRPr="00410DE9" w:rsidRDefault="00BB6455" w:rsidP="00B205BA">
      <w:pPr>
        <w:spacing w:after="120" w:line="240" w:lineRule="auto"/>
        <w:rPr>
          <w:rFonts w:cs="Arial"/>
        </w:rPr>
      </w:pPr>
      <w:r w:rsidRPr="00410DE9">
        <w:rPr>
          <w:rFonts w:cs="Arial"/>
        </w:rPr>
        <w:t xml:space="preserve">5.13.4.3. Cumplir y dar seguimiento a los requerimientos de las agencias calificadoras para que emitan su calificación. </w:t>
      </w:r>
    </w:p>
    <w:p w14:paraId="76BCE674" w14:textId="77777777" w:rsidR="00BB6455" w:rsidRPr="00410DE9" w:rsidRDefault="00BB6455" w:rsidP="00B205BA">
      <w:pPr>
        <w:spacing w:after="120" w:line="240" w:lineRule="auto"/>
        <w:rPr>
          <w:rFonts w:cs="Arial"/>
        </w:rPr>
      </w:pPr>
      <w:r w:rsidRPr="00410DE9">
        <w:rPr>
          <w:rFonts w:cs="Arial"/>
        </w:rPr>
        <w:t>5.13.4.4. Mantener el nivel de endeudamiento sostenible de conformidad con la Ley de Disciplina Financiera de las Entidades Federativas y los Municipios</w:t>
      </w:r>
    </w:p>
    <w:p w14:paraId="47E1DA9D" w14:textId="77777777" w:rsidR="00BB6455" w:rsidRPr="00410DE9" w:rsidRDefault="00BB6455" w:rsidP="00B205BA">
      <w:pPr>
        <w:spacing w:after="120" w:line="240" w:lineRule="auto"/>
        <w:rPr>
          <w:rFonts w:cs="Arial"/>
        </w:rPr>
      </w:pPr>
      <w:r w:rsidRPr="00410DE9">
        <w:rPr>
          <w:rFonts w:cs="Arial"/>
        </w:rPr>
        <w:t>5.13.4.5. Verificar constantemente los saldos de las cuentas por pagar del municipio y realizar depuraciones en su caso.</w:t>
      </w:r>
    </w:p>
    <w:p w14:paraId="3E8C9738" w14:textId="77777777" w:rsidR="00BB6455" w:rsidRPr="00410DE9" w:rsidRDefault="00BB6455" w:rsidP="00B205BA">
      <w:pPr>
        <w:spacing w:after="120" w:line="240" w:lineRule="auto"/>
        <w:rPr>
          <w:rFonts w:cs="Arial"/>
        </w:rPr>
      </w:pPr>
      <w:r w:rsidRPr="00410DE9">
        <w:rPr>
          <w:rFonts w:cs="Arial"/>
        </w:rPr>
        <w:t>5.13.4.6. Crear un Fondo de Contingencia financiera.</w:t>
      </w:r>
    </w:p>
    <w:p w14:paraId="3292258C" w14:textId="77777777" w:rsidR="00BB6455" w:rsidRPr="00410DE9" w:rsidRDefault="00BB6455" w:rsidP="00B205BA">
      <w:pPr>
        <w:spacing w:after="120" w:line="240" w:lineRule="auto"/>
        <w:rPr>
          <w:rFonts w:cs="Arial"/>
        </w:rPr>
      </w:pPr>
      <w:r w:rsidRPr="00410DE9">
        <w:rPr>
          <w:rFonts w:cs="Arial"/>
        </w:rPr>
        <w:t>5.13.4.7. Impulsar el cumplimiento Programa de Fortalecimiento Financiero 2.0 en las dependencias y entidades de la Administración Pública Municipal para fortalecer los ingresos, el ejercicio de los recursos, las condiciones de la deuda municipal y demás acciones instruidas.</w:t>
      </w:r>
    </w:p>
    <w:p w14:paraId="2BB73C69" w14:textId="77777777" w:rsidR="00BB6455" w:rsidRPr="00BB6455" w:rsidRDefault="00BB6455" w:rsidP="00B205BA">
      <w:pPr>
        <w:spacing w:after="120" w:line="240" w:lineRule="auto"/>
        <w:rPr>
          <w:rFonts w:cs="Arial"/>
          <w:b/>
          <w:bCs/>
        </w:rPr>
      </w:pPr>
      <w:r w:rsidRPr="00BB6455">
        <w:rPr>
          <w:rFonts w:cs="Arial"/>
          <w:b/>
          <w:bCs/>
        </w:rPr>
        <w:t xml:space="preserve">Reto 5.14. Establecer los mecanismos de la planeación estratégica, la programación y la presupuestación en coordinación con los planes del trabajo de las dependencias y entidades del municipio mediante la implementación de la metodología del presupuesto basado en resultados. </w:t>
      </w:r>
    </w:p>
    <w:p w14:paraId="2F9545BD" w14:textId="77777777" w:rsidR="00BB6455" w:rsidRPr="00BB6455" w:rsidRDefault="00BB6455" w:rsidP="00B205BA">
      <w:pPr>
        <w:spacing w:after="120" w:line="240" w:lineRule="auto"/>
        <w:rPr>
          <w:rFonts w:cs="Arial"/>
          <w:b/>
          <w:bCs/>
        </w:rPr>
      </w:pPr>
      <w:r w:rsidRPr="00BB6455">
        <w:rPr>
          <w:rFonts w:cs="Arial"/>
          <w:b/>
          <w:bCs/>
        </w:rPr>
        <w:t>Estrategia 5.14.1. Fortalecer los vínculos entre gobierno y sociedad para el seguimiento de la planeación estratégica de corto, mediano y largo plazo acorde a las necesidades y expectativas de los hermosillenses.</w:t>
      </w:r>
    </w:p>
    <w:p w14:paraId="0CA122FA" w14:textId="77777777" w:rsidR="00BB6455" w:rsidRPr="00410DE9" w:rsidRDefault="00BB6455" w:rsidP="00B205BA">
      <w:pPr>
        <w:spacing w:after="120" w:line="240" w:lineRule="auto"/>
        <w:rPr>
          <w:rFonts w:cs="Arial"/>
        </w:rPr>
      </w:pPr>
      <w:r w:rsidRPr="00410DE9">
        <w:rPr>
          <w:rFonts w:cs="Arial"/>
        </w:rPr>
        <w:t>Líneas de acción:</w:t>
      </w:r>
    </w:p>
    <w:p w14:paraId="1CC796F5" w14:textId="77777777" w:rsidR="00BB6455" w:rsidRPr="00410DE9" w:rsidRDefault="00BB6455" w:rsidP="00B205BA">
      <w:pPr>
        <w:spacing w:after="120" w:line="240" w:lineRule="auto"/>
        <w:rPr>
          <w:rFonts w:cs="Arial"/>
        </w:rPr>
      </w:pPr>
      <w:r w:rsidRPr="00410DE9">
        <w:rPr>
          <w:rFonts w:cs="Arial"/>
        </w:rPr>
        <w:lastRenderedPageBreak/>
        <w:t>5.14.1.1. Constituir el Comité de Planeación Municipal con los representantes de la sociedad y gobierno para proponer y dar seguimiento al Plan Municipal de Desarrollo y programas de la Administración Pública Municipal.</w:t>
      </w:r>
    </w:p>
    <w:p w14:paraId="2FF6E915" w14:textId="77777777" w:rsidR="00BB6455" w:rsidRPr="00410DE9" w:rsidRDefault="00BB6455" w:rsidP="00B205BA">
      <w:pPr>
        <w:spacing w:after="120" w:line="240" w:lineRule="auto"/>
        <w:rPr>
          <w:rFonts w:cs="Arial"/>
        </w:rPr>
      </w:pPr>
      <w:r w:rsidRPr="00410DE9">
        <w:rPr>
          <w:rFonts w:cs="Arial"/>
        </w:rPr>
        <w:t>5.14.1.2. Actualizar con la colaboración de especialistas y las dependencias y entidades de la Administración Pública Municipal la Agenda de Largo Plazo 2025-2037.</w:t>
      </w:r>
    </w:p>
    <w:p w14:paraId="2E588752" w14:textId="77777777" w:rsidR="00BB6455" w:rsidRPr="00410DE9" w:rsidRDefault="00BB6455" w:rsidP="00B205BA">
      <w:pPr>
        <w:spacing w:after="120" w:line="240" w:lineRule="auto"/>
        <w:rPr>
          <w:rFonts w:cs="Arial"/>
        </w:rPr>
      </w:pPr>
      <w:r w:rsidRPr="00410DE9">
        <w:rPr>
          <w:rFonts w:cs="Arial"/>
        </w:rPr>
        <w:t>5.14.1.3. Consolidar el Programa Operativo Anual, con la información suministrada por las dependencias y entidades de la Administración Pública Municipal.</w:t>
      </w:r>
    </w:p>
    <w:p w14:paraId="154C3394" w14:textId="77777777" w:rsidR="00BB6455" w:rsidRPr="00410DE9" w:rsidRDefault="00BB6455" w:rsidP="00B205BA">
      <w:pPr>
        <w:spacing w:after="120" w:line="240" w:lineRule="auto"/>
        <w:rPr>
          <w:rFonts w:cs="Arial"/>
        </w:rPr>
      </w:pPr>
      <w:r w:rsidRPr="00410DE9">
        <w:rPr>
          <w:rFonts w:cs="Arial"/>
        </w:rPr>
        <w:t>5.14.1.4. Integrar los informes anuales de gobierno para informar a la sociedad de los avances de la planeación.</w:t>
      </w:r>
    </w:p>
    <w:p w14:paraId="27635FA0" w14:textId="77777777" w:rsidR="00BB6455" w:rsidRPr="00410DE9" w:rsidRDefault="00BB6455" w:rsidP="00B205BA">
      <w:pPr>
        <w:spacing w:after="120" w:line="240" w:lineRule="auto"/>
        <w:rPr>
          <w:rFonts w:cs="Arial"/>
        </w:rPr>
      </w:pPr>
      <w:r w:rsidRPr="00410DE9">
        <w:rPr>
          <w:rFonts w:cs="Arial"/>
        </w:rPr>
        <w:t>5.14.1.5. Monitorear el cumplimiento a la ejecución del Plan Municipal de Desarrollo 2025-2027.</w:t>
      </w:r>
    </w:p>
    <w:p w14:paraId="2A585312" w14:textId="77777777" w:rsidR="00BB6455" w:rsidRPr="00BB6455" w:rsidRDefault="00BB6455" w:rsidP="00B205BA">
      <w:pPr>
        <w:spacing w:after="120" w:line="240" w:lineRule="auto"/>
        <w:rPr>
          <w:rFonts w:cs="Arial"/>
          <w:b/>
          <w:bCs/>
        </w:rPr>
      </w:pPr>
      <w:r w:rsidRPr="00BB6455">
        <w:rPr>
          <w:rFonts w:cs="Arial"/>
          <w:b/>
          <w:bCs/>
        </w:rPr>
        <w:t>Estrategia 5.14.2. Evaluar la efectividad de las políticas públicas a través de la comprobación del cumplimiento de las metas de los programas presupuestarios, con el objetivo de optimizar la eficacia, eficiencia, economía y calidad en el uso de los recursos públicos municipales.</w:t>
      </w:r>
    </w:p>
    <w:p w14:paraId="19779A21"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1C60AD7F" w14:textId="77777777" w:rsidR="00BB6455" w:rsidRPr="00410DE9" w:rsidRDefault="00BB6455" w:rsidP="00B205BA">
      <w:pPr>
        <w:spacing w:after="120" w:line="240" w:lineRule="auto"/>
        <w:rPr>
          <w:rFonts w:cs="Arial"/>
        </w:rPr>
      </w:pPr>
      <w:r w:rsidRPr="00410DE9">
        <w:rPr>
          <w:rFonts w:cs="Arial"/>
        </w:rPr>
        <w:t>5.14.2.1. Realizar un seguimiento detallado de las matrices de indicadores para resultados (MIR) de los programas presupuestarios.</w:t>
      </w:r>
    </w:p>
    <w:p w14:paraId="43EC9BE1" w14:textId="77777777" w:rsidR="00BB6455" w:rsidRPr="00410DE9" w:rsidRDefault="00BB6455" w:rsidP="00B205BA">
      <w:pPr>
        <w:spacing w:after="120" w:line="240" w:lineRule="auto"/>
        <w:rPr>
          <w:rFonts w:cs="Arial"/>
        </w:rPr>
      </w:pPr>
      <w:r w:rsidRPr="00410DE9">
        <w:rPr>
          <w:rFonts w:cs="Arial"/>
        </w:rPr>
        <w:t>5.14.2.2. Elaborar el Programa Anual de Evaluación (PAE), asegurando su correcta aplicación y el análisis de los resultados obtenidos.</w:t>
      </w:r>
    </w:p>
    <w:p w14:paraId="6724F029" w14:textId="77777777" w:rsidR="00BB6455" w:rsidRPr="00410DE9" w:rsidRDefault="00BB6455" w:rsidP="00B205BA">
      <w:pPr>
        <w:spacing w:after="120" w:line="240" w:lineRule="auto"/>
        <w:rPr>
          <w:rFonts w:cs="Arial"/>
        </w:rPr>
      </w:pPr>
      <w:r w:rsidRPr="00410DE9">
        <w:rPr>
          <w:rFonts w:cs="Arial"/>
        </w:rPr>
        <w:t>5.14.2.3. Gestionar la evaluación externa de los recursos federales asignados al Ayuntamiento.</w:t>
      </w:r>
    </w:p>
    <w:p w14:paraId="0F1E448A" w14:textId="77777777" w:rsidR="00BB6455" w:rsidRPr="00410DE9" w:rsidRDefault="00BB6455" w:rsidP="00B205BA">
      <w:pPr>
        <w:spacing w:after="120" w:line="240" w:lineRule="auto"/>
        <w:rPr>
          <w:rFonts w:cs="Arial"/>
        </w:rPr>
      </w:pPr>
      <w:r w:rsidRPr="00410DE9">
        <w:rPr>
          <w:rFonts w:cs="Arial"/>
        </w:rPr>
        <w:t>5.14.2.4. Realizar el seguimiento a los aspectos suceptibles de mejora (ASM) identificados a partir de las evaluaciones a los fondos federales y programas presupuestarios.</w:t>
      </w:r>
    </w:p>
    <w:p w14:paraId="17382E56" w14:textId="77777777" w:rsidR="00BB6455" w:rsidRPr="00BB6455" w:rsidRDefault="00BB6455" w:rsidP="00B205BA">
      <w:pPr>
        <w:spacing w:after="120" w:line="240" w:lineRule="auto"/>
        <w:rPr>
          <w:rFonts w:cs="Arial"/>
          <w:b/>
          <w:bCs/>
        </w:rPr>
      </w:pPr>
      <w:r w:rsidRPr="00BB6455">
        <w:rPr>
          <w:rFonts w:cs="Arial"/>
          <w:b/>
          <w:bCs/>
        </w:rPr>
        <w:t xml:space="preserve">Estrategia 5.14.3. Coordinar la planeación e integración del presupuesto de egresos de las dependencias y entidades de la Administración Pública Municipal, a fin de lograr el cumplimiento de objetivos, metas y su Programa Operativo Anual bajo los principios de eficacia, eficiencia y economía. </w:t>
      </w:r>
    </w:p>
    <w:p w14:paraId="615668AA"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4AFA3047" w14:textId="77777777" w:rsidR="00BB6455" w:rsidRPr="00410DE9" w:rsidRDefault="00BB6455" w:rsidP="00B205BA">
      <w:pPr>
        <w:spacing w:after="120" w:line="240" w:lineRule="auto"/>
        <w:rPr>
          <w:rFonts w:cs="Arial"/>
        </w:rPr>
      </w:pPr>
      <w:r w:rsidRPr="00410DE9">
        <w:rPr>
          <w:rFonts w:cs="Arial"/>
        </w:rPr>
        <w:t>5.14.3.1. Efectuar la asignación del gasto público en el Presupuesto de Egresos bajo la metodología de PbR-SED y a las directrices trazadas en el Plan Municipal de Desarrollo 2025-2027.</w:t>
      </w:r>
    </w:p>
    <w:p w14:paraId="7B1AEA8F" w14:textId="77777777" w:rsidR="00BB6455" w:rsidRPr="00410DE9" w:rsidRDefault="00BB6455" w:rsidP="00B205BA">
      <w:pPr>
        <w:spacing w:after="120" w:line="240" w:lineRule="auto"/>
        <w:rPr>
          <w:rFonts w:cs="Arial"/>
        </w:rPr>
      </w:pPr>
      <w:r w:rsidRPr="00410DE9">
        <w:rPr>
          <w:rFonts w:cs="Arial"/>
        </w:rPr>
        <w:t>5.14.3.2. Coordinar la integración del Analítico de Proyectos de Inversión de las dependencias de la Administración Municipal.</w:t>
      </w:r>
    </w:p>
    <w:p w14:paraId="52A556D3" w14:textId="77777777" w:rsidR="00BB6455" w:rsidRPr="00410DE9" w:rsidRDefault="00BB6455" w:rsidP="00B205BA">
      <w:pPr>
        <w:spacing w:after="120" w:line="240" w:lineRule="auto"/>
        <w:rPr>
          <w:rFonts w:cs="Arial"/>
        </w:rPr>
      </w:pPr>
      <w:r w:rsidRPr="00410DE9">
        <w:rPr>
          <w:rFonts w:cs="Arial"/>
        </w:rPr>
        <w:t xml:space="preserve">5.14.3.3. Integrar y actualizar el Manual de Programación y Presupuestación para garantizar la asignación del gasto público bajo el principio de legalidad.  </w:t>
      </w:r>
    </w:p>
    <w:p w14:paraId="2C00C5A1" w14:textId="77777777" w:rsidR="00BB6455" w:rsidRPr="00BB6455" w:rsidRDefault="00BB6455" w:rsidP="00B205BA">
      <w:pPr>
        <w:spacing w:after="120" w:line="240" w:lineRule="auto"/>
        <w:rPr>
          <w:rFonts w:cs="Arial"/>
          <w:b/>
          <w:bCs/>
        </w:rPr>
      </w:pPr>
      <w:r w:rsidRPr="00BB6455">
        <w:rPr>
          <w:rFonts w:cs="Arial"/>
          <w:b/>
          <w:bCs/>
        </w:rPr>
        <w:t>Estrategia 5.14.4. Coordinar el seguimiento puntual del gasto de las dependencias y entidades municipales que integran la administración conforme a los calendarios aprobados, atendiendo las normas, criterios y lineamientos establecidos, de acuerdo con la normativa vigente.</w:t>
      </w:r>
    </w:p>
    <w:p w14:paraId="34AA7753" w14:textId="77777777" w:rsidR="00BB6455" w:rsidRPr="00410DE9" w:rsidRDefault="00BB6455" w:rsidP="00B205BA">
      <w:pPr>
        <w:spacing w:after="120" w:line="240" w:lineRule="auto"/>
        <w:rPr>
          <w:rFonts w:cs="Arial"/>
        </w:rPr>
      </w:pPr>
      <w:r w:rsidRPr="00410DE9">
        <w:rPr>
          <w:rFonts w:cs="Arial"/>
        </w:rPr>
        <w:t>Líneas de acción:</w:t>
      </w:r>
    </w:p>
    <w:p w14:paraId="0AB069B9" w14:textId="77777777" w:rsidR="00BB6455" w:rsidRPr="00410DE9" w:rsidRDefault="00BB6455" w:rsidP="00B205BA">
      <w:pPr>
        <w:spacing w:after="120" w:line="240" w:lineRule="auto"/>
        <w:rPr>
          <w:rFonts w:cs="Arial"/>
        </w:rPr>
      </w:pPr>
      <w:r w:rsidRPr="00410DE9">
        <w:rPr>
          <w:rFonts w:cs="Arial"/>
        </w:rPr>
        <w:lastRenderedPageBreak/>
        <w:t xml:space="preserve">5.14.4.1. Efectuar medidas de seguimiento y control del gasto municipal de las dependencias y entidades de la Administración Pública Municipal dando cumplimiento a las políticas de gasto y ejercicio presupuestal. </w:t>
      </w:r>
    </w:p>
    <w:p w14:paraId="2CD48505" w14:textId="77777777" w:rsidR="00BB6455" w:rsidRPr="00410DE9" w:rsidRDefault="00BB6455" w:rsidP="00B205BA">
      <w:pPr>
        <w:spacing w:after="120" w:line="240" w:lineRule="auto"/>
        <w:rPr>
          <w:rFonts w:cs="Arial"/>
        </w:rPr>
      </w:pPr>
      <w:r w:rsidRPr="00410DE9">
        <w:rPr>
          <w:rFonts w:cs="Arial"/>
        </w:rPr>
        <w:t>5.14.4.2. Analizar y revisar el gasto público para determinar las transferencias, reducciones y ampliaciones en los programas para el cumplimiento del plan y programas, así como cambios en el contexto.</w:t>
      </w:r>
    </w:p>
    <w:p w14:paraId="6FFFEE19" w14:textId="77777777" w:rsidR="00BB6455" w:rsidRPr="00410DE9" w:rsidRDefault="00BB6455" w:rsidP="00B205BA">
      <w:pPr>
        <w:spacing w:after="120" w:line="240" w:lineRule="auto"/>
        <w:rPr>
          <w:rFonts w:cs="Arial"/>
        </w:rPr>
      </w:pPr>
      <w:r w:rsidRPr="00410DE9">
        <w:rPr>
          <w:rFonts w:cs="Arial"/>
        </w:rPr>
        <w:t>5.14.4.3. Dar seguimiento al avance de metas programadas durante el ejercicio e informar oportunamente el cumplimiento programático en términos de eficiencia, eficacia y economía.</w:t>
      </w:r>
    </w:p>
    <w:p w14:paraId="485E3AC1" w14:textId="77777777" w:rsidR="00BB6455" w:rsidRPr="00410DE9" w:rsidRDefault="00BB6455" w:rsidP="00B205BA">
      <w:pPr>
        <w:spacing w:after="120" w:line="240" w:lineRule="auto"/>
        <w:rPr>
          <w:rFonts w:cs="Arial"/>
        </w:rPr>
      </w:pPr>
      <w:r w:rsidRPr="00410DE9">
        <w:rPr>
          <w:rFonts w:cs="Arial"/>
        </w:rPr>
        <w:t>5.14.4.4. Integrar y analizar los avances físicos y financieros de los programas y proyectos de inversión llevada a cabo por la Administración Pública Municipal Directa.</w:t>
      </w:r>
    </w:p>
    <w:p w14:paraId="6200D9C0" w14:textId="77777777" w:rsidR="00BB6455" w:rsidRPr="00BB6455" w:rsidRDefault="00BB6455" w:rsidP="00B205BA">
      <w:pPr>
        <w:spacing w:after="120" w:line="240" w:lineRule="auto"/>
        <w:rPr>
          <w:rFonts w:cs="Arial"/>
          <w:b/>
          <w:bCs/>
        </w:rPr>
      </w:pPr>
      <w:r w:rsidRPr="00BB6455">
        <w:rPr>
          <w:rFonts w:cs="Arial"/>
          <w:b/>
          <w:bCs/>
        </w:rPr>
        <w:t>Reto 5.15. Contribuir a la eficiencia operacional a través de una mejor gestión en los procesos administrativos, tecnológicos y financieros; racionando el gasto a fin de enfocar recursos para maximizar los beneficios a través de la rendición de cuentas y la transparencia, así como el seguimiento y atención de los requerimientos de las autoridades judiciales.</w:t>
      </w:r>
    </w:p>
    <w:p w14:paraId="55AE7A35" w14:textId="77777777" w:rsidR="00BB6455" w:rsidRPr="00BB6455" w:rsidRDefault="00BB6455" w:rsidP="00B205BA">
      <w:pPr>
        <w:spacing w:after="120" w:line="240" w:lineRule="auto"/>
        <w:rPr>
          <w:rFonts w:cs="Arial"/>
          <w:b/>
          <w:bCs/>
        </w:rPr>
      </w:pPr>
      <w:r w:rsidRPr="00BB6455">
        <w:rPr>
          <w:rFonts w:cs="Arial"/>
          <w:b/>
          <w:bCs/>
        </w:rPr>
        <w:t>Estrategia 5.15.1. Administrar y gestionar los recursos humanos y financieros de la Tesorería a través de herramientas que garanticen que los recursos se asignen conforme al marco normativo.</w:t>
      </w:r>
    </w:p>
    <w:p w14:paraId="21932CD4"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262B983C" w14:textId="77777777" w:rsidR="00BB6455" w:rsidRPr="00410DE9" w:rsidRDefault="00BB6455" w:rsidP="00B205BA">
      <w:pPr>
        <w:spacing w:after="120" w:line="240" w:lineRule="auto"/>
        <w:rPr>
          <w:rFonts w:cs="Arial"/>
        </w:rPr>
      </w:pPr>
      <w:r w:rsidRPr="00410DE9">
        <w:rPr>
          <w:rFonts w:cs="Arial"/>
        </w:rPr>
        <w:t>5.15.1.1. Mantener la actualización normativa y de procedimientos, así como los mecanismos de control interno y el Sistema de Gestión de Calidad de la Tesorería municipal.</w:t>
      </w:r>
    </w:p>
    <w:p w14:paraId="717BF9C1" w14:textId="77777777" w:rsidR="00BB6455" w:rsidRPr="00410DE9" w:rsidRDefault="00BB6455" w:rsidP="00B205BA">
      <w:pPr>
        <w:spacing w:after="120" w:line="240" w:lineRule="auto"/>
        <w:rPr>
          <w:rFonts w:cs="Arial"/>
        </w:rPr>
      </w:pPr>
      <w:r w:rsidRPr="00410DE9">
        <w:rPr>
          <w:rFonts w:cs="Arial"/>
        </w:rPr>
        <w:t>5.15.1.2. Atender las solicitudes de acceso a la información pública y los portales de transparencia conforme al marco normativo.</w:t>
      </w:r>
    </w:p>
    <w:p w14:paraId="3C2957A7" w14:textId="77777777" w:rsidR="00BB6455" w:rsidRPr="00410DE9" w:rsidRDefault="00BB6455" w:rsidP="00B205BA">
      <w:pPr>
        <w:spacing w:after="120" w:line="240" w:lineRule="auto"/>
        <w:rPr>
          <w:rFonts w:cs="Arial"/>
        </w:rPr>
      </w:pPr>
      <w:r w:rsidRPr="00410DE9">
        <w:rPr>
          <w:rFonts w:cs="Arial"/>
        </w:rPr>
        <w:t>5.15.1.3. Atender los requerimientos que formulen las Unidades Administrativas de la Tesorería en materia de recursos humanos, materiales, suministros y servicios generales.</w:t>
      </w:r>
    </w:p>
    <w:p w14:paraId="191462EF" w14:textId="77777777" w:rsidR="00BB6455" w:rsidRPr="00BB6455" w:rsidRDefault="00BB6455" w:rsidP="00B205BA">
      <w:pPr>
        <w:spacing w:after="120" w:line="240" w:lineRule="auto"/>
        <w:rPr>
          <w:rFonts w:cs="Arial"/>
          <w:b/>
          <w:bCs/>
        </w:rPr>
      </w:pPr>
      <w:r w:rsidRPr="00BB6455">
        <w:rPr>
          <w:rFonts w:cs="Arial"/>
          <w:b/>
          <w:bCs/>
        </w:rPr>
        <w:t xml:space="preserve">Estrategia 5.15.2. Coordinar la integración de la información interinstitucional para atender en tiempo y forma los requerimientos de las autoridades judiciales y de los particulares conforme a derecho.   </w:t>
      </w:r>
    </w:p>
    <w:p w14:paraId="3E242651" w14:textId="77777777" w:rsidR="00BB6455" w:rsidRPr="00410DE9" w:rsidRDefault="00BB6455" w:rsidP="00B205BA">
      <w:pPr>
        <w:spacing w:after="120" w:line="240" w:lineRule="auto"/>
        <w:rPr>
          <w:rFonts w:cs="Arial"/>
        </w:rPr>
      </w:pPr>
      <w:r w:rsidRPr="00410DE9">
        <w:rPr>
          <w:rFonts w:cs="Arial"/>
        </w:rPr>
        <w:t>Líneas de acción:</w:t>
      </w:r>
      <w:r w:rsidRPr="00410DE9">
        <w:rPr>
          <w:rFonts w:cs="Arial"/>
        </w:rPr>
        <w:tab/>
      </w:r>
    </w:p>
    <w:p w14:paraId="0BDED3CF" w14:textId="77777777" w:rsidR="00BB6455" w:rsidRPr="00410DE9" w:rsidRDefault="00BB6455" w:rsidP="00B205BA">
      <w:pPr>
        <w:spacing w:after="120" w:line="240" w:lineRule="auto"/>
        <w:rPr>
          <w:rFonts w:cs="Arial"/>
        </w:rPr>
      </w:pPr>
      <w:r w:rsidRPr="00410DE9">
        <w:rPr>
          <w:rFonts w:cs="Arial"/>
        </w:rPr>
        <w:t>5.15.2.1. Atender en tiempo y forma los juicios de nulidad, revocación y emisión de dictámenes, así como analizar la factibilidad del otorgamiento de estímulos fiscales a petición del contribuyente.</w:t>
      </w:r>
    </w:p>
    <w:p w14:paraId="51853ADA" w14:textId="60C7CB6E" w:rsidR="00F6526D" w:rsidRPr="00BB6455" w:rsidRDefault="00BB6455" w:rsidP="00B205BA">
      <w:pPr>
        <w:spacing w:after="120" w:line="240" w:lineRule="auto"/>
        <w:rPr>
          <w:rFonts w:cs="Arial"/>
        </w:rPr>
      </w:pPr>
      <w:r w:rsidRPr="00410DE9">
        <w:rPr>
          <w:rFonts w:cs="Arial"/>
        </w:rPr>
        <w:t>5.15.2.2. Dar seguimiento a los juicios de amparo y la contestación por escrito a las solicitudes para búsquedas de domicilio requeridas por la autoridad judicial del fuero común, federales, fiscalías y autoridades municipales.</w:t>
      </w:r>
    </w:p>
    <w:p w14:paraId="618551A3" w14:textId="77777777" w:rsidR="00F6526D" w:rsidRDefault="00F6526D" w:rsidP="00B205BA">
      <w:pPr>
        <w:spacing w:after="120" w:line="240" w:lineRule="auto"/>
        <w:jc w:val="left"/>
        <w:rPr>
          <w:rFonts w:cs="Arial"/>
          <w:b/>
          <w:bCs/>
          <w:sz w:val="24"/>
          <w:szCs w:val="24"/>
        </w:rPr>
      </w:pPr>
    </w:p>
    <w:p w14:paraId="69D77C66" w14:textId="77777777" w:rsidR="00AB3140" w:rsidRDefault="00AB3140" w:rsidP="00B205BA">
      <w:pPr>
        <w:spacing w:after="120" w:line="240" w:lineRule="auto"/>
        <w:jc w:val="left"/>
        <w:rPr>
          <w:rFonts w:cs="Arial"/>
          <w:b/>
          <w:bCs/>
          <w:sz w:val="24"/>
          <w:szCs w:val="24"/>
        </w:rPr>
      </w:pPr>
    </w:p>
    <w:p w14:paraId="596BB39E" w14:textId="77777777" w:rsidR="00AB3140" w:rsidRDefault="00AB3140" w:rsidP="00B205BA">
      <w:pPr>
        <w:spacing w:after="120" w:line="240" w:lineRule="auto"/>
        <w:jc w:val="left"/>
        <w:rPr>
          <w:rFonts w:cs="Arial"/>
          <w:b/>
          <w:bCs/>
          <w:sz w:val="24"/>
          <w:szCs w:val="24"/>
        </w:rPr>
      </w:pPr>
    </w:p>
    <w:p w14:paraId="4979E881" w14:textId="77777777" w:rsidR="00AB3140" w:rsidRDefault="00AB3140" w:rsidP="00B205BA">
      <w:pPr>
        <w:spacing w:after="120" w:line="240" w:lineRule="auto"/>
        <w:jc w:val="left"/>
        <w:rPr>
          <w:rFonts w:cs="Arial"/>
          <w:b/>
          <w:bCs/>
          <w:sz w:val="24"/>
          <w:szCs w:val="24"/>
        </w:rPr>
      </w:pPr>
    </w:p>
    <w:p w14:paraId="300E2A42" w14:textId="7C459343" w:rsidR="0029780A" w:rsidRPr="00AB3140" w:rsidRDefault="00583B06" w:rsidP="00F15563">
      <w:pPr>
        <w:pStyle w:val="Ttulo1"/>
        <w:spacing w:before="0" w:line="240" w:lineRule="auto"/>
        <w:ind w:left="714" w:hanging="357"/>
      </w:pPr>
      <w:bookmarkStart w:id="24" w:name="_Toc187396124"/>
      <w:r w:rsidRPr="00AB3140">
        <w:lastRenderedPageBreak/>
        <w:t>SEGUIMIENTO Y EVALUACIÓN DEL DESEMPEÑO MUNICIPAL</w:t>
      </w:r>
      <w:bookmarkEnd w:id="24"/>
    </w:p>
    <w:p w14:paraId="70661687" w14:textId="77777777" w:rsidR="0008467F" w:rsidRPr="00A8706C" w:rsidRDefault="0008467F" w:rsidP="00B205BA">
      <w:pPr>
        <w:spacing w:before="100" w:beforeAutospacing="1" w:after="120" w:line="240" w:lineRule="auto"/>
        <w:rPr>
          <w:rFonts w:eastAsia="Times New Roman" w:cs="Arial"/>
          <w:lang w:eastAsia="es-ES_tradnl"/>
        </w:rPr>
      </w:pPr>
      <w:r w:rsidRPr="00A8706C">
        <w:rPr>
          <w:rFonts w:eastAsia="Times New Roman" w:cs="Arial"/>
          <w:lang w:eastAsia="es-ES_tradnl"/>
        </w:rPr>
        <w:t>El seguimiento y evaluación del desempeño municipal son componentes esenciales para el buen funcionamiento y la efectividad de la gestión pública a nivel local. Estas prácticas no solo permiten medir el progreso del plan, programas y políticas implementadas, sino que también sirven como herramientas clave para la mejora continua y contribuyen al desarrollo integral de la comunidad, promoviendo una administración pública más transparente, eficiente y cercana a sus ciudadanos.</w:t>
      </w:r>
    </w:p>
    <w:p w14:paraId="177B361A" w14:textId="77777777" w:rsidR="0008467F" w:rsidRPr="00A8706C" w:rsidRDefault="0008467F" w:rsidP="00B205BA">
      <w:pPr>
        <w:spacing w:before="100" w:beforeAutospacing="1" w:after="120" w:line="240" w:lineRule="auto"/>
        <w:rPr>
          <w:rFonts w:eastAsia="Times New Roman" w:cs="Arial"/>
          <w:lang w:eastAsia="es-ES_tradnl"/>
        </w:rPr>
      </w:pPr>
      <w:r w:rsidRPr="00A8706C">
        <w:rPr>
          <w:rFonts w:eastAsia="Times New Roman" w:cs="Arial"/>
          <w:lang w:eastAsia="es-ES_tradnl"/>
        </w:rPr>
        <w:t xml:space="preserve">El seguimiento constante de las actividades y el desempeño de las autoridades municipales </w:t>
      </w:r>
      <w:r>
        <w:rPr>
          <w:rFonts w:eastAsia="Times New Roman" w:cs="Arial"/>
          <w:lang w:eastAsia="es-ES_tradnl"/>
        </w:rPr>
        <w:t>permite</w:t>
      </w:r>
      <w:r w:rsidRPr="00A8706C">
        <w:rPr>
          <w:rFonts w:eastAsia="Times New Roman" w:cs="Arial"/>
          <w:lang w:eastAsia="es-ES_tradnl"/>
        </w:rPr>
        <w:t xml:space="preserve"> identificar posibles fallos o áreas de mejora en la ejecución de políticas públicas, involucrar a la comunidad en estos procesos fortalece la relación entre las autoridades municipales y los ciudadanos. </w:t>
      </w:r>
    </w:p>
    <w:p w14:paraId="6CD73D10" w14:textId="77777777" w:rsidR="0008467F" w:rsidRPr="00A8706C" w:rsidRDefault="0008467F" w:rsidP="00B205BA">
      <w:pPr>
        <w:spacing w:before="100" w:beforeAutospacing="1" w:after="120" w:line="240" w:lineRule="auto"/>
        <w:rPr>
          <w:rFonts w:eastAsia="Times New Roman" w:cs="Arial"/>
          <w:lang w:eastAsia="es-ES_tradnl"/>
        </w:rPr>
      </w:pPr>
      <w:r w:rsidRPr="00A8706C">
        <w:rPr>
          <w:rFonts w:eastAsia="Times New Roman" w:cs="Arial"/>
          <w:lang w:eastAsia="es-ES_tradnl"/>
        </w:rPr>
        <w:t xml:space="preserve">El monitoreo constante de las actividades gubernamentales </w:t>
      </w:r>
      <w:r>
        <w:rPr>
          <w:rFonts w:eastAsia="Times New Roman" w:cs="Arial"/>
          <w:lang w:eastAsia="es-ES_tradnl"/>
        </w:rPr>
        <w:t>ofrece</w:t>
      </w:r>
      <w:r w:rsidRPr="00A8706C">
        <w:rPr>
          <w:rFonts w:eastAsia="Times New Roman" w:cs="Arial"/>
          <w:lang w:eastAsia="es-ES_tradnl"/>
        </w:rPr>
        <w:t xml:space="preserve"> una visión clara de los aspectos en los que se debe mejorar. Esto contribuye a la capacitación del personal, al fortalecimiento de las estructuras organizativas y la mejora de la capacidad administrativa del municipio.</w:t>
      </w:r>
    </w:p>
    <w:p w14:paraId="184E82CE" w14:textId="0FE6F7D6" w:rsidR="0008467F" w:rsidRPr="00A8706C" w:rsidRDefault="0008467F" w:rsidP="00B205BA">
      <w:pPr>
        <w:spacing w:after="120" w:line="240" w:lineRule="auto"/>
        <w:rPr>
          <w:rFonts w:eastAsia="Times New Roman" w:cs="Arial"/>
          <w:lang w:eastAsia="es-ES_tradnl"/>
        </w:rPr>
      </w:pPr>
      <w:r w:rsidRPr="00A8706C">
        <w:rPr>
          <w:rFonts w:eastAsia="Times New Roman" w:cs="Arial"/>
          <w:lang w:eastAsia="es-ES_tradnl"/>
        </w:rPr>
        <w:t>El marco normativo aplicable a la planeación municipal est</w:t>
      </w:r>
      <w:r w:rsidR="008511B6">
        <w:rPr>
          <w:rFonts w:eastAsia="Times New Roman" w:cs="Arial"/>
          <w:lang w:eastAsia="es-ES_tradnl"/>
        </w:rPr>
        <w:t>á</w:t>
      </w:r>
      <w:r w:rsidRPr="00A8706C">
        <w:rPr>
          <w:rFonts w:eastAsia="Times New Roman" w:cs="Arial"/>
          <w:lang w:eastAsia="es-ES_tradnl"/>
        </w:rPr>
        <w:t xml:space="preserve"> contemplado en la Ley de Planeación del Estado de Sonora que establece en el artículo 20, fracción XII que “Compete a los ayuntamientos, en materia de planeación para el desarrollo: Coordinar un Sistema de Evaluación del Desempeño entre las dependencias y entidades de la Administración Pública Municipal que verifique y evalúe los resultados de los programas y proyectos, así como la toma de decisiones para el cumplimiento de los objetivos y metas del Plan Municipal de Desarrollo”.</w:t>
      </w:r>
    </w:p>
    <w:p w14:paraId="262615A1" w14:textId="2ABE7415" w:rsidR="0008467F" w:rsidRPr="00A8706C" w:rsidRDefault="0008467F" w:rsidP="00B205BA">
      <w:pPr>
        <w:spacing w:after="120" w:line="240" w:lineRule="auto"/>
        <w:rPr>
          <w:rFonts w:eastAsia="Times New Roman" w:cs="Arial"/>
          <w:lang w:eastAsia="es-ES_tradnl"/>
        </w:rPr>
      </w:pPr>
      <w:r w:rsidRPr="00A8706C">
        <w:rPr>
          <w:rFonts w:eastAsia="Times New Roman" w:cs="Arial"/>
          <w:lang w:eastAsia="es-ES_tradnl"/>
        </w:rPr>
        <w:t>En cumplimiento a lo anterior, la Administración Pública Municipal establece en el artículo 35 del Reglamento de Planeación del Municipio de Hermosillo, un Sistema de Evaluación del Desempeño Municipal, con el objetivo de obtener información del desempeño que contribuya a mejorar las políticas y programas públicos; a mejorar las decisiones presupuestarias; a elevar la calidad del gasto; y a promover la transparencia y la rendición de cuentas.</w:t>
      </w:r>
    </w:p>
    <w:p w14:paraId="2E903633" w14:textId="57066025" w:rsidR="0008467F" w:rsidRDefault="0008467F" w:rsidP="00B205BA">
      <w:pPr>
        <w:spacing w:after="120" w:line="240" w:lineRule="auto"/>
        <w:rPr>
          <w:rFonts w:eastAsia="Times New Roman" w:cs="Arial"/>
          <w:lang w:eastAsia="es-ES_tradnl"/>
        </w:rPr>
      </w:pPr>
      <w:r w:rsidRPr="00A8706C">
        <w:rPr>
          <w:rFonts w:eastAsia="Times New Roman" w:cs="Arial"/>
          <w:lang w:eastAsia="es-ES_tradnl"/>
        </w:rPr>
        <w:t>La información del desempeño se obtendrá a través del seguimiento y evaluación constante de los cinco frentes estratégicos del Plan Municipal de Desarrollo</w:t>
      </w:r>
      <w:r w:rsidR="00261A27">
        <w:rPr>
          <w:rFonts w:eastAsia="Times New Roman" w:cs="Arial"/>
          <w:lang w:eastAsia="es-ES_tradnl"/>
        </w:rPr>
        <w:t xml:space="preserve"> 2025-2027</w:t>
      </w:r>
      <w:r w:rsidRPr="00A8706C">
        <w:rPr>
          <w:rFonts w:eastAsia="Times New Roman" w:cs="Arial"/>
          <w:lang w:eastAsia="es-ES_tradnl"/>
        </w:rPr>
        <w:t>, a través de sus retos, estrategias y líneas de acción, los cuales a su vez están orientados a medir el impacto de la intervención pública en la población objetivo y en la generación de valor público</w:t>
      </w:r>
      <w:r w:rsidR="007503ED">
        <w:rPr>
          <w:rFonts w:eastAsia="Times New Roman" w:cs="Arial"/>
          <w:lang w:eastAsia="es-ES_tradnl"/>
        </w:rPr>
        <w:t>.</w:t>
      </w:r>
    </w:p>
    <w:p w14:paraId="32ADADCE" w14:textId="77777777" w:rsidR="008511B6" w:rsidRDefault="008511B6" w:rsidP="00B205BA">
      <w:pPr>
        <w:spacing w:after="120" w:line="240" w:lineRule="auto"/>
        <w:rPr>
          <w:rFonts w:eastAsia="Times New Roman" w:cs="Arial"/>
          <w:lang w:eastAsia="es-ES_tradnl"/>
        </w:rPr>
      </w:pPr>
    </w:p>
    <w:p w14:paraId="7CB34157" w14:textId="77777777" w:rsidR="00626AB9" w:rsidRDefault="00626AB9" w:rsidP="00B205BA">
      <w:pPr>
        <w:spacing w:after="120" w:line="240" w:lineRule="auto"/>
        <w:rPr>
          <w:rFonts w:eastAsia="Times New Roman" w:cs="Arial"/>
          <w:lang w:eastAsia="es-ES_tradnl"/>
        </w:rPr>
      </w:pPr>
    </w:p>
    <w:p w14:paraId="0C5C6B6F" w14:textId="77777777" w:rsidR="00626AB9" w:rsidRDefault="00626AB9" w:rsidP="00B205BA">
      <w:pPr>
        <w:spacing w:after="120" w:line="240" w:lineRule="auto"/>
        <w:rPr>
          <w:rFonts w:eastAsia="Times New Roman" w:cs="Arial"/>
          <w:lang w:eastAsia="es-ES_tradnl"/>
        </w:rPr>
      </w:pPr>
    </w:p>
    <w:p w14:paraId="1578FD35" w14:textId="77777777" w:rsidR="00626AB9" w:rsidRDefault="00626AB9" w:rsidP="00B205BA">
      <w:pPr>
        <w:spacing w:after="120" w:line="240" w:lineRule="auto"/>
        <w:rPr>
          <w:rFonts w:eastAsia="Times New Roman" w:cs="Arial"/>
          <w:lang w:eastAsia="es-ES_tradnl"/>
        </w:rPr>
      </w:pPr>
    </w:p>
    <w:p w14:paraId="734C762A" w14:textId="77777777" w:rsidR="00626AB9" w:rsidRDefault="00626AB9" w:rsidP="00B205BA">
      <w:pPr>
        <w:spacing w:after="120" w:line="240" w:lineRule="auto"/>
        <w:rPr>
          <w:rFonts w:eastAsia="Times New Roman" w:cs="Arial"/>
          <w:lang w:eastAsia="es-ES_tradnl"/>
        </w:rPr>
      </w:pPr>
    </w:p>
    <w:p w14:paraId="6AC480D8" w14:textId="77777777" w:rsidR="00F15563" w:rsidRDefault="00F15563" w:rsidP="00B205BA">
      <w:pPr>
        <w:spacing w:after="120" w:line="240" w:lineRule="auto"/>
        <w:rPr>
          <w:rFonts w:eastAsia="Times New Roman" w:cs="Arial"/>
          <w:lang w:eastAsia="es-ES_tradnl"/>
        </w:rPr>
      </w:pPr>
    </w:p>
    <w:p w14:paraId="50279FAF" w14:textId="77777777" w:rsidR="00626AB9" w:rsidRPr="00A8706C" w:rsidRDefault="00626AB9" w:rsidP="00B205BA">
      <w:pPr>
        <w:spacing w:after="120" w:line="240" w:lineRule="auto"/>
        <w:rPr>
          <w:rFonts w:eastAsia="Times New Roman" w:cs="Arial"/>
          <w:lang w:eastAsia="es-ES_tradnl"/>
        </w:rPr>
      </w:pPr>
    </w:p>
    <w:p w14:paraId="6D7BFE65" w14:textId="216129C9" w:rsidR="0008467F" w:rsidRPr="00A8706C" w:rsidRDefault="0008467F" w:rsidP="00B205BA">
      <w:pPr>
        <w:spacing w:after="120" w:line="240" w:lineRule="auto"/>
        <w:jc w:val="center"/>
        <w:rPr>
          <w:rFonts w:eastAsia="Times New Roman" w:cs="Arial"/>
          <w:b/>
          <w:bCs/>
          <w:lang w:eastAsia="es-ES_tradnl"/>
        </w:rPr>
      </w:pPr>
      <w:r w:rsidRPr="00A8706C">
        <w:rPr>
          <w:rFonts w:eastAsia="Times New Roman" w:cs="Arial"/>
          <w:noProof/>
          <w:lang w:eastAsia="es-ES_tradnl"/>
        </w:rPr>
        <w:lastRenderedPageBreak/>
        <mc:AlternateContent>
          <mc:Choice Requires="wpg">
            <w:drawing>
              <wp:anchor distT="0" distB="0" distL="114300" distR="114300" simplePos="0" relativeHeight="251692032" behindDoc="0" locked="0" layoutInCell="1" allowOverlap="1" wp14:anchorId="1FC15D8E" wp14:editId="408F0EB0">
                <wp:simplePos x="0" y="0"/>
                <wp:positionH relativeFrom="column">
                  <wp:posOffset>-83820</wp:posOffset>
                </wp:positionH>
                <wp:positionV relativeFrom="paragraph">
                  <wp:posOffset>410845</wp:posOffset>
                </wp:positionV>
                <wp:extent cx="5494020" cy="3070860"/>
                <wp:effectExtent l="0" t="0" r="11430" b="15240"/>
                <wp:wrapNone/>
                <wp:docPr id="9" name="Grupo 29"/>
                <wp:cNvGraphicFramePr/>
                <a:graphic xmlns:a="http://schemas.openxmlformats.org/drawingml/2006/main">
                  <a:graphicData uri="http://schemas.microsoft.com/office/word/2010/wordprocessingGroup">
                    <wpg:wgp>
                      <wpg:cNvGrpSpPr/>
                      <wpg:grpSpPr>
                        <a:xfrm>
                          <a:off x="0" y="0"/>
                          <a:ext cx="5494020" cy="3070860"/>
                          <a:chOff x="0" y="0"/>
                          <a:chExt cx="8581744" cy="4696288"/>
                        </a:xfrm>
                      </wpg:grpSpPr>
                      <wps:wsp>
                        <wps:cNvPr id="14" name="Rectángulo: esquinas diagonales cortadas 14"/>
                        <wps:cNvSpPr/>
                        <wps:spPr>
                          <a:xfrm>
                            <a:off x="0" y="0"/>
                            <a:ext cx="2145436" cy="1174072"/>
                          </a:xfrm>
                          <a:prstGeom prst="snip2DiagRect">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2CB407A2" w14:textId="77777777" w:rsidR="0008467F" w:rsidRPr="0029780A" w:rsidRDefault="0008467F" w:rsidP="0008467F">
                              <w:pPr>
                                <w:jc w:val="center"/>
                                <w:rPr>
                                  <w:rFonts w:cs="Arial"/>
                                  <w:color w:val="FFFFFF" w:themeColor="light1"/>
                                  <w:kern w:val="24"/>
                                  <w:sz w:val="18"/>
                                  <w:szCs w:val="18"/>
                                </w:rPr>
                              </w:pPr>
                              <w:r w:rsidRPr="0029780A">
                                <w:rPr>
                                  <w:rFonts w:cs="Arial"/>
                                  <w:color w:val="FFFFFF" w:themeColor="light1"/>
                                  <w:kern w:val="24"/>
                                  <w:sz w:val="18"/>
                                  <w:szCs w:val="18"/>
                                </w:rPr>
                                <w:t>Plan Municipal de Desarrollo</w:t>
                              </w:r>
                              <w:r w:rsidRPr="0029780A">
                                <w:rPr>
                                  <w:rFonts w:cs="Arial"/>
                                  <w:color w:val="FFFFFF" w:themeColor="light1"/>
                                  <w:kern w:val="24"/>
                                  <w:sz w:val="18"/>
                                  <w:szCs w:val="18"/>
                                </w:rPr>
                                <w:br/>
                                <w:t>202</w:t>
                              </w:r>
                              <w:r>
                                <w:rPr>
                                  <w:rFonts w:cs="Arial"/>
                                  <w:color w:val="FFFFFF" w:themeColor="light1"/>
                                  <w:kern w:val="24"/>
                                  <w:sz w:val="18"/>
                                  <w:szCs w:val="18"/>
                                </w:rPr>
                                <w:t>5</w:t>
                              </w:r>
                              <w:r w:rsidRPr="0029780A">
                                <w:rPr>
                                  <w:rFonts w:cs="Arial"/>
                                  <w:color w:val="FFFFFF" w:themeColor="light1"/>
                                  <w:kern w:val="24"/>
                                  <w:sz w:val="18"/>
                                  <w:szCs w:val="18"/>
                                </w:rPr>
                                <w:t>-202</w:t>
                              </w:r>
                              <w:r>
                                <w:rPr>
                                  <w:rFonts w:cs="Arial"/>
                                  <w:color w:val="FFFFFF" w:themeColor="light1"/>
                                  <w:kern w:val="24"/>
                                  <w:sz w:val="18"/>
                                  <w:szCs w:val="18"/>
                                </w:rPr>
                                <w:t>7</w:t>
                              </w:r>
                            </w:p>
                          </w:txbxContent>
                        </wps:txbx>
                        <wps:bodyPr rtlCol="0" anchor="ctr"/>
                      </wps:wsp>
                      <wps:wsp>
                        <wps:cNvPr id="15" name="Rectángulo: esquinas diagonales cortadas 15"/>
                        <wps:cNvSpPr/>
                        <wps:spPr>
                          <a:xfrm>
                            <a:off x="2145436" y="1174072"/>
                            <a:ext cx="2145436" cy="1174072"/>
                          </a:xfrm>
                          <a:prstGeom prst="snip2DiagRect">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1195A7CC" w14:textId="77777777" w:rsidR="0008467F" w:rsidRPr="0072303E" w:rsidRDefault="0008467F" w:rsidP="0008467F">
                              <w:pPr>
                                <w:jc w:val="center"/>
                                <w:rPr>
                                  <w:rFonts w:cs="Arial"/>
                                  <w:color w:val="FFFFFF" w:themeColor="light1"/>
                                  <w:kern w:val="24"/>
                                </w:rPr>
                              </w:pPr>
                              <w:r w:rsidRPr="0072303E">
                                <w:rPr>
                                  <w:rFonts w:cs="Arial"/>
                                  <w:color w:val="FFFFFF" w:themeColor="light1"/>
                                  <w:kern w:val="24"/>
                                </w:rPr>
                                <w:t>Retos</w:t>
                              </w:r>
                              <w:r>
                                <w:rPr>
                                  <w:rFonts w:cs="Arial"/>
                                  <w:color w:val="FFFFFF" w:themeColor="light1"/>
                                  <w:kern w:val="24"/>
                                </w:rPr>
                                <w:br/>
                              </w:r>
                              <w:r w:rsidRPr="0072303E">
                                <w:rPr>
                                  <w:rFonts w:cs="Arial"/>
                                  <w:color w:val="FFFFFF" w:themeColor="light1"/>
                                  <w:kern w:val="24"/>
                                </w:rPr>
                                <w:t>(Objetivos)</w:t>
                              </w:r>
                            </w:p>
                          </w:txbxContent>
                        </wps:txbx>
                        <wps:bodyPr rtlCol="0" anchor="ctr"/>
                      </wps:wsp>
                      <wps:wsp>
                        <wps:cNvPr id="16" name="Rectángulo: esquinas diagonales cortadas 16"/>
                        <wps:cNvSpPr/>
                        <wps:spPr>
                          <a:xfrm>
                            <a:off x="4290872" y="2348144"/>
                            <a:ext cx="2145436" cy="1174072"/>
                          </a:xfrm>
                          <a:prstGeom prst="snip2DiagRect">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3552FDB3" w14:textId="77777777" w:rsidR="0008467F" w:rsidRPr="0029780A" w:rsidRDefault="0008467F" w:rsidP="0008467F">
                              <w:pPr>
                                <w:jc w:val="center"/>
                                <w:rPr>
                                  <w:rFonts w:cs="Arial"/>
                                  <w:color w:val="FFFFFF" w:themeColor="light1"/>
                                  <w:kern w:val="24"/>
                                </w:rPr>
                              </w:pPr>
                              <w:r w:rsidRPr="0029780A">
                                <w:rPr>
                                  <w:rFonts w:cs="Arial"/>
                                  <w:color w:val="FFFFFF" w:themeColor="light1"/>
                                  <w:kern w:val="24"/>
                                </w:rPr>
                                <w:t>Estrategias</w:t>
                              </w:r>
                            </w:p>
                          </w:txbxContent>
                        </wps:txbx>
                        <wps:bodyPr rtlCol="0" anchor="ctr"/>
                      </wps:wsp>
                      <wps:wsp>
                        <wps:cNvPr id="17" name="Rectángulo: esquinas diagonales cortadas 17"/>
                        <wps:cNvSpPr/>
                        <wps:spPr>
                          <a:xfrm>
                            <a:off x="6436308" y="3522216"/>
                            <a:ext cx="2145436" cy="1174072"/>
                          </a:xfrm>
                          <a:prstGeom prst="snip2DiagRect">
                            <a:avLst/>
                          </a:prstGeom>
                          <a:solidFill>
                            <a:srgbClr val="00B050"/>
                          </a:solidFill>
                          <a:ln w="12700" cap="flat" cmpd="sng" algn="ctr">
                            <a:solidFill>
                              <a:sysClr val="windowText" lastClr="000000"/>
                            </a:solidFill>
                            <a:prstDash val="solid"/>
                            <a:miter lim="800000"/>
                          </a:ln>
                          <a:effectLst/>
                        </wps:spPr>
                        <wps:txbx>
                          <w:txbxContent>
                            <w:p w14:paraId="4BDB8588" w14:textId="77777777" w:rsidR="0008467F" w:rsidRPr="0072303E" w:rsidRDefault="0008467F" w:rsidP="0008467F">
                              <w:pPr>
                                <w:jc w:val="center"/>
                                <w:rPr>
                                  <w:rFonts w:cs="Arial"/>
                                  <w:color w:val="FFFFFF" w:themeColor="light1"/>
                                  <w:kern w:val="24"/>
                                </w:rPr>
                              </w:pPr>
                              <w:r w:rsidRPr="0072303E">
                                <w:rPr>
                                  <w:rFonts w:cs="Arial"/>
                                  <w:color w:val="FFFFFF" w:themeColor="light1"/>
                                  <w:kern w:val="24"/>
                                </w:rPr>
                                <w:t>Líneas de acción</w:t>
                              </w:r>
                            </w:p>
                          </w:txbxContent>
                        </wps:txbx>
                        <wps:bodyPr rtlCol="0" anchor="ctr"/>
                      </wps:wsp>
                      <wps:wsp>
                        <wps:cNvPr id="18" name="Conector: angular 18"/>
                        <wps:cNvCnPr/>
                        <wps:spPr>
                          <a:xfrm rot="16200000" flipH="1">
                            <a:off x="1315559" y="931231"/>
                            <a:ext cx="587036" cy="1072718"/>
                          </a:xfrm>
                          <a:prstGeom prst="bentConnector2">
                            <a:avLst/>
                          </a:prstGeom>
                          <a:noFill/>
                          <a:ln w="57150" cap="flat" cmpd="sng" algn="ctr">
                            <a:solidFill>
                              <a:sysClr val="window" lastClr="FFFFFF">
                                <a:lumMod val="50000"/>
                              </a:sysClr>
                            </a:solidFill>
                            <a:prstDash val="solid"/>
                            <a:miter lim="800000"/>
                            <a:tailEnd type="triangle"/>
                          </a:ln>
                          <a:effectLst/>
                        </wps:spPr>
                        <wps:bodyPr/>
                      </wps:wsp>
                      <wps:wsp>
                        <wps:cNvPr id="19" name="Conector: angular 19"/>
                        <wps:cNvCnPr/>
                        <wps:spPr>
                          <a:xfrm rot="16200000" flipH="1">
                            <a:off x="3435107" y="2105303"/>
                            <a:ext cx="587036" cy="1072718"/>
                          </a:xfrm>
                          <a:prstGeom prst="bentConnector2">
                            <a:avLst/>
                          </a:prstGeom>
                          <a:noFill/>
                          <a:ln w="57150" cap="flat" cmpd="sng" algn="ctr">
                            <a:solidFill>
                              <a:sysClr val="window" lastClr="FFFFFF">
                                <a:lumMod val="50000"/>
                              </a:sysClr>
                            </a:solidFill>
                            <a:prstDash val="solid"/>
                            <a:miter lim="800000"/>
                            <a:tailEnd type="triangle"/>
                          </a:ln>
                          <a:effectLst/>
                        </wps:spPr>
                        <wps:bodyPr/>
                      </wps:wsp>
                      <wps:wsp>
                        <wps:cNvPr id="21" name="Conector: angular 21"/>
                        <wps:cNvCnPr/>
                        <wps:spPr>
                          <a:xfrm rot="16200000" flipH="1">
                            <a:off x="5606431" y="3279375"/>
                            <a:ext cx="587036" cy="1072718"/>
                          </a:xfrm>
                          <a:prstGeom prst="bentConnector2">
                            <a:avLst/>
                          </a:prstGeom>
                          <a:noFill/>
                          <a:ln w="57150" cap="flat" cmpd="sng" algn="ctr">
                            <a:solidFill>
                              <a:sysClr val="window" lastClr="FFFFFF">
                                <a:lumMod val="50000"/>
                              </a:sysClr>
                            </a:solidFill>
                            <a:prstDash val="solid"/>
                            <a:miter lim="800000"/>
                            <a:tailEnd type="triangle"/>
                          </a:ln>
                          <a:effectLst/>
                        </wps:spPr>
                        <wps:bodyPr/>
                      </wps:wsp>
                      <wps:wsp>
                        <wps:cNvPr id="22" name="Conector: angular 22"/>
                        <wps:cNvCnPr>
                          <a:cxnSpLocks/>
                        </wps:cNvCnPr>
                        <wps:spPr>
                          <a:xfrm rot="16200000" flipV="1">
                            <a:off x="6679149" y="2692339"/>
                            <a:ext cx="587036" cy="1072718"/>
                          </a:xfrm>
                          <a:prstGeom prst="bentConnector2">
                            <a:avLst/>
                          </a:prstGeom>
                          <a:noFill/>
                          <a:ln w="57150" cap="flat" cmpd="sng" algn="ctr">
                            <a:solidFill>
                              <a:srgbClr val="00B050"/>
                            </a:solidFill>
                            <a:prstDash val="solid"/>
                            <a:miter lim="800000"/>
                            <a:tailEnd type="triangle"/>
                          </a:ln>
                          <a:effectLst/>
                        </wps:spPr>
                        <wps:bodyPr/>
                      </wps:wsp>
                      <wps:wsp>
                        <wps:cNvPr id="23" name="Conector: angular 23"/>
                        <wps:cNvCnPr>
                          <a:cxnSpLocks/>
                        </wps:cNvCnPr>
                        <wps:spPr>
                          <a:xfrm rot="16200000" flipV="1">
                            <a:off x="4559601" y="1523261"/>
                            <a:ext cx="587036" cy="1072718"/>
                          </a:xfrm>
                          <a:prstGeom prst="bentConnector2">
                            <a:avLst/>
                          </a:prstGeom>
                          <a:noFill/>
                          <a:ln w="57150" cap="flat" cmpd="sng" algn="ctr">
                            <a:solidFill>
                              <a:srgbClr val="00B050"/>
                            </a:solidFill>
                            <a:prstDash val="solid"/>
                            <a:miter lim="800000"/>
                            <a:tailEnd type="triangle"/>
                          </a:ln>
                          <a:effectLst/>
                        </wps:spPr>
                        <wps:bodyPr/>
                      </wps:wsp>
                      <wps:wsp>
                        <wps:cNvPr id="24" name="Conector: angular 24"/>
                        <wps:cNvCnPr>
                          <a:cxnSpLocks/>
                        </wps:cNvCnPr>
                        <wps:spPr>
                          <a:xfrm rot="16200000" flipV="1">
                            <a:off x="2388277" y="344195"/>
                            <a:ext cx="587036" cy="1072718"/>
                          </a:xfrm>
                          <a:prstGeom prst="bentConnector2">
                            <a:avLst/>
                          </a:prstGeom>
                          <a:noFill/>
                          <a:ln w="57150" cap="flat" cmpd="sng" algn="ctr">
                            <a:solidFill>
                              <a:srgbClr val="00B050"/>
                            </a:solidFill>
                            <a:prstDash val="solid"/>
                            <a:miter lim="800000"/>
                            <a:tailEnd type="triangle"/>
                          </a:ln>
                          <a:effectLst/>
                        </wps:spPr>
                        <wps:bodyPr/>
                      </wps:wsp>
                      <wps:wsp>
                        <wps:cNvPr id="25" name="CuadroTexto 19"/>
                        <wps:cNvSpPr txBox="1"/>
                        <wps:spPr>
                          <a:xfrm>
                            <a:off x="1475917" y="3006460"/>
                            <a:ext cx="1948750" cy="823595"/>
                          </a:xfrm>
                          <a:prstGeom prst="rect">
                            <a:avLst/>
                          </a:prstGeom>
                          <a:noFill/>
                        </wps:spPr>
                        <wps:txbx>
                          <w:txbxContent>
                            <w:p w14:paraId="3F9E9383" w14:textId="77777777" w:rsidR="0008467F" w:rsidRPr="0072303E" w:rsidRDefault="0008467F" w:rsidP="0008467F">
                              <w:pPr>
                                <w:rPr>
                                  <w:rFonts w:cs="Arial"/>
                                  <w:b/>
                                  <w:bCs/>
                                  <w:color w:val="000000" w:themeColor="text1"/>
                                  <w:kern w:val="24"/>
                                  <w:sz w:val="32"/>
                                  <w:szCs w:val="32"/>
                                </w:rPr>
                              </w:pPr>
                              <w:r w:rsidRPr="0072303E">
                                <w:rPr>
                                  <w:rFonts w:cs="Arial"/>
                                  <w:b/>
                                  <w:bCs/>
                                  <w:color w:val="000000" w:themeColor="text1"/>
                                  <w:kern w:val="24"/>
                                  <w:sz w:val="32"/>
                                  <w:szCs w:val="32"/>
                                </w:rPr>
                                <w:t>Diseño</w:t>
                              </w:r>
                            </w:p>
                          </w:txbxContent>
                        </wps:txbx>
                        <wps:bodyPr wrap="square" rtlCol="0">
                          <a:noAutofit/>
                        </wps:bodyPr>
                      </wps:wsp>
                      <wps:wsp>
                        <wps:cNvPr id="26" name="CuadroTexto 20"/>
                        <wps:cNvSpPr txBox="1"/>
                        <wps:spPr>
                          <a:xfrm>
                            <a:off x="4356872" y="677533"/>
                            <a:ext cx="4116070" cy="1083577"/>
                          </a:xfrm>
                          <a:prstGeom prst="rect">
                            <a:avLst/>
                          </a:prstGeom>
                          <a:noFill/>
                        </wps:spPr>
                        <wps:txbx>
                          <w:txbxContent>
                            <w:p w14:paraId="418DF204" w14:textId="77777777" w:rsidR="0008467F" w:rsidRPr="0072303E" w:rsidRDefault="0008467F" w:rsidP="0008467F">
                              <w:pPr>
                                <w:rPr>
                                  <w:rFonts w:cs="Arial"/>
                                  <w:b/>
                                  <w:bCs/>
                                  <w:color w:val="000000" w:themeColor="text1"/>
                                  <w:kern w:val="24"/>
                                  <w:sz w:val="28"/>
                                  <w:szCs w:val="28"/>
                                </w:rPr>
                              </w:pPr>
                              <w:r w:rsidRPr="0072303E">
                                <w:rPr>
                                  <w:rFonts w:cs="Arial"/>
                                  <w:b/>
                                  <w:bCs/>
                                  <w:color w:val="000000" w:themeColor="text1"/>
                                  <w:kern w:val="24"/>
                                  <w:sz w:val="28"/>
                                  <w:szCs w:val="28"/>
                                </w:rPr>
                                <w:t>Ejecución – Programas</w:t>
                              </w:r>
                              <w:r>
                                <w:rPr>
                                  <w:rFonts w:cs="Arial"/>
                                  <w:b/>
                                  <w:bCs/>
                                  <w:color w:val="000000" w:themeColor="text1"/>
                                  <w:kern w:val="24"/>
                                  <w:sz w:val="28"/>
                                  <w:szCs w:val="28"/>
                                </w:rPr>
                                <w:br/>
                                <w:t xml:space="preserve">        </w:t>
                              </w:r>
                              <w:r w:rsidRPr="0072303E">
                                <w:rPr>
                                  <w:rFonts w:cs="Arial"/>
                                  <w:b/>
                                  <w:bCs/>
                                  <w:color w:val="000000" w:themeColor="text1"/>
                                  <w:kern w:val="24"/>
                                  <w:sz w:val="28"/>
                                  <w:szCs w:val="28"/>
                                </w:rPr>
                                <w:t>Derivados del PDM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FC15D8E" id="Grupo 29" o:spid="_x0000_s1039" style="position:absolute;left:0;text-align:left;margin-left:-6.6pt;margin-top:32.35pt;width:432.6pt;height:241.8pt;z-index:251692032;mso-width-relative:margin;mso-height-relative:margin" coordsize="85817,4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">
                <v:shape id="Rectángulo: esquinas diagonales cortadas 14" o:spid="_x0000_s1040" style="position:absolute;width:21454;height:11740;visibility:visible;mso-wrap-style:square;v-text-anchor:middle" coordsize="2145436,1174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" adj="-11796480,,5400" path="m,l1949753,r195683,195683l2145436,1174072r,l195683,1174072,,978389,,xe" fillcolor="#bfbfbf" strokecolor="windowText" strokeweight="1pt">
                  <v:stroke joinstyle="miter"/>
                  <v:formulas/>
                  <v:path arrowok="t" o:connecttype="custom" o:connectlocs="0,0;1949753,0;2145436,195683;2145436,1174072;2145436,1174072;195683,1174072;0,978389;0,0" o:connectangles="0,0,0,0,0,0,0,0" textboxrect="0,0,2145436,1174072"/>
                  <v:textbox>
                    <w:txbxContent>
                      <w:p w14:paraId="2CB407A2" w14:textId="77777777" w:rsidR="0008467F" w:rsidRPr="0029780A" w:rsidRDefault="0008467F" w:rsidP="0008467F">
                        <w:pPr>
                          <w:jc w:val="center"/>
                          <w:rPr>
                            <w:rFonts w:cs="Arial"/>
                            <w:color w:val="FFFFFF" w:themeColor="light1"/>
                            <w:kern w:val="24"/>
                            <w:sz w:val="18"/>
                            <w:szCs w:val="18"/>
                          </w:rPr>
                        </w:pPr>
                        <w:r w:rsidRPr="0029780A">
                          <w:rPr>
                            <w:rFonts w:cs="Arial"/>
                            <w:color w:val="FFFFFF" w:themeColor="light1"/>
                            <w:kern w:val="24"/>
                            <w:sz w:val="18"/>
                            <w:szCs w:val="18"/>
                          </w:rPr>
                          <w:t>Plan Municipal de Desarrollo</w:t>
                        </w:r>
                        <w:r w:rsidRPr="0029780A">
                          <w:rPr>
                            <w:rFonts w:cs="Arial"/>
                            <w:color w:val="FFFFFF" w:themeColor="light1"/>
                            <w:kern w:val="24"/>
                            <w:sz w:val="18"/>
                            <w:szCs w:val="18"/>
                          </w:rPr>
                          <w:br/>
                          <w:t>202</w:t>
                        </w:r>
                        <w:r>
                          <w:rPr>
                            <w:rFonts w:cs="Arial"/>
                            <w:color w:val="FFFFFF" w:themeColor="light1"/>
                            <w:kern w:val="24"/>
                            <w:sz w:val="18"/>
                            <w:szCs w:val="18"/>
                          </w:rPr>
                          <w:t>5</w:t>
                        </w:r>
                        <w:r w:rsidRPr="0029780A">
                          <w:rPr>
                            <w:rFonts w:cs="Arial"/>
                            <w:color w:val="FFFFFF" w:themeColor="light1"/>
                            <w:kern w:val="24"/>
                            <w:sz w:val="18"/>
                            <w:szCs w:val="18"/>
                          </w:rPr>
                          <w:t>-202</w:t>
                        </w:r>
                        <w:r>
                          <w:rPr>
                            <w:rFonts w:cs="Arial"/>
                            <w:color w:val="FFFFFF" w:themeColor="light1"/>
                            <w:kern w:val="24"/>
                            <w:sz w:val="18"/>
                            <w:szCs w:val="18"/>
                          </w:rPr>
                          <w:t>7</w:t>
                        </w:r>
                      </w:p>
                    </w:txbxContent>
                  </v:textbox>
                </v:shape>
                <v:shape id="Rectángulo: esquinas diagonales cortadas 15" o:spid="_x0000_s1041" style="position:absolute;left:21454;top:11740;width:21454;height:11741;visibility:visible;mso-wrap-style:square;v-text-anchor:middle" coordsize="2145436,1174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" adj="-11796480,,5400" path="m,l1949753,r195683,195683l2145436,1174072r,l195683,1174072,,978389,,xe" fillcolor="#bfbfbf" strokecolor="windowText" strokeweight="1pt">
                  <v:stroke joinstyle="miter"/>
                  <v:formulas/>
                  <v:path arrowok="t" o:connecttype="custom" o:connectlocs="0,0;1949753,0;2145436,195683;2145436,1174072;2145436,1174072;195683,1174072;0,978389;0,0" o:connectangles="0,0,0,0,0,0,0,0" textboxrect="0,0,2145436,1174072"/>
                  <v:textbox>
                    <w:txbxContent>
                      <w:p w14:paraId="1195A7CC" w14:textId="77777777" w:rsidR="0008467F" w:rsidRPr="0072303E" w:rsidRDefault="0008467F" w:rsidP="0008467F">
                        <w:pPr>
                          <w:jc w:val="center"/>
                          <w:rPr>
                            <w:rFonts w:cs="Arial"/>
                            <w:color w:val="FFFFFF" w:themeColor="light1"/>
                            <w:kern w:val="24"/>
                          </w:rPr>
                        </w:pPr>
                        <w:r w:rsidRPr="0072303E">
                          <w:rPr>
                            <w:rFonts w:cs="Arial"/>
                            <w:color w:val="FFFFFF" w:themeColor="light1"/>
                            <w:kern w:val="24"/>
                          </w:rPr>
                          <w:t>Retos</w:t>
                        </w:r>
                        <w:r>
                          <w:rPr>
                            <w:rFonts w:cs="Arial"/>
                            <w:color w:val="FFFFFF" w:themeColor="light1"/>
                            <w:kern w:val="24"/>
                          </w:rPr>
                          <w:br/>
                        </w:r>
                        <w:r w:rsidRPr="0072303E">
                          <w:rPr>
                            <w:rFonts w:cs="Arial"/>
                            <w:color w:val="FFFFFF" w:themeColor="light1"/>
                            <w:kern w:val="24"/>
                          </w:rPr>
                          <w:t>(Objetivos)</w:t>
                        </w:r>
                      </w:p>
                    </w:txbxContent>
                  </v:textbox>
                </v:shape>
                <v:shape id="Rectángulo: esquinas diagonales cortadas 16" o:spid="_x0000_s1042" style="position:absolute;left:42908;top:23481;width:21455;height:11741;visibility:visible;mso-wrap-style:square;v-text-anchor:middle" coordsize="2145436,1174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" adj="-11796480,,5400" path="m,l1949753,r195683,195683l2145436,1174072r,l195683,1174072,,978389,,xe" fillcolor="#bfbfbf" strokecolor="windowText" strokeweight="1pt">
                  <v:stroke joinstyle="miter"/>
                  <v:formulas/>
                  <v:path arrowok="t" o:connecttype="custom" o:connectlocs="0,0;1949753,0;2145436,195683;2145436,1174072;2145436,1174072;195683,1174072;0,978389;0,0" o:connectangles="0,0,0,0,0,0,0,0" textboxrect="0,0,2145436,1174072"/>
                  <v:textbox>
                    <w:txbxContent>
                      <w:p w14:paraId="3552FDB3" w14:textId="77777777" w:rsidR="0008467F" w:rsidRPr="0029780A" w:rsidRDefault="0008467F" w:rsidP="0008467F">
                        <w:pPr>
                          <w:jc w:val="center"/>
                          <w:rPr>
                            <w:rFonts w:cs="Arial"/>
                            <w:color w:val="FFFFFF" w:themeColor="light1"/>
                            <w:kern w:val="24"/>
                          </w:rPr>
                        </w:pPr>
                        <w:r w:rsidRPr="0029780A">
                          <w:rPr>
                            <w:rFonts w:cs="Arial"/>
                            <w:color w:val="FFFFFF" w:themeColor="light1"/>
                            <w:kern w:val="24"/>
                          </w:rPr>
                          <w:t>Estrategias</w:t>
                        </w:r>
                      </w:p>
                    </w:txbxContent>
                  </v:textbox>
                </v:shape>
                <v:shape id="Rectángulo: esquinas diagonales cortadas 17" o:spid="_x0000_s1043" style="position:absolute;left:64363;top:35222;width:21454;height:11740;visibility:visible;mso-wrap-style:square;v-text-anchor:middle" coordsize="2145436,11740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" adj="-11796480,,5400" path="m,l1949753,r195683,195683l2145436,1174072r,l195683,1174072,,978389,,xe" fillcolor="#00b050" strokecolor="windowText" strokeweight="1pt">
                  <v:stroke joinstyle="miter"/>
                  <v:formulas/>
                  <v:path arrowok="t" o:connecttype="custom" o:connectlocs="0,0;1949753,0;2145436,195683;2145436,1174072;2145436,1174072;195683,1174072;0,978389;0,0" o:connectangles="0,0,0,0,0,0,0,0" textboxrect="0,0,2145436,1174072"/>
                  <v:textbox>
                    <w:txbxContent>
                      <w:p w14:paraId="4BDB8588" w14:textId="77777777" w:rsidR="0008467F" w:rsidRPr="0072303E" w:rsidRDefault="0008467F" w:rsidP="0008467F">
                        <w:pPr>
                          <w:jc w:val="center"/>
                          <w:rPr>
                            <w:rFonts w:cs="Arial"/>
                            <w:color w:val="FFFFFF" w:themeColor="light1"/>
                            <w:kern w:val="24"/>
                          </w:rPr>
                        </w:pPr>
                        <w:r w:rsidRPr="0072303E">
                          <w:rPr>
                            <w:rFonts w:cs="Arial"/>
                            <w:color w:val="FFFFFF" w:themeColor="light1"/>
                            <w:kern w:val="24"/>
                          </w:rPr>
                          <w:t>Líneas de acción</w:t>
                        </w:r>
                      </w:p>
                    </w:txbxContent>
                  </v:textbox>
                </v:shape>
                <v:shapetype id="_x0000_t33" coordsize="21600,21600" o:spt="33" o:oned="t" path="m,l21600,r,21600e" filled="f">
                  <v:stroke joinstyle="miter"/>
                  <v:path arrowok="t" fillok="f" o:connecttype="none"/>
                  <o:lock v:ext="edit" shapetype="t"/>
                </v:shapetype>
                <v:shape id="Conector: angular 18" o:spid="_x0000_s1044" type="#_x0000_t33" style="position:absolute;left:13155;top:9312;width:5871;height:107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" strokecolor="#7f7f7f" strokeweight="4.5pt">
                  <v:stroke endarrow="block"/>
                </v:shape>
                <v:shape id="Conector: angular 19" o:spid="_x0000_s1045" type="#_x0000_t33" style="position:absolute;left:34351;top:21052;width:5870;height:107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" strokecolor="#7f7f7f" strokeweight="4.5pt">
                  <v:stroke endarrow="block"/>
                </v:shape>
                <v:shape id="Conector: angular 21" o:spid="_x0000_s1046" type="#_x0000_t33" style="position:absolute;left:56064;top:32793;width:5870;height:107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" strokecolor="#7f7f7f" strokeweight="4.5pt">
                  <v:stroke endarrow="block"/>
                </v:shape>
                <v:shape id="Conector: angular 22" o:spid="_x0000_s1047" type="#_x0000_t33" style="position:absolute;left:66791;top:26923;width:5871;height:1072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" strokecolor="#00b050" strokeweight="4.5pt">
                  <v:stroke endarrow="block"/>
                  <o:lock v:ext="edit" shapetype="f"/>
                </v:shape>
                <v:shape id="Conector: angular 23" o:spid="_x0000_s1048" type="#_x0000_t33" style="position:absolute;left:45596;top:15232;width:5870;height:1072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" strokecolor="#00b050" strokeweight="4.5pt">
                  <v:stroke endarrow="block"/>
                  <o:lock v:ext="edit" shapetype="f"/>
                </v:shape>
                <v:shape id="Conector: angular 24" o:spid="_x0000_s1049" type="#_x0000_t33" style="position:absolute;left:23883;top:3441;width:5870;height:1072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" strokecolor="#00b050" strokeweight="4.5pt">
                  <v:stroke endarrow="block"/>
                  <o:lock v:ext="edit" shapetype="f"/>
                </v:shape>
                <v:shape id="CuadroTexto 19" o:spid="_x0000_s1050" type="#_x0000_t202" style="position:absolute;left:14759;top:30064;width:194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F9E9383" w14:textId="77777777" w:rsidR="0008467F" w:rsidRPr="0072303E" w:rsidRDefault="0008467F" w:rsidP="0008467F">
                        <w:pPr>
                          <w:rPr>
                            <w:rFonts w:cs="Arial"/>
                            <w:b/>
                            <w:bCs/>
                            <w:color w:val="000000" w:themeColor="text1"/>
                            <w:kern w:val="24"/>
                            <w:sz w:val="32"/>
                            <w:szCs w:val="32"/>
                          </w:rPr>
                        </w:pPr>
                        <w:r w:rsidRPr="0072303E">
                          <w:rPr>
                            <w:rFonts w:cs="Arial"/>
                            <w:b/>
                            <w:bCs/>
                            <w:color w:val="000000" w:themeColor="text1"/>
                            <w:kern w:val="24"/>
                            <w:sz w:val="32"/>
                            <w:szCs w:val="32"/>
                          </w:rPr>
                          <w:t>Diseño</w:t>
                        </w:r>
                      </w:p>
                    </w:txbxContent>
                  </v:textbox>
                </v:shape>
                <v:shape id="CuadroTexto 20" o:spid="_x0000_s1051" type="#_x0000_t202" style="position:absolute;left:43568;top:6775;width:41161;height:10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18DF204" w14:textId="77777777" w:rsidR="0008467F" w:rsidRPr="0072303E" w:rsidRDefault="0008467F" w:rsidP="0008467F">
                        <w:pPr>
                          <w:rPr>
                            <w:rFonts w:cs="Arial"/>
                            <w:b/>
                            <w:bCs/>
                            <w:color w:val="000000" w:themeColor="text1"/>
                            <w:kern w:val="24"/>
                            <w:sz w:val="28"/>
                            <w:szCs w:val="28"/>
                          </w:rPr>
                        </w:pPr>
                        <w:r w:rsidRPr="0072303E">
                          <w:rPr>
                            <w:rFonts w:cs="Arial"/>
                            <w:b/>
                            <w:bCs/>
                            <w:color w:val="000000" w:themeColor="text1"/>
                            <w:kern w:val="24"/>
                            <w:sz w:val="28"/>
                            <w:szCs w:val="28"/>
                          </w:rPr>
                          <w:t>Ejecución – Programas</w:t>
                        </w:r>
                        <w:r>
                          <w:rPr>
                            <w:rFonts w:cs="Arial"/>
                            <w:b/>
                            <w:bCs/>
                            <w:color w:val="000000" w:themeColor="text1"/>
                            <w:kern w:val="24"/>
                            <w:sz w:val="28"/>
                            <w:szCs w:val="28"/>
                          </w:rPr>
                          <w:br/>
                          <w:t xml:space="preserve">        </w:t>
                        </w:r>
                        <w:r w:rsidRPr="0072303E">
                          <w:rPr>
                            <w:rFonts w:cs="Arial"/>
                            <w:b/>
                            <w:bCs/>
                            <w:color w:val="000000" w:themeColor="text1"/>
                            <w:kern w:val="24"/>
                            <w:sz w:val="28"/>
                            <w:szCs w:val="28"/>
                          </w:rPr>
                          <w:t>Derivados del PDM</w:t>
                        </w:r>
                      </w:p>
                    </w:txbxContent>
                  </v:textbox>
                </v:shape>
              </v:group>
            </w:pict>
          </mc:Fallback>
        </mc:AlternateContent>
      </w:r>
      <w:r w:rsidRPr="00A8706C">
        <w:rPr>
          <w:rFonts w:eastAsia="Times New Roman" w:cs="Arial"/>
          <w:b/>
          <w:bCs/>
          <w:lang w:eastAsia="es-ES_tradnl"/>
        </w:rPr>
        <w:t>ESTRUCTURA DEL PLAN MUNICIPAL DE DESARROLLO 2025-2027</w:t>
      </w:r>
    </w:p>
    <w:p w14:paraId="48DB478D" w14:textId="0D8F5B15" w:rsidR="0008467F" w:rsidRPr="00A8706C" w:rsidRDefault="0008467F" w:rsidP="00B205BA">
      <w:pPr>
        <w:spacing w:after="120" w:line="240" w:lineRule="auto"/>
        <w:jc w:val="center"/>
        <w:rPr>
          <w:rFonts w:eastAsia="Times New Roman" w:cs="Arial"/>
          <w:b/>
          <w:bCs/>
          <w:lang w:eastAsia="es-ES_tradnl"/>
        </w:rPr>
      </w:pPr>
    </w:p>
    <w:p w14:paraId="1F54C491" w14:textId="3C9C6BCE" w:rsidR="0008467F" w:rsidRPr="00A8706C" w:rsidRDefault="0008467F" w:rsidP="00B205BA">
      <w:pPr>
        <w:spacing w:after="120" w:line="240" w:lineRule="auto"/>
        <w:rPr>
          <w:rFonts w:eastAsia="Times New Roman" w:cs="Arial"/>
          <w:lang w:eastAsia="es-ES_tradnl"/>
        </w:rPr>
      </w:pPr>
    </w:p>
    <w:p w14:paraId="1205A813" w14:textId="687BFF68" w:rsidR="0008467F" w:rsidRPr="00A8706C" w:rsidRDefault="0008467F" w:rsidP="00B205BA">
      <w:pPr>
        <w:spacing w:after="120" w:line="240" w:lineRule="auto"/>
        <w:rPr>
          <w:rFonts w:eastAsia="Times New Roman" w:cs="Arial"/>
          <w:lang w:eastAsia="es-ES_tradnl"/>
        </w:rPr>
      </w:pPr>
    </w:p>
    <w:p w14:paraId="7E0D999F" w14:textId="57E90492" w:rsidR="0008467F" w:rsidRPr="00A8706C" w:rsidRDefault="0008467F" w:rsidP="00B205BA">
      <w:pPr>
        <w:spacing w:after="120" w:line="240" w:lineRule="auto"/>
        <w:rPr>
          <w:rFonts w:eastAsia="Times New Roman" w:cs="Arial"/>
          <w:lang w:eastAsia="es-ES_tradnl"/>
        </w:rPr>
      </w:pPr>
    </w:p>
    <w:p w14:paraId="6ACB55DB" w14:textId="77777777" w:rsidR="0008467F" w:rsidRPr="00A8706C" w:rsidRDefault="0008467F" w:rsidP="00B205BA">
      <w:pPr>
        <w:spacing w:after="120" w:line="240" w:lineRule="auto"/>
        <w:rPr>
          <w:rFonts w:eastAsia="Times New Roman" w:cs="Arial"/>
          <w:lang w:eastAsia="es-ES_tradnl"/>
        </w:rPr>
      </w:pPr>
    </w:p>
    <w:p w14:paraId="15A99E62" w14:textId="77777777" w:rsidR="0008467F" w:rsidRPr="00A8706C" w:rsidRDefault="0008467F" w:rsidP="00B205BA">
      <w:pPr>
        <w:spacing w:after="120" w:line="240" w:lineRule="auto"/>
        <w:rPr>
          <w:rFonts w:eastAsia="Times New Roman" w:cs="Arial"/>
          <w:lang w:eastAsia="es-ES_tradnl"/>
        </w:rPr>
      </w:pPr>
    </w:p>
    <w:p w14:paraId="272DD7C4" w14:textId="77777777" w:rsidR="0008467F" w:rsidRPr="00A8706C" w:rsidRDefault="0008467F" w:rsidP="00B205BA">
      <w:pPr>
        <w:spacing w:after="120" w:line="240" w:lineRule="auto"/>
        <w:rPr>
          <w:rFonts w:eastAsia="Times New Roman" w:cs="Arial"/>
          <w:lang w:eastAsia="es-ES_tradnl"/>
        </w:rPr>
      </w:pPr>
    </w:p>
    <w:p w14:paraId="4A8FABFC" w14:textId="77777777" w:rsidR="0008467F" w:rsidRDefault="0008467F" w:rsidP="00B205BA">
      <w:pPr>
        <w:spacing w:before="100" w:beforeAutospacing="1" w:after="120" w:line="240" w:lineRule="auto"/>
        <w:rPr>
          <w:rFonts w:eastAsia="Times New Roman" w:cs="Arial"/>
          <w:lang w:eastAsia="es-ES_tradnl"/>
        </w:rPr>
      </w:pPr>
    </w:p>
    <w:p w14:paraId="6585D1AA" w14:textId="77777777" w:rsidR="0008467F" w:rsidRPr="00A8706C" w:rsidRDefault="0008467F" w:rsidP="00B205BA">
      <w:pPr>
        <w:spacing w:before="100" w:beforeAutospacing="1" w:after="120" w:line="240" w:lineRule="auto"/>
        <w:rPr>
          <w:rFonts w:eastAsia="Times New Roman" w:cs="Arial"/>
          <w:lang w:eastAsia="es-ES_tradnl"/>
        </w:rPr>
      </w:pPr>
    </w:p>
    <w:p w14:paraId="0AAE2B35" w14:textId="77777777" w:rsidR="008511B6" w:rsidRDefault="008511B6" w:rsidP="00B205BA">
      <w:pPr>
        <w:spacing w:before="100" w:beforeAutospacing="1" w:after="120" w:line="240" w:lineRule="auto"/>
        <w:outlineLvl w:val="2"/>
        <w:rPr>
          <w:rFonts w:eastAsia="Times New Roman" w:cs="Arial"/>
          <w:lang w:eastAsia="es-ES_tradnl"/>
        </w:rPr>
      </w:pPr>
    </w:p>
    <w:p w14:paraId="11427A4E" w14:textId="77777777" w:rsidR="008511B6" w:rsidRDefault="008511B6" w:rsidP="00B205BA">
      <w:pPr>
        <w:spacing w:before="100" w:beforeAutospacing="1" w:after="120" w:line="240" w:lineRule="auto"/>
        <w:outlineLvl w:val="2"/>
        <w:rPr>
          <w:rFonts w:eastAsia="Times New Roman" w:cs="Arial"/>
          <w:lang w:eastAsia="es-ES_tradnl"/>
        </w:rPr>
      </w:pPr>
    </w:p>
    <w:p w14:paraId="55DEFEBB" w14:textId="77777777" w:rsidR="007503ED" w:rsidRDefault="007503ED" w:rsidP="00AE0DCA">
      <w:pPr>
        <w:spacing w:after="120" w:line="240" w:lineRule="auto"/>
        <w:rPr>
          <w:rFonts w:eastAsia="Times New Roman"/>
          <w:lang w:eastAsia="es-ES_tradnl"/>
        </w:rPr>
      </w:pPr>
    </w:p>
    <w:p w14:paraId="1B53FC1C" w14:textId="77777777" w:rsidR="007503ED" w:rsidRDefault="007503ED" w:rsidP="00AE0DCA">
      <w:pPr>
        <w:spacing w:after="120" w:line="240" w:lineRule="auto"/>
        <w:rPr>
          <w:rFonts w:eastAsia="Times New Roman"/>
          <w:lang w:eastAsia="es-ES_tradnl"/>
        </w:rPr>
      </w:pPr>
    </w:p>
    <w:p w14:paraId="6FDE7576" w14:textId="77777777" w:rsidR="007503ED" w:rsidRDefault="007503ED" w:rsidP="00AE0DCA">
      <w:pPr>
        <w:spacing w:after="120" w:line="240" w:lineRule="auto"/>
        <w:rPr>
          <w:rFonts w:eastAsia="Times New Roman"/>
          <w:lang w:eastAsia="es-ES_tradnl"/>
        </w:rPr>
      </w:pPr>
    </w:p>
    <w:p w14:paraId="04C5C2D5" w14:textId="7FFB89B2" w:rsidR="0008467F" w:rsidRPr="00A8706C" w:rsidRDefault="0008467F" w:rsidP="00AE0DCA">
      <w:pPr>
        <w:spacing w:after="120" w:line="240" w:lineRule="auto"/>
        <w:rPr>
          <w:rFonts w:eastAsia="Times New Roman"/>
          <w:lang w:eastAsia="es-ES_tradnl"/>
        </w:rPr>
      </w:pPr>
      <w:r w:rsidRPr="00A8706C">
        <w:rPr>
          <w:rFonts w:eastAsia="Times New Roman"/>
          <w:lang w:eastAsia="es-ES_tradnl"/>
        </w:rPr>
        <w:t>Esta Administración, con el fin de fortalecer la planeación del desarrollo municipal, ha adoptado un enfoque de mejora continua, entendido como un proceso estructurado y dinámico cuyo objetivo es implementar acciones efectivas y evaluar de manera constante los resultados. Este enfoque se sustenta en principios de calidad y mejora continua, y se adapta a las necesidades cambiantes de la comunidad y a las realidades del entorno.</w:t>
      </w:r>
    </w:p>
    <w:p w14:paraId="31D02884" w14:textId="1B25D43E" w:rsidR="0008467F" w:rsidRPr="00626AB9" w:rsidRDefault="0008467F" w:rsidP="00AE0DCA">
      <w:pPr>
        <w:spacing w:after="120" w:line="240" w:lineRule="auto"/>
        <w:rPr>
          <w:rFonts w:eastAsia="Times New Roman"/>
          <w:b/>
          <w:bCs/>
          <w:lang w:eastAsia="es-ES_tradnl"/>
        </w:rPr>
      </w:pPr>
      <w:r w:rsidRPr="00626AB9">
        <w:rPr>
          <w:rFonts w:eastAsia="Times New Roman"/>
          <w:b/>
          <w:bCs/>
          <w:lang w:eastAsia="es-ES_tradnl"/>
        </w:rPr>
        <w:t>Enfoque de Mejora Continua</w:t>
      </w:r>
      <w:r w:rsidR="00626AB9">
        <w:rPr>
          <w:rFonts w:eastAsia="Times New Roman"/>
          <w:b/>
          <w:bCs/>
          <w:lang w:eastAsia="es-ES_tradnl"/>
        </w:rPr>
        <w:t>.</w:t>
      </w:r>
    </w:p>
    <w:p w14:paraId="4282E77F"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Se basa en la filosofía de ciclo de calidad conocido como PHVA (Planear-Hacer-Verificar-Ajustar), con el fin de realizar ajustes continuos a las estrategias, en función de los resultados obtenidos y los cambios en el entorno, fomenta la inclusión de la comunidad en el proceso de planeación, ejecución y evaluación, lo que aumenta la legitimidad y efectividad de las acciones y promueve un desarrollo equilibrado y sostenible, tanto en el ámbito social, económico, ambiental y cultural.</w:t>
      </w:r>
    </w:p>
    <w:p w14:paraId="32F7CF00"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Cada ciclo alimenta y refuerza al siguiente, asegurando que los procesos de desarrollo no sean rígidos, sino que se adapten a las nuevas circunstancias y aprendizajes.</w:t>
      </w:r>
    </w:p>
    <w:p w14:paraId="67CD0100"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1.</w:t>
      </w:r>
      <w:r w:rsidRPr="00AE0DCA">
        <w:rPr>
          <w:rFonts w:eastAsia="Times New Roman" w:cs="Arial"/>
          <w:lang w:eastAsia="es-ES_tradnl"/>
        </w:rPr>
        <w:tab/>
        <w:t>Planificar (P): Diagnóstico, identificación de objetivos, diseño de estrategias y proyectos.</w:t>
      </w:r>
    </w:p>
    <w:p w14:paraId="3EAC3A36"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2.</w:t>
      </w:r>
      <w:r w:rsidRPr="00AE0DCA">
        <w:rPr>
          <w:rFonts w:eastAsia="Times New Roman" w:cs="Arial"/>
          <w:lang w:eastAsia="es-ES_tradnl"/>
        </w:rPr>
        <w:tab/>
        <w:t>Hacer (H): Implementación de acciones y ejecución de proyectos.</w:t>
      </w:r>
    </w:p>
    <w:p w14:paraId="704201F4"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3.</w:t>
      </w:r>
      <w:r w:rsidRPr="00AE0DCA">
        <w:rPr>
          <w:rFonts w:eastAsia="Times New Roman" w:cs="Arial"/>
          <w:lang w:eastAsia="es-ES_tradnl"/>
        </w:rPr>
        <w:tab/>
        <w:t>Verificar (V): Monitoreo, evaluación y análisis de resultados.</w:t>
      </w:r>
    </w:p>
    <w:p w14:paraId="2F51F3C3"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4.</w:t>
      </w:r>
      <w:r w:rsidRPr="00AE0DCA">
        <w:rPr>
          <w:rFonts w:eastAsia="Times New Roman" w:cs="Arial"/>
          <w:lang w:eastAsia="es-ES_tradnl"/>
        </w:rPr>
        <w:tab/>
        <w:t>Ajustar (A): Realizar ajustes y mejoras basadas en la evaluación.</w:t>
      </w:r>
    </w:p>
    <w:p w14:paraId="76015F12"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lastRenderedPageBreak/>
        <w:t>A continuación, se describen las etapas clave de este ciclo:</w:t>
      </w:r>
    </w:p>
    <w:p w14:paraId="2DA93093"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1. Diagnóstico y análisis de la situación actual</w:t>
      </w:r>
    </w:p>
    <w:p w14:paraId="4EB934C5" w14:textId="444D1D30"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•Objetivo: Identificar las necesidades, problemas y oportunidades de desarrollo del municipio. Este diagnóstico se basa en la recolección y análisis de datos relevantes sobre los recursos, infraestructura, servicios públicos, calidad de vida, empleo, educación, salud, seguridad, entre otros.</w:t>
      </w:r>
    </w:p>
    <w:p w14:paraId="322A3A57" w14:textId="5D6594E0"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•Herramientas: Encuestas, entrevistas, análisis estadístico, mesas de trabajo con actores locales.</w:t>
      </w:r>
    </w:p>
    <w:p w14:paraId="190CEE1B" w14:textId="1D0D386F"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•Resultado: Un mapa claro de los problemas y potencialidades del municipio.</w:t>
      </w:r>
    </w:p>
    <w:p w14:paraId="201734C3"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2. Establecimiento de objetivos y metas</w:t>
      </w:r>
    </w:p>
    <w:p w14:paraId="354FE419" w14:textId="1F3AB2BF"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•Objetivo: Definir las metas específicas que el municipio quiere alcanzar en un periodo determinado.</w:t>
      </w:r>
    </w:p>
    <w:p w14:paraId="54EE62F4" w14:textId="29E81A9C"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•Características: Los objetivos deben ser SMART (específicos, medibles, alcanzables, relevantes y con límite de tiempo).</w:t>
      </w:r>
    </w:p>
    <w:p w14:paraId="58571C9B" w14:textId="4851A89D"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•Resultado: Un conjunto claro de objetivos alineados con las necesidades de la comunidad y las prioridades del gobierno municipal.</w:t>
      </w:r>
    </w:p>
    <w:p w14:paraId="20F14AB7"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3. Planificación estratégica</w:t>
      </w:r>
    </w:p>
    <w:p w14:paraId="63CC113D" w14:textId="7FBE75FC"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•Objetivo: Elaborar un plan de acción para alcanzar los objetivos y metas planteadas. Esto incluye la definición de proyectos, programas y acciones concretas, así como la asignación de recursos y la identificación de responsables.</w:t>
      </w:r>
    </w:p>
    <w:p w14:paraId="26BE4B4C" w14:textId="48C1346A"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•Acciones: Identificación de prioridades, diseño de proyectos, asignación de presupuesto, elaboración de actividades, entre otros.</w:t>
      </w:r>
    </w:p>
    <w:p w14:paraId="6D5B58EE" w14:textId="3704A7B1"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•Resultado: Un Plan Municipal de Desarrollo que sirva como hoja de ruta para el desarrollo integral del municipio.</w:t>
      </w:r>
    </w:p>
    <w:p w14:paraId="646F96BF"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4. Implementación de acciones</w:t>
      </w:r>
    </w:p>
    <w:p w14:paraId="27F719FF" w14:textId="48A1FB54"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•Objetivo: Ejecutar los proyectos y programas establecidos en el plan estratégico.</w:t>
      </w:r>
    </w:p>
    <w:p w14:paraId="4DAD01BC" w14:textId="0933B10B"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•Proceso: Coordinación de recursos humanos, financieros y materiales, supervisión de actividades y cumplimiento de los plazos establecidos.</w:t>
      </w:r>
    </w:p>
    <w:p w14:paraId="012868AF" w14:textId="1F1B9936"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•Resultado: La materialización de los proyectos y programas en el terreno, con la participación activa de la comunidad y los actores clave.</w:t>
      </w:r>
    </w:p>
    <w:p w14:paraId="0644BDD2"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5. Monitoreo y evaluación continua</w:t>
      </w:r>
    </w:p>
    <w:p w14:paraId="1632D644" w14:textId="00D17886"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lastRenderedPageBreak/>
        <w:t>•Objetivo: Realizar un seguimiento y evaluación sistemática del progreso de los proyectos y programas en función de los indicadores previamente establecidos.</w:t>
      </w:r>
    </w:p>
    <w:p w14:paraId="3752BDC9" w14:textId="7F09603A"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•Herramientas: Indicadores de desempeño, auditorías internas, reuniones de seguimiento, informes periódicos.</w:t>
      </w:r>
    </w:p>
    <w:p w14:paraId="7C47A2BC" w14:textId="25BD9014"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•Resultado: La medición de los avances, la identificación de posibles desviaciones y la toma de decisiones para corregir el rumbo si es necesario.</w:t>
      </w:r>
    </w:p>
    <w:p w14:paraId="633B0D17"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6. Retroalimentación y ajuste</w:t>
      </w:r>
    </w:p>
    <w:p w14:paraId="6B7222DD" w14:textId="744D09C8"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•Objetivo: Basándose en los resultados del monitoreo y evaluación, ajustar las estrategias, metas o proyectos según sea necesario para mejorar su efectividad.</w:t>
      </w:r>
    </w:p>
    <w:p w14:paraId="14B06DA0" w14:textId="4A7D388A"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•Proceso: Identificación de áreas de mejora, modificaciones al plan o los proyectos, optimización de recursos, adaptación a cambios en el contexto social o económico.</w:t>
      </w:r>
    </w:p>
    <w:p w14:paraId="4F6A57FC" w14:textId="40EEDBC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•Resultado: Un proceso de retroalimentación que permita mejorar continuamente la calidad de los proyectos y programas municipales.</w:t>
      </w:r>
    </w:p>
    <w:p w14:paraId="3DBE359D"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7. Reiniciar el ciclo</w:t>
      </w:r>
    </w:p>
    <w:p w14:paraId="451BA46C" w14:textId="26722C5F"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•Objetivo: El ciclo de planeación no es estático, sino que se reinicia continuamente con nuevos diagnósticos y ajustes, incorporando la experiencia adquirida en cada ciclo.</w:t>
      </w:r>
    </w:p>
    <w:p w14:paraId="507F9BA6" w14:textId="051D1281"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•Resultado: La mejora continua del municipio en todos sus aspectos.</w:t>
      </w:r>
    </w:p>
    <w:p w14:paraId="4A831608"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Este enfoque de mejora continua permite que el desarrollo municipal sea dinámico y flexible, respondiendo a las necesidades reales de la comunidad y alcanzando mayores impactos a lo largo del tiempo.</w:t>
      </w:r>
    </w:p>
    <w:p w14:paraId="21F10BDF"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 xml:space="preserve">Mediante el seguimiento se identificarán los posibles cambios y correcciones que se deben hacer principalmente al proceso de implementación de las políticas y programas públicos, pero también se generará información valiosa que permita ajustar todas las etapas del ciclo presupuestario, con el fin de producir valor público. </w:t>
      </w:r>
    </w:p>
    <w:p w14:paraId="3761311F"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Para realizar la evaluación y contar con elementos para la toma de decisiones, se establecerán los indicadores de resultados e impacto que identificarán el avance en el cumplimiento de las metas establecidas y su comportamiento a través de los siguientes parámetros de semaforización:</w:t>
      </w:r>
    </w:p>
    <w:p w14:paraId="26A63433" w14:textId="475B981C"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•Aceptable (verde)</w:t>
      </w:r>
    </w:p>
    <w:p w14:paraId="512D5C5F" w14:textId="1FE73B52"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•Con riesgo (amarillo)</w:t>
      </w:r>
    </w:p>
    <w:p w14:paraId="543D8C2A" w14:textId="04DB87C4"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•Crítico (rojo)</w:t>
      </w:r>
    </w:p>
    <w:p w14:paraId="5837176D"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Los parámetros de semaforización se establecerán de acuerdo con el sentido del indicador respecto a la meta (sentido ascendente o descendente).</w:t>
      </w:r>
    </w:p>
    <w:p w14:paraId="548A8737" w14:textId="77777777" w:rsidR="00AE0DCA" w:rsidRPr="00AE0DCA"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lastRenderedPageBreak/>
        <w:t xml:space="preserve">Las dependencias y entidades de la Administración Pública Municipal deberán reportar el avance en el cumplimiento de sus objetivos y metas de acuerdo con la frecuencia de medición de los indicadores de desempeño bajo su responsabilidad. </w:t>
      </w:r>
    </w:p>
    <w:p w14:paraId="6F1569A2" w14:textId="617221EB" w:rsidR="00261A27" w:rsidRDefault="00AE0DCA" w:rsidP="00AE0DCA">
      <w:pPr>
        <w:spacing w:before="100" w:beforeAutospacing="1" w:after="120" w:line="240" w:lineRule="auto"/>
        <w:rPr>
          <w:rFonts w:eastAsia="Times New Roman" w:cs="Arial"/>
          <w:lang w:eastAsia="es-ES_tradnl"/>
        </w:rPr>
      </w:pPr>
      <w:r w:rsidRPr="00AE0DCA">
        <w:rPr>
          <w:rFonts w:eastAsia="Times New Roman" w:cs="Arial"/>
          <w:lang w:eastAsia="es-ES_tradnl"/>
        </w:rPr>
        <w:t>El seguimiento y evaluación con participación ciudadana crea un ciclo de retroalimentación continuo entre la sociedad y el gobierno local. A través de reuniones, encuestas, mesas de trabajo o plataformas digitales, la comunidad puede expresar sus opiniones, lo que permite a las autoridades realizar ajustes en tiempo real. Este proceso no se limita a un análisis final, sino que se convierte en una constante revisión y mejora de las políticas públicas durante todo su ciclo de vida.</w:t>
      </w:r>
    </w:p>
    <w:p w14:paraId="41AC1416" w14:textId="77777777" w:rsidR="00261A27" w:rsidRPr="0008467F" w:rsidRDefault="00261A27" w:rsidP="00B205BA">
      <w:pPr>
        <w:spacing w:before="100" w:beforeAutospacing="1" w:after="120" w:line="240" w:lineRule="auto"/>
        <w:rPr>
          <w:rFonts w:eastAsia="Times New Roman" w:cs="Arial"/>
          <w:lang w:eastAsia="es-ES_tradnl"/>
        </w:rPr>
      </w:pPr>
    </w:p>
    <w:p w14:paraId="678ED969" w14:textId="338783C6" w:rsidR="0008467F" w:rsidRPr="00A8706C" w:rsidRDefault="0008467F" w:rsidP="00B205BA">
      <w:pPr>
        <w:spacing w:after="120" w:line="240" w:lineRule="auto"/>
        <w:jc w:val="center"/>
        <w:rPr>
          <w:rFonts w:eastAsia="Times New Roman" w:cs="Arial"/>
          <w:b/>
          <w:bCs/>
          <w:lang w:eastAsia="es-ES_tradnl"/>
        </w:rPr>
      </w:pPr>
      <w:r w:rsidRPr="00A8706C">
        <w:rPr>
          <w:rFonts w:eastAsia="Times New Roman" w:cs="Arial"/>
          <w:b/>
          <w:bCs/>
          <w:lang w:eastAsia="es-ES_tradnl"/>
        </w:rPr>
        <w:t>PROCESO DE SEGUIMIENTO Y EVALUACIÓN DEL PMD 2025-2027</w:t>
      </w:r>
    </w:p>
    <w:p w14:paraId="6E377DF0" w14:textId="6C2A3F3F" w:rsidR="0008467F" w:rsidRPr="00A8706C" w:rsidRDefault="0008467F" w:rsidP="00B205BA">
      <w:pPr>
        <w:spacing w:after="120" w:line="240" w:lineRule="auto"/>
        <w:rPr>
          <w:rFonts w:eastAsia="Times New Roman" w:cs="Arial"/>
          <w:lang w:eastAsia="es-ES_tradnl"/>
        </w:rPr>
      </w:pPr>
      <w:r w:rsidRPr="00A8706C">
        <w:rPr>
          <w:rFonts w:eastAsia="Times New Roman" w:cs="Arial"/>
          <w:noProof/>
          <w:lang w:eastAsia="es-ES_tradnl"/>
        </w:rPr>
        <mc:AlternateContent>
          <mc:Choice Requires="wpg">
            <w:drawing>
              <wp:anchor distT="0" distB="0" distL="114300" distR="114300" simplePos="0" relativeHeight="251691008" behindDoc="0" locked="0" layoutInCell="1" allowOverlap="1" wp14:anchorId="157AA79C" wp14:editId="68ABFAE4">
                <wp:simplePos x="0" y="0"/>
                <wp:positionH relativeFrom="margin">
                  <wp:align>right</wp:align>
                </wp:positionH>
                <wp:positionV relativeFrom="paragraph">
                  <wp:posOffset>36195</wp:posOffset>
                </wp:positionV>
                <wp:extent cx="5547360" cy="6057900"/>
                <wp:effectExtent l="0" t="0" r="0" b="19050"/>
                <wp:wrapNone/>
                <wp:docPr id="27" name="Grupo 41"/>
                <wp:cNvGraphicFramePr/>
                <a:graphic xmlns:a="http://schemas.openxmlformats.org/drawingml/2006/main">
                  <a:graphicData uri="http://schemas.microsoft.com/office/word/2010/wordprocessingGroup">
                    <wpg:wgp>
                      <wpg:cNvGrpSpPr/>
                      <wpg:grpSpPr>
                        <a:xfrm>
                          <a:off x="0" y="0"/>
                          <a:ext cx="5547360" cy="6057900"/>
                          <a:chOff x="0" y="-12571"/>
                          <a:chExt cx="9504312" cy="5297864"/>
                        </a:xfrm>
                      </wpg:grpSpPr>
                      <wps:wsp>
                        <wps:cNvPr id="28" name="Rectángulo 28"/>
                        <wps:cNvSpPr/>
                        <wps:spPr>
                          <a:xfrm>
                            <a:off x="2336424" y="1"/>
                            <a:ext cx="2160000" cy="2160000"/>
                          </a:xfrm>
                          <a:prstGeom prst="rect">
                            <a:avLst/>
                          </a:prstGeom>
                          <a:solidFill>
                            <a:srgbClr val="70AD47">
                              <a:lumMod val="75000"/>
                            </a:srgbClr>
                          </a:solidFill>
                          <a:ln w="12700" cap="flat" cmpd="sng" algn="ctr">
                            <a:solidFill>
                              <a:srgbClr val="4472C4">
                                <a:shade val="50000"/>
                              </a:srgbClr>
                            </a:solidFill>
                            <a:prstDash val="solid"/>
                            <a:miter lim="800000"/>
                          </a:ln>
                          <a:effectLst/>
                        </wps:spPr>
                        <wps:bodyPr rtlCol="0" anchor="ctr"/>
                      </wps:wsp>
                      <wps:wsp>
                        <wps:cNvPr id="29" name="Rectángulo 29"/>
                        <wps:cNvSpPr/>
                        <wps:spPr>
                          <a:xfrm>
                            <a:off x="4648824" y="1"/>
                            <a:ext cx="2160000" cy="2160000"/>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bodyPr rtlCol="0" anchor="ctr"/>
                      </wps:wsp>
                      <wpg:grpSp>
                        <wpg:cNvPr id="30" name="Grupo 30"/>
                        <wpg:cNvGrpSpPr/>
                        <wpg:grpSpPr>
                          <a:xfrm>
                            <a:off x="0" y="-12571"/>
                            <a:ext cx="9504312" cy="5297864"/>
                            <a:chOff x="0" y="-12571"/>
                            <a:chExt cx="9504312" cy="5297864"/>
                          </a:xfrm>
                        </wpg:grpSpPr>
                        <wps:wsp>
                          <wps:cNvPr id="31" name="Rectángulo 31"/>
                          <wps:cNvSpPr/>
                          <wps:spPr>
                            <a:xfrm>
                              <a:off x="2336424" y="2327430"/>
                              <a:ext cx="2160000" cy="2160000"/>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bodyPr rtlCol="0" anchor="ctr"/>
                        </wps:wsp>
                        <wps:wsp>
                          <wps:cNvPr id="32" name="Rectángulo 32"/>
                          <wps:cNvSpPr/>
                          <wps:spPr>
                            <a:xfrm>
                              <a:off x="4648824" y="2327430"/>
                              <a:ext cx="2160000" cy="2160000"/>
                            </a:xfrm>
                            <a:prstGeom prst="rect">
                              <a:avLst/>
                            </a:prstGeom>
                            <a:solidFill>
                              <a:srgbClr val="70AD47">
                                <a:lumMod val="75000"/>
                              </a:srgbClr>
                            </a:solidFill>
                            <a:ln w="12700" cap="flat" cmpd="sng" algn="ctr">
                              <a:solidFill>
                                <a:srgbClr val="4472C4">
                                  <a:shade val="50000"/>
                                </a:srgbClr>
                              </a:solidFill>
                              <a:prstDash val="solid"/>
                              <a:miter lim="800000"/>
                            </a:ln>
                            <a:effectLst/>
                          </wps:spPr>
                          <wps:bodyPr rtlCol="0" anchor="ctr"/>
                        </wps:wsp>
                        <wps:wsp>
                          <wps:cNvPr id="33" name="Rectángulo 33"/>
                          <wps:cNvSpPr/>
                          <wps:spPr>
                            <a:xfrm>
                              <a:off x="3492624" y="1080001"/>
                              <a:ext cx="2160000" cy="2160000"/>
                            </a:xfrm>
                            <a:prstGeom prst="rect">
                              <a:avLst/>
                            </a:prstGeom>
                            <a:solidFill>
                              <a:sysClr val="window" lastClr="FFFFFF">
                                <a:lumMod val="50000"/>
                              </a:sysClr>
                            </a:solidFill>
                            <a:ln w="12700" cap="flat" cmpd="sng" algn="ctr">
                              <a:solidFill>
                                <a:sysClr val="windowText" lastClr="000000"/>
                              </a:solidFill>
                              <a:prstDash val="solid"/>
                              <a:miter lim="800000"/>
                            </a:ln>
                            <a:effectLst/>
                          </wps:spPr>
                          <wps:txbx>
                            <w:txbxContent>
                              <w:p w14:paraId="7D8A4CBB" w14:textId="77777777" w:rsidR="0008467F" w:rsidRPr="00A9295A" w:rsidRDefault="0008467F" w:rsidP="0008467F">
                                <w:pPr>
                                  <w:jc w:val="center"/>
                                  <w:rPr>
                                    <w:rFonts w:cs="Arial"/>
                                    <w:color w:val="FFFFFF" w:themeColor="light1"/>
                                    <w:kern w:val="24"/>
                                  </w:rPr>
                                </w:pPr>
                                <w:r w:rsidRPr="00A9295A">
                                  <w:rPr>
                                    <w:rFonts w:cs="Arial"/>
                                    <w:color w:val="FFFFFF" w:themeColor="light1"/>
                                    <w:kern w:val="24"/>
                                  </w:rPr>
                                  <w:t>Sistema de Planeación Democrática Municipal</w:t>
                                </w:r>
                              </w:p>
                            </w:txbxContent>
                          </wps:txbx>
                          <wps:bodyPr rtlCol="0" anchor="ctr"/>
                        </wps:wsp>
                        <wps:wsp>
                          <wps:cNvPr id="34" name="Rectángulo 34"/>
                          <wps:cNvSpPr/>
                          <wps:spPr>
                            <a:xfrm>
                              <a:off x="167012" y="4776188"/>
                              <a:ext cx="9005218" cy="509105"/>
                            </a:xfrm>
                            <a:prstGeom prst="rect">
                              <a:avLst/>
                            </a:prstGeom>
                            <a:solidFill>
                              <a:sysClr val="window" lastClr="FFFFFF">
                                <a:lumMod val="50000"/>
                              </a:sysClr>
                            </a:solidFill>
                            <a:ln w="12700" cap="flat" cmpd="sng" algn="ctr">
                              <a:solidFill>
                                <a:srgbClr val="4472C4">
                                  <a:shade val="50000"/>
                                </a:srgbClr>
                              </a:solidFill>
                              <a:prstDash val="solid"/>
                              <a:miter lim="800000"/>
                            </a:ln>
                            <a:effectLst/>
                          </wps:spPr>
                          <wps:txbx>
                            <w:txbxContent>
                              <w:p w14:paraId="3DAE9480" w14:textId="77777777" w:rsidR="0008467F" w:rsidRPr="00A9295A" w:rsidRDefault="0008467F" w:rsidP="0008467F">
                                <w:pPr>
                                  <w:jc w:val="center"/>
                                  <w:rPr>
                                    <w:rFonts w:hAnsi="Calibri"/>
                                    <w:color w:val="FFFFFF" w:themeColor="light1"/>
                                    <w:kern w:val="24"/>
                                  </w:rPr>
                                </w:pPr>
                                <w:r>
                                  <w:rPr>
                                    <w:rFonts w:hAnsi="Calibri"/>
                                    <w:color w:val="FFFFFF" w:themeColor="light1"/>
                                    <w:kern w:val="24"/>
                                  </w:rPr>
                                  <w:t>COPLAM</w:t>
                                </w:r>
                                <w:r w:rsidRPr="00A9295A">
                                  <w:rPr>
                                    <w:rFonts w:hAnsi="Calibri"/>
                                    <w:color w:val="FFFFFF" w:themeColor="light1"/>
                                    <w:kern w:val="24"/>
                                  </w:rPr>
                                  <w:t>-Comisiones Sectoriales-Subcomit</w:t>
                                </w:r>
                                <w:r w:rsidRPr="00A9295A">
                                  <w:rPr>
                                    <w:rFonts w:hAnsi="Calibri"/>
                                    <w:color w:val="FFFFFF" w:themeColor="light1"/>
                                    <w:kern w:val="24"/>
                                  </w:rPr>
                                  <w:t>é</w:t>
                                </w:r>
                                <w:r w:rsidRPr="00A9295A">
                                  <w:rPr>
                                    <w:rFonts w:hAnsi="Calibri"/>
                                    <w:color w:val="FFFFFF" w:themeColor="light1"/>
                                    <w:kern w:val="24"/>
                                  </w:rPr>
                                  <w:t xml:space="preserve"> T</w:t>
                                </w:r>
                                <w:r w:rsidRPr="00A9295A">
                                  <w:rPr>
                                    <w:rFonts w:hAnsi="Calibri"/>
                                    <w:color w:val="FFFFFF" w:themeColor="light1"/>
                                    <w:kern w:val="24"/>
                                  </w:rPr>
                                  <w:t>é</w:t>
                                </w:r>
                                <w:r w:rsidRPr="00A9295A">
                                  <w:rPr>
                                    <w:rFonts w:hAnsi="Calibri"/>
                                    <w:color w:val="FFFFFF" w:themeColor="light1"/>
                                    <w:kern w:val="24"/>
                                  </w:rPr>
                                  <w:t>cnico Especializado-COESE</w:t>
                                </w:r>
                              </w:p>
                            </w:txbxContent>
                          </wps:txbx>
                          <wps:bodyPr rtlCol="0" anchor="ctr"/>
                        </wps:wsp>
                        <wps:wsp>
                          <wps:cNvPr id="35" name="CuadroTexto 7"/>
                          <wps:cNvSpPr txBox="1"/>
                          <wps:spPr>
                            <a:xfrm>
                              <a:off x="2336300" y="1"/>
                              <a:ext cx="509771" cy="697229"/>
                            </a:xfrm>
                            <a:prstGeom prst="rect">
                              <a:avLst/>
                            </a:prstGeom>
                            <a:noFill/>
                          </wps:spPr>
                          <wps:txbx>
                            <w:txbxContent>
                              <w:p w14:paraId="6D83C1FF" w14:textId="77777777" w:rsidR="0008467F" w:rsidRPr="00A9295A" w:rsidRDefault="0008467F" w:rsidP="0008467F">
                                <w:pPr>
                                  <w:rPr>
                                    <w:rFonts w:cs="Arial"/>
                                    <w:b/>
                                    <w:bCs/>
                                    <w:color w:val="FFFFFF" w:themeColor="background1"/>
                                    <w:kern w:val="24"/>
                                    <w:sz w:val="44"/>
                                    <w:szCs w:val="44"/>
                                  </w:rPr>
                                </w:pPr>
                                <w:r w:rsidRPr="00A9295A">
                                  <w:rPr>
                                    <w:rFonts w:cs="Arial"/>
                                    <w:b/>
                                    <w:bCs/>
                                    <w:color w:val="FFFFFF" w:themeColor="background1"/>
                                    <w:kern w:val="24"/>
                                    <w:sz w:val="44"/>
                                    <w:szCs w:val="44"/>
                                  </w:rPr>
                                  <w:t>1</w:t>
                                </w:r>
                              </w:p>
                            </w:txbxContent>
                          </wps:txbx>
                          <wps:bodyPr wrap="square" rtlCol="0">
                            <a:noAutofit/>
                          </wps:bodyPr>
                        </wps:wsp>
                        <wps:wsp>
                          <wps:cNvPr id="36" name="CuadroTexto 24"/>
                          <wps:cNvSpPr txBox="1"/>
                          <wps:spPr>
                            <a:xfrm>
                              <a:off x="6278692" y="-12571"/>
                              <a:ext cx="408940" cy="697229"/>
                            </a:xfrm>
                            <a:prstGeom prst="rect">
                              <a:avLst/>
                            </a:prstGeom>
                            <a:noFill/>
                          </wps:spPr>
                          <wps:txbx>
                            <w:txbxContent>
                              <w:p w14:paraId="72B6491F" w14:textId="77777777" w:rsidR="0008467F" w:rsidRPr="0029780A" w:rsidRDefault="0008467F" w:rsidP="0008467F">
                                <w:pPr>
                                  <w:rPr>
                                    <w:rFonts w:cs="Arial"/>
                                    <w:b/>
                                    <w:bCs/>
                                    <w:color w:val="FF0000"/>
                                    <w:kern w:val="24"/>
                                    <w:sz w:val="44"/>
                                    <w:szCs w:val="44"/>
                                  </w:rPr>
                                </w:pPr>
                                <w:r w:rsidRPr="0029780A">
                                  <w:rPr>
                                    <w:rFonts w:cs="Arial"/>
                                    <w:b/>
                                    <w:bCs/>
                                    <w:color w:val="FF0000"/>
                                    <w:kern w:val="24"/>
                                    <w:sz w:val="44"/>
                                    <w:szCs w:val="44"/>
                                  </w:rPr>
                                  <w:t>2</w:t>
                                </w:r>
                              </w:p>
                            </w:txbxContent>
                          </wps:txbx>
                          <wps:bodyPr wrap="square" rtlCol="0">
                            <a:noAutofit/>
                          </wps:bodyPr>
                        </wps:wsp>
                        <wps:wsp>
                          <wps:cNvPr id="37" name="CuadroTexto 25"/>
                          <wps:cNvSpPr txBox="1"/>
                          <wps:spPr>
                            <a:xfrm>
                              <a:off x="2257968" y="3916427"/>
                              <a:ext cx="509771" cy="696567"/>
                            </a:xfrm>
                            <a:prstGeom prst="rect">
                              <a:avLst/>
                            </a:prstGeom>
                            <a:noFill/>
                          </wps:spPr>
                          <wps:txbx>
                            <w:txbxContent>
                              <w:p w14:paraId="56202345" w14:textId="77777777" w:rsidR="0008467F" w:rsidRPr="00A9295A" w:rsidRDefault="0008467F" w:rsidP="0008467F">
                                <w:pPr>
                                  <w:rPr>
                                    <w:rFonts w:cs="Arial"/>
                                    <w:b/>
                                    <w:bCs/>
                                    <w:color w:val="FFFFFF" w:themeColor="background1"/>
                                    <w:kern w:val="24"/>
                                    <w:sz w:val="44"/>
                                    <w:szCs w:val="44"/>
                                  </w:rPr>
                                </w:pPr>
                                <w:r w:rsidRPr="00A9295A">
                                  <w:rPr>
                                    <w:rFonts w:cs="Arial"/>
                                    <w:b/>
                                    <w:bCs/>
                                    <w:color w:val="FFFFFF" w:themeColor="background1"/>
                                    <w:kern w:val="24"/>
                                    <w:sz w:val="44"/>
                                    <w:szCs w:val="44"/>
                                  </w:rPr>
                                  <w:t>4</w:t>
                                </w:r>
                              </w:p>
                            </w:txbxContent>
                          </wps:txbx>
                          <wps:bodyPr wrap="square" rtlCol="0">
                            <a:noAutofit/>
                          </wps:bodyPr>
                        </wps:wsp>
                        <wps:wsp>
                          <wps:cNvPr id="38" name="CuadroTexto 26"/>
                          <wps:cNvSpPr txBox="1"/>
                          <wps:spPr>
                            <a:xfrm>
                              <a:off x="6278692" y="3901969"/>
                              <a:ext cx="530130" cy="584316"/>
                            </a:xfrm>
                            <a:prstGeom prst="rect">
                              <a:avLst/>
                            </a:prstGeom>
                            <a:noFill/>
                          </wps:spPr>
                          <wps:txbx>
                            <w:txbxContent>
                              <w:p w14:paraId="29F5F565" w14:textId="77777777" w:rsidR="0008467F" w:rsidRPr="00A9295A" w:rsidRDefault="0008467F" w:rsidP="0008467F">
                                <w:pPr>
                                  <w:rPr>
                                    <w:rFonts w:cs="Arial"/>
                                    <w:b/>
                                    <w:bCs/>
                                    <w:color w:val="FFFFFF" w:themeColor="background1"/>
                                    <w:kern w:val="24"/>
                                    <w:sz w:val="44"/>
                                    <w:szCs w:val="44"/>
                                  </w:rPr>
                                </w:pPr>
                                <w:r w:rsidRPr="00A9295A">
                                  <w:rPr>
                                    <w:rFonts w:cs="Arial"/>
                                    <w:b/>
                                    <w:bCs/>
                                    <w:color w:val="FFFFFF" w:themeColor="background1"/>
                                    <w:kern w:val="24"/>
                                    <w:sz w:val="44"/>
                                    <w:szCs w:val="44"/>
                                  </w:rPr>
                                  <w:t>3</w:t>
                                </w:r>
                              </w:p>
                            </w:txbxContent>
                          </wps:txbx>
                          <wps:bodyPr wrap="square" rtlCol="0">
                            <a:noAutofit/>
                          </wps:bodyPr>
                        </wps:wsp>
                        <wps:wsp>
                          <wps:cNvPr id="39" name="CuadroTexto 8"/>
                          <wps:cNvSpPr txBox="1"/>
                          <wps:spPr>
                            <a:xfrm>
                              <a:off x="2519687" y="567519"/>
                              <a:ext cx="1903304" cy="476886"/>
                            </a:xfrm>
                            <a:prstGeom prst="rect">
                              <a:avLst/>
                            </a:prstGeom>
                            <a:noFill/>
                          </wps:spPr>
                          <wps:txbx>
                            <w:txbxContent>
                              <w:p w14:paraId="5BD3E9AC" w14:textId="77777777" w:rsidR="0008467F" w:rsidRPr="00A9295A" w:rsidRDefault="0008467F" w:rsidP="0008467F">
                                <w:pPr>
                                  <w:rPr>
                                    <w:rFonts w:cs="Arial"/>
                                    <w:color w:val="FFFFFF" w:themeColor="background1"/>
                                    <w:kern w:val="24"/>
                                    <w:sz w:val="28"/>
                                    <w:szCs w:val="28"/>
                                  </w:rPr>
                                </w:pPr>
                                <w:r w:rsidRPr="00A9295A">
                                  <w:rPr>
                                    <w:rFonts w:cs="Arial"/>
                                    <w:color w:val="FFFFFF" w:themeColor="background1"/>
                                    <w:kern w:val="24"/>
                                    <w:sz w:val="28"/>
                                    <w:szCs w:val="28"/>
                                  </w:rPr>
                                  <w:t>Planeación</w:t>
                                </w:r>
                              </w:p>
                            </w:txbxContent>
                          </wps:txbx>
                          <wps:bodyPr wrap="square" rtlCol="0">
                            <a:noAutofit/>
                          </wps:bodyPr>
                        </wps:wsp>
                        <wps:wsp>
                          <wps:cNvPr id="40" name="CuadroTexto 27"/>
                          <wps:cNvSpPr txBox="1"/>
                          <wps:spPr>
                            <a:xfrm>
                              <a:off x="4778268" y="556769"/>
                              <a:ext cx="2118250" cy="476886"/>
                            </a:xfrm>
                            <a:prstGeom prst="rect">
                              <a:avLst/>
                            </a:prstGeom>
                            <a:noFill/>
                          </wps:spPr>
                          <wps:txbx>
                            <w:txbxContent>
                              <w:p w14:paraId="6BB85E59" w14:textId="77777777" w:rsidR="0008467F" w:rsidRPr="00A9295A" w:rsidRDefault="0008467F" w:rsidP="0008467F">
                                <w:pPr>
                                  <w:rPr>
                                    <w:rFonts w:cs="Arial"/>
                                    <w:color w:val="FFFFFF" w:themeColor="background1"/>
                                    <w:kern w:val="24"/>
                                    <w:sz w:val="28"/>
                                    <w:szCs w:val="28"/>
                                  </w:rPr>
                                </w:pPr>
                                <w:r w:rsidRPr="00A9295A">
                                  <w:rPr>
                                    <w:rFonts w:cs="Arial"/>
                                    <w:color w:val="FFFFFF" w:themeColor="background1"/>
                                    <w:kern w:val="24"/>
                                    <w:sz w:val="28"/>
                                    <w:szCs w:val="28"/>
                                  </w:rPr>
                                  <w:t>Seguimiento</w:t>
                                </w:r>
                              </w:p>
                            </w:txbxContent>
                          </wps:txbx>
                          <wps:bodyPr wrap="square" rtlCol="0">
                            <a:noAutofit/>
                          </wps:bodyPr>
                        </wps:wsp>
                        <wps:wsp>
                          <wps:cNvPr id="41" name="CuadroTexto 30"/>
                          <wps:cNvSpPr txBox="1"/>
                          <wps:spPr>
                            <a:xfrm>
                              <a:off x="4856601" y="3425650"/>
                              <a:ext cx="2255602" cy="476886"/>
                            </a:xfrm>
                            <a:prstGeom prst="rect">
                              <a:avLst/>
                            </a:prstGeom>
                            <a:noFill/>
                          </wps:spPr>
                          <wps:txbx>
                            <w:txbxContent>
                              <w:p w14:paraId="1B0867A2" w14:textId="77777777" w:rsidR="0008467F" w:rsidRPr="00A9295A" w:rsidRDefault="0008467F" w:rsidP="0008467F">
                                <w:pPr>
                                  <w:rPr>
                                    <w:rFonts w:cs="Arial"/>
                                    <w:color w:val="FFFFFF" w:themeColor="background1"/>
                                    <w:kern w:val="24"/>
                                    <w:sz w:val="28"/>
                                    <w:szCs w:val="28"/>
                                  </w:rPr>
                                </w:pPr>
                                <w:r w:rsidRPr="00A9295A">
                                  <w:rPr>
                                    <w:rFonts w:cs="Arial"/>
                                    <w:color w:val="FFFFFF" w:themeColor="background1"/>
                                    <w:kern w:val="24"/>
                                    <w:sz w:val="28"/>
                                    <w:szCs w:val="28"/>
                                  </w:rPr>
                                  <w:t>Evaluación</w:t>
                                </w:r>
                              </w:p>
                            </w:txbxContent>
                          </wps:txbx>
                          <wps:bodyPr wrap="square" rtlCol="0">
                            <a:noAutofit/>
                          </wps:bodyPr>
                        </wps:wsp>
                        <wps:wsp>
                          <wps:cNvPr id="42" name="CuadroTexto 31"/>
                          <wps:cNvSpPr txBox="1"/>
                          <wps:spPr>
                            <a:xfrm>
                              <a:off x="2519687" y="3324579"/>
                              <a:ext cx="1976736" cy="861695"/>
                            </a:xfrm>
                            <a:prstGeom prst="rect">
                              <a:avLst/>
                            </a:prstGeom>
                            <a:noFill/>
                          </wps:spPr>
                          <wps:txbx>
                            <w:txbxContent>
                              <w:p w14:paraId="2C7C6986" w14:textId="77777777" w:rsidR="0008467F" w:rsidRPr="00A9295A" w:rsidRDefault="0008467F" w:rsidP="0008467F">
                                <w:pPr>
                                  <w:rPr>
                                    <w:rFonts w:cs="Arial"/>
                                    <w:color w:val="FFFFFF" w:themeColor="background1"/>
                                    <w:kern w:val="24"/>
                                    <w:sz w:val="28"/>
                                    <w:szCs w:val="28"/>
                                  </w:rPr>
                                </w:pPr>
                                <w:r w:rsidRPr="00A9295A">
                                  <w:rPr>
                                    <w:rFonts w:cs="Arial"/>
                                    <w:color w:val="FFFFFF" w:themeColor="background1"/>
                                    <w:kern w:val="24"/>
                                    <w:sz w:val="28"/>
                                    <w:szCs w:val="28"/>
                                  </w:rPr>
                                  <w:t>Acciones</w:t>
                                </w:r>
                                <w:r w:rsidRPr="00A9295A">
                                  <w:rPr>
                                    <w:rFonts w:cs="Arial"/>
                                    <w:color w:val="FFFFFF" w:themeColor="background1"/>
                                    <w:kern w:val="24"/>
                                    <w:sz w:val="28"/>
                                    <w:szCs w:val="28"/>
                                  </w:rPr>
                                  <w:br/>
                                  <w:t>correctivas</w:t>
                                </w:r>
                              </w:p>
                            </w:txbxContent>
                          </wps:txbx>
                          <wps:bodyPr wrap="square" rtlCol="0">
                            <a:noAutofit/>
                          </wps:bodyPr>
                        </wps:wsp>
                        <wps:wsp>
                          <wps:cNvPr id="43" name="CuadroTexto 9"/>
                          <wps:cNvSpPr txBox="1"/>
                          <wps:spPr>
                            <a:xfrm>
                              <a:off x="167003" y="202831"/>
                              <a:ext cx="2159635" cy="1894840"/>
                            </a:xfrm>
                            <a:prstGeom prst="rect">
                              <a:avLst/>
                            </a:prstGeom>
                            <a:noFill/>
                          </wps:spPr>
                          <wps:txbx>
                            <w:txbxContent>
                              <w:p w14:paraId="3BE911F2" w14:textId="77777777" w:rsidR="0008467F" w:rsidRPr="00A9295A" w:rsidRDefault="0008467F" w:rsidP="0008467F">
                                <w:pPr>
                                  <w:jc w:val="right"/>
                                  <w:rPr>
                                    <w:rFonts w:cs="Arial"/>
                                    <w:color w:val="000000" w:themeColor="text1"/>
                                    <w:kern w:val="24"/>
                                  </w:rPr>
                                </w:pPr>
                                <w:r w:rsidRPr="00A9295A">
                                  <w:rPr>
                                    <w:rFonts w:cs="Arial"/>
                                    <w:color w:val="000000" w:themeColor="text1"/>
                                    <w:kern w:val="24"/>
                                  </w:rPr>
                                  <w:t>En la planeación se establecen los objetivos y en los programas las metas que deben ser alcanzadas</w:t>
                                </w:r>
                              </w:p>
                            </w:txbxContent>
                          </wps:txbx>
                          <wps:bodyPr wrap="square" rtlCol="0">
                            <a:noAutofit/>
                          </wps:bodyPr>
                        </wps:wsp>
                        <wps:wsp>
                          <wps:cNvPr id="44" name="CuadroTexto 32"/>
                          <wps:cNvSpPr txBox="1"/>
                          <wps:spPr>
                            <a:xfrm>
                              <a:off x="6784440" y="202831"/>
                              <a:ext cx="2324735" cy="1894840"/>
                            </a:xfrm>
                            <a:prstGeom prst="rect">
                              <a:avLst/>
                            </a:prstGeom>
                            <a:noFill/>
                          </wps:spPr>
                          <wps:txbx>
                            <w:txbxContent>
                              <w:p w14:paraId="776249B3" w14:textId="77777777" w:rsidR="0008467F" w:rsidRPr="00A9295A" w:rsidRDefault="0008467F" w:rsidP="0008467F">
                                <w:pPr>
                                  <w:rPr>
                                    <w:rFonts w:cs="Arial"/>
                                    <w:color w:val="000000" w:themeColor="text1"/>
                                    <w:kern w:val="24"/>
                                  </w:rPr>
                                </w:pPr>
                                <w:r w:rsidRPr="00A9295A">
                                  <w:rPr>
                                    <w:rFonts w:cs="Arial"/>
                                    <w:color w:val="000000" w:themeColor="text1"/>
                                    <w:kern w:val="24"/>
                                  </w:rPr>
                                  <w:t>Se conocen los avances del PDM y sus programas derivados, se evalúan mediante indicadores y metas</w:t>
                                </w:r>
                              </w:p>
                            </w:txbxContent>
                          </wps:txbx>
                          <wps:bodyPr wrap="square" rtlCol="0">
                            <a:noAutofit/>
                          </wps:bodyPr>
                        </wps:wsp>
                        <wps:wsp>
                          <wps:cNvPr id="45" name="CuadroTexto 33"/>
                          <wps:cNvSpPr txBox="1"/>
                          <wps:spPr>
                            <a:xfrm>
                              <a:off x="6825247" y="2551557"/>
                              <a:ext cx="2679065" cy="1894840"/>
                            </a:xfrm>
                            <a:prstGeom prst="rect">
                              <a:avLst/>
                            </a:prstGeom>
                            <a:noFill/>
                          </wps:spPr>
                          <wps:txbx>
                            <w:txbxContent>
                              <w:p w14:paraId="10B26199" w14:textId="77777777" w:rsidR="0008467F" w:rsidRPr="00A9295A" w:rsidRDefault="0008467F" w:rsidP="0008467F">
                                <w:pPr>
                                  <w:rPr>
                                    <w:rFonts w:cs="Arial"/>
                                    <w:color w:val="000000" w:themeColor="text1"/>
                                    <w:kern w:val="24"/>
                                  </w:rPr>
                                </w:pPr>
                                <w:r w:rsidRPr="00A9295A">
                                  <w:rPr>
                                    <w:rFonts w:cs="Arial"/>
                                    <w:color w:val="000000" w:themeColor="text1"/>
                                    <w:kern w:val="24"/>
                                  </w:rPr>
                                  <w:t xml:space="preserve">La evaluación del desempeño es el momento en que se valora el logro de objetivos y el avance en términos de desarrollo </w:t>
                                </w:r>
                              </w:p>
                            </w:txbxContent>
                          </wps:txbx>
                          <wps:bodyPr wrap="square" rtlCol="0">
                            <a:noAutofit/>
                          </wps:bodyPr>
                        </wps:wsp>
                        <wps:wsp>
                          <wps:cNvPr id="46" name="CuadroTexto 34"/>
                          <wps:cNvSpPr txBox="1"/>
                          <wps:spPr>
                            <a:xfrm>
                              <a:off x="0" y="2629604"/>
                              <a:ext cx="2360295" cy="1982744"/>
                            </a:xfrm>
                            <a:prstGeom prst="rect">
                              <a:avLst/>
                            </a:prstGeom>
                            <a:noFill/>
                          </wps:spPr>
                          <wps:txbx>
                            <w:txbxContent>
                              <w:p w14:paraId="2656F0F1" w14:textId="77777777" w:rsidR="0008467F" w:rsidRPr="00A9295A" w:rsidRDefault="0008467F" w:rsidP="0008467F">
                                <w:pPr>
                                  <w:jc w:val="right"/>
                                  <w:rPr>
                                    <w:rFonts w:cs="Arial"/>
                                    <w:color w:val="000000" w:themeColor="text1"/>
                                    <w:kern w:val="24"/>
                                  </w:rPr>
                                </w:pPr>
                                <w:r w:rsidRPr="00A9295A">
                                  <w:rPr>
                                    <w:rFonts w:cs="Arial"/>
                                    <w:color w:val="000000" w:themeColor="text1"/>
                                    <w:kern w:val="24"/>
                                  </w:rPr>
                                  <w:t>Se genera el análisis y la toma de decisiones para corregir y mejorar los resultados</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157AA79C" id="Grupo 41" o:spid="_x0000_s1052" style="position:absolute;left:0;text-align:left;margin-left:385.6pt;margin-top:2.85pt;width:436.8pt;height:477pt;z-index:251691008;mso-position-horizontal:right;mso-position-horizontal-relative:margin;mso-width-relative:margin;mso-height-relative:margin" coordorigin=",-125" coordsize="95043,5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">
                <v:rect id="Rectángulo 28" o:spid="_x0000_s1053" style="position:absolute;left:23364;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" fillcolor="#548235" strokecolor="#2f528f" strokeweight="1pt"/>
                <v:rect id="Rectángulo 29" o:spid="_x0000_s1054" style="position:absolute;left:46488;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" fillcolor="#a9d18e" strokecolor="#2f528f" strokeweight="1pt"/>
                <v:group id="Grupo 30" o:spid="_x0000_s1055" style="position:absolute;top:-125;width:95043;height:52977" coordorigin=",-125" coordsize="95043,5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56" style="position:absolute;left:23364;top:23274;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" fillcolor="#a9d18e" strokecolor="#2f528f" strokeweight="1pt"/>
                  <v:rect id="Rectángulo 32" o:spid="_x0000_s1057" style="position:absolute;left:46488;top:23274;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" fillcolor="#548235" strokecolor="#2f528f" strokeweight="1pt"/>
                  <v:rect id="Rectángulo 33" o:spid="_x0000_s1058" style="position:absolute;left:34926;top:10800;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" fillcolor="#7f7f7f" strokecolor="windowText" strokeweight="1pt">
                    <v:textbox>
                      <w:txbxContent>
                        <w:p w14:paraId="7D8A4CBB" w14:textId="77777777" w:rsidR="0008467F" w:rsidRPr="00A9295A" w:rsidRDefault="0008467F" w:rsidP="0008467F">
                          <w:pPr>
                            <w:jc w:val="center"/>
                            <w:rPr>
                              <w:rFonts w:cs="Arial"/>
                              <w:color w:val="FFFFFF" w:themeColor="light1"/>
                              <w:kern w:val="24"/>
                            </w:rPr>
                          </w:pPr>
                          <w:r w:rsidRPr="00A9295A">
                            <w:rPr>
                              <w:rFonts w:cs="Arial"/>
                              <w:color w:val="FFFFFF" w:themeColor="light1"/>
                              <w:kern w:val="24"/>
                            </w:rPr>
                            <w:t>Sistema de Planeación Democrática Municipal</w:t>
                          </w:r>
                        </w:p>
                      </w:txbxContent>
                    </v:textbox>
                  </v:rect>
                  <v:rect id="Rectángulo 34" o:spid="_x0000_s1059" style="position:absolute;left:1670;top:47761;width:90052;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" fillcolor="#7f7f7f" strokecolor="#2f528f" strokeweight="1pt">
                    <v:textbox>
                      <w:txbxContent>
                        <w:p w14:paraId="3DAE9480" w14:textId="77777777" w:rsidR="0008467F" w:rsidRPr="00A9295A" w:rsidRDefault="0008467F" w:rsidP="0008467F">
                          <w:pPr>
                            <w:jc w:val="center"/>
                            <w:rPr>
                              <w:rFonts w:hAnsi="Calibri"/>
                              <w:color w:val="FFFFFF" w:themeColor="light1"/>
                              <w:kern w:val="24"/>
                            </w:rPr>
                          </w:pPr>
                          <w:r>
                            <w:rPr>
                              <w:rFonts w:hAnsi="Calibri"/>
                              <w:color w:val="FFFFFF" w:themeColor="light1"/>
                              <w:kern w:val="24"/>
                            </w:rPr>
                            <w:t>COPLAM</w:t>
                          </w:r>
                          <w:r w:rsidRPr="00A9295A">
                            <w:rPr>
                              <w:rFonts w:hAnsi="Calibri"/>
                              <w:color w:val="FFFFFF" w:themeColor="light1"/>
                              <w:kern w:val="24"/>
                            </w:rPr>
                            <w:t>-Comisiones Sectoriales-Subcomit</w:t>
                          </w:r>
                          <w:r w:rsidRPr="00A9295A">
                            <w:rPr>
                              <w:rFonts w:hAnsi="Calibri"/>
                              <w:color w:val="FFFFFF" w:themeColor="light1"/>
                              <w:kern w:val="24"/>
                            </w:rPr>
                            <w:t>é</w:t>
                          </w:r>
                          <w:r w:rsidRPr="00A9295A">
                            <w:rPr>
                              <w:rFonts w:hAnsi="Calibri"/>
                              <w:color w:val="FFFFFF" w:themeColor="light1"/>
                              <w:kern w:val="24"/>
                            </w:rPr>
                            <w:t xml:space="preserve"> T</w:t>
                          </w:r>
                          <w:r w:rsidRPr="00A9295A">
                            <w:rPr>
                              <w:rFonts w:hAnsi="Calibri"/>
                              <w:color w:val="FFFFFF" w:themeColor="light1"/>
                              <w:kern w:val="24"/>
                            </w:rPr>
                            <w:t>é</w:t>
                          </w:r>
                          <w:r w:rsidRPr="00A9295A">
                            <w:rPr>
                              <w:rFonts w:hAnsi="Calibri"/>
                              <w:color w:val="FFFFFF" w:themeColor="light1"/>
                              <w:kern w:val="24"/>
                            </w:rPr>
                            <w:t>cnico Especializado-COESE</w:t>
                          </w:r>
                        </w:p>
                      </w:txbxContent>
                    </v:textbox>
                  </v:rect>
                  <v:shape id="CuadroTexto 7" o:spid="_x0000_s1060" type="#_x0000_t202" style="position:absolute;left:23363;width:5097;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D83C1FF" w14:textId="77777777" w:rsidR="0008467F" w:rsidRPr="00A9295A" w:rsidRDefault="0008467F" w:rsidP="0008467F">
                          <w:pPr>
                            <w:rPr>
                              <w:rFonts w:cs="Arial"/>
                              <w:b/>
                              <w:bCs/>
                              <w:color w:val="FFFFFF" w:themeColor="background1"/>
                              <w:kern w:val="24"/>
                              <w:sz w:val="44"/>
                              <w:szCs w:val="44"/>
                            </w:rPr>
                          </w:pPr>
                          <w:r w:rsidRPr="00A9295A">
                            <w:rPr>
                              <w:rFonts w:cs="Arial"/>
                              <w:b/>
                              <w:bCs/>
                              <w:color w:val="FFFFFF" w:themeColor="background1"/>
                              <w:kern w:val="24"/>
                              <w:sz w:val="44"/>
                              <w:szCs w:val="44"/>
                            </w:rPr>
                            <w:t>1</w:t>
                          </w:r>
                        </w:p>
                      </w:txbxContent>
                    </v:textbox>
                  </v:shape>
                  <v:shape id="CuadroTexto 24" o:spid="_x0000_s1061" type="#_x0000_t202" style="position:absolute;left:62786;top:-125;width:4090;height: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2B6491F" w14:textId="77777777" w:rsidR="0008467F" w:rsidRPr="0029780A" w:rsidRDefault="0008467F" w:rsidP="0008467F">
                          <w:pPr>
                            <w:rPr>
                              <w:rFonts w:cs="Arial"/>
                              <w:b/>
                              <w:bCs/>
                              <w:color w:val="FF0000"/>
                              <w:kern w:val="24"/>
                              <w:sz w:val="44"/>
                              <w:szCs w:val="44"/>
                            </w:rPr>
                          </w:pPr>
                          <w:r w:rsidRPr="0029780A">
                            <w:rPr>
                              <w:rFonts w:cs="Arial"/>
                              <w:b/>
                              <w:bCs/>
                              <w:color w:val="FF0000"/>
                              <w:kern w:val="24"/>
                              <w:sz w:val="44"/>
                              <w:szCs w:val="44"/>
                            </w:rPr>
                            <w:t>2</w:t>
                          </w:r>
                        </w:p>
                      </w:txbxContent>
                    </v:textbox>
                  </v:shape>
                  <v:shape id="CuadroTexto 25" o:spid="_x0000_s1062" type="#_x0000_t202" style="position:absolute;left:22579;top:39164;width:5098;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6202345" w14:textId="77777777" w:rsidR="0008467F" w:rsidRPr="00A9295A" w:rsidRDefault="0008467F" w:rsidP="0008467F">
                          <w:pPr>
                            <w:rPr>
                              <w:rFonts w:cs="Arial"/>
                              <w:b/>
                              <w:bCs/>
                              <w:color w:val="FFFFFF" w:themeColor="background1"/>
                              <w:kern w:val="24"/>
                              <w:sz w:val="44"/>
                              <w:szCs w:val="44"/>
                            </w:rPr>
                          </w:pPr>
                          <w:r w:rsidRPr="00A9295A">
                            <w:rPr>
                              <w:rFonts w:cs="Arial"/>
                              <w:b/>
                              <w:bCs/>
                              <w:color w:val="FFFFFF" w:themeColor="background1"/>
                              <w:kern w:val="24"/>
                              <w:sz w:val="44"/>
                              <w:szCs w:val="44"/>
                            </w:rPr>
                            <w:t>4</w:t>
                          </w:r>
                        </w:p>
                      </w:txbxContent>
                    </v:textbox>
                  </v:shape>
                  <v:shape id="CuadroTexto 26" o:spid="_x0000_s1063" type="#_x0000_t202" style="position:absolute;left:62786;top:39019;width:5302;height:5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9F5F565" w14:textId="77777777" w:rsidR="0008467F" w:rsidRPr="00A9295A" w:rsidRDefault="0008467F" w:rsidP="0008467F">
                          <w:pPr>
                            <w:rPr>
                              <w:rFonts w:cs="Arial"/>
                              <w:b/>
                              <w:bCs/>
                              <w:color w:val="FFFFFF" w:themeColor="background1"/>
                              <w:kern w:val="24"/>
                              <w:sz w:val="44"/>
                              <w:szCs w:val="44"/>
                            </w:rPr>
                          </w:pPr>
                          <w:r w:rsidRPr="00A9295A">
                            <w:rPr>
                              <w:rFonts w:cs="Arial"/>
                              <w:b/>
                              <w:bCs/>
                              <w:color w:val="FFFFFF" w:themeColor="background1"/>
                              <w:kern w:val="24"/>
                              <w:sz w:val="44"/>
                              <w:szCs w:val="44"/>
                            </w:rPr>
                            <w:t>3</w:t>
                          </w:r>
                        </w:p>
                      </w:txbxContent>
                    </v:textbox>
                  </v:shape>
                  <v:shape id="CuadroTexto 8" o:spid="_x0000_s1064" type="#_x0000_t202" style="position:absolute;left:25196;top:5675;width:1903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BD3E9AC" w14:textId="77777777" w:rsidR="0008467F" w:rsidRPr="00A9295A" w:rsidRDefault="0008467F" w:rsidP="0008467F">
                          <w:pPr>
                            <w:rPr>
                              <w:rFonts w:cs="Arial"/>
                              <w:color w:val="FFFFFF" w:themeColor="background1"/>
                              <w:kern w:val="24"/>
                              <w:sz w:val="28"/>
                              <w:szCs w:val="28"/>
                            </w:rPr>
                          </w:pPr>
                          <w:r w:rsidRPr="00A9295A">
                            <w:rPr>
                              <w:rFonts w:cs="Arial"/>
                              <w:color w:val="FFFFFF" w:themeColor="background1"/>
                              <w:kern w:val="24"/>
                              <w:sz w:val="28"/>
                              <w:szCs w:val="28"/>
                            </w:rPr>
                            <w:t>Planeación</w:t>
                          </w:r>
                        </w:p>
                      </w:txbxContent>
                    </v:textbox>
                  </v:shape>
                  <v:shape id="CuadroTexto 27" o:spid="_x0000_s1065" type="#_x0000_t202" style="position:absolute;left:47782;top:5567;width:2118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BB85E59" w14:textId="77777777" w:rsidR="0008467F" w:rsidRPr="00A9295A" w:rsidRDefault="0008467F" w:rsidP="0008467F">
                          <w:pPr>
                            <w:rPr>
                              <w:rFonts w:cs="Arial"/>
                              <w:color w:val="FFFFFF" w:themeColor="background1"/>
                              <w:kern w:val="24"/>
                              <w:sz w:val="28"/>
                              <w:szCs w:val="28"/>
                            </w:rPr>
                          </w:pPr>
                          <w:r w:rsidRPr="00A9295A">
                            <w:rPr>
                              <w:rFonts w:cs="Arial"/>
                              <w:color w:val="FFFFFF" w:themeColor="background1"/>
                              <w:kern w:val="24"/>
                              <w:sz w:val="28"/>
                              <w:szCs w:val="28"/>
                            </w:rPr>
                            <w:t>Seguimiento</w:t>
                          </w:r>
                        </w:p>
                      </w:txbxContent>
                    </v:textbox>
                  </v:shape>
                  <v:shape id="CuadroTexto 30" o:spid="_x0000_s1066" type="#_x0000_t202" style="position:absolute;left:48566;top:34256;width:2255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B0867A2" w14:textId="77777777" w:rsidR="0008467F" w:rsidRPr="00A9295A" w:rsidRDefault="0008467F" w:rsidP="0008467F">
                          <w:pPr>
                            <w:rPr>
                              <w:rFonts w:cs="Arial"/>
                              <w:color w:val="FFFFFF" w:themeColor="background1"/>
                              <w:kern w:val="24"/>
                              <w:sz w:val="28"/>
                              <w:szCs w:val="28"/>
                            </w:rPr>
                          </w:pPr>
                          <w:r w:rsidRPr="00A9295A">
                            <w:rPr>
                              <w:rFonts w:cs="Arial"/>
                              <w:color w:val="FFFFFF" w:themeColor="background1"/>
                              <w:kern w:val="24"/>
                              <w:sz w:val="28"/>
                              <w:szCs w:val="28"/>
                            </w:rPr>
                            <w:t>Evaluación</w:t>
                          </w:r>
                        </w:p>
                      </w:txbxContent>
                    </v:textbox>
                  </v:shape>
                  <v:shape id="CuadroTexto 31" o:spid="_x0000_s1067" type="#_x0000_t202" style="position:absolute;left:25196;top:33245;width:19768;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C7C6986" w14:textId="77777777" w:rsidR="0008467F" w:rsidRPr="00A9295A" w:rsidRDefault="0008467F" w:rsidP="0008467F">
                          <w:pPr>
                            <w:rPr>
                              <w:rFonts w:cs="Arial"/>
                              <w:color w:val="FFFFFF" w:themeColor="background1"/>
                              <w:kern w:val="24"/>
                              <w:sz w:val="28"/>
                              <w:szCs w:val="28"/>
                            </w:rPr>
                          </w:pPr>
                          <w:r w:rsidRPr="00A9295A">
                            <w:rPr>
                              <w:rFonts w:cs="Arial"/>
                              <w:color w:val="FFFFFF" w:themeColor="background1"/>
                              <w:kern w:val="24"/>
                              <w:sz w:val="28"/>
                              <w:szCs w:val="28"/>
                            </w:rPr>
                            <w:t>Acciones</w:t>
                          </w:r>
                          <w:r w:rsidRPr="00A9295A">
                            <w:rPr>
                              <w:rFonts w:cs="Arial"/>
                              <w:color w:val="FFFFFF" w:themeColor="background1"/>
                              <w:kern w:val="24"/>
                              <w:sz w:val="28"/>
                              <w:szCs w:val="28"/>
                            </w:rPr>
                            <w:br/>
                            <w:t>correctivas</w:t>
                          </w:r>
                        </w:p>
                      </w:txbxContent>
                    </v:textbox>
                  </v:shape>
                  <v:shape id="CuadroTexto 9" o:spid="_x0000_s1068" type="#_x0000_t202" style="position:absolute;left:1670;top:2028;width:21596;height:1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BE911F2" w14:textId="77777777" w:rsidR="0008467F" w:rsidRPr="00A9295A" w:rsidRDefault="0008467F" w:rsidP="0008467F">
                          <w:pPr>
                            <w:jc w:val="right"/>
                            <w:rPr>
                              <w:rFonts w:cs="Arial"/>
                              <w:color w:val="000000" w:themeColor="text1"/>
                              <w:kern w:val="24"/>
                            </w:rPr>
                          </w:pPr>
                          <w:r w:rsidRPr="00A9295A">
                            <w:rPr>
                              <w:rFonts w:cs="Arial"/>
                              <w:color w:val="000000" w:themeColor="text1"/>
                              <w:kern w:val="24"/>
                            </w:rPr>
                            <w:t>En la planeación se establecen los objetivos y en los programas las metas que deben ser alcanzadas</w:t>
                          </w:r>
                        </w:p>
                      </w:txbxContent>
                    </v:textbox>
                  </v:shape>
                  <v:shape id="CuadroTexto 32" o:spid="_x0000_s1069" type="#_x0000_t202" style="position:absolute;left:67844;top:2028;width:23247;height:1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76249B3" w14:textId="77777777" w:rsidR="0008467F" w:rsidRPr="00A9295A" w:rsidRDefault="0008467F" w:rsidP="0008467F">
                          <w:pPr>
                            <w:rPr>
                              <w:rFonts w:cs="Arial"/>
                              <w:color w:val="000000" w:themeColor="text1"/>
                              <w:kern w:val="24"/>
                            </w:rPr>
                          </w:pPr>
                          <w:r w:rsidRPr="00A9295A">
                            <w:rPr>
                              <w:rFonts w:cs="Arial"/>
                              <w:color w:val="000000" w:themeColor="text1"/>
                              <w:kern w:val="24"/>
                            </w:rPr>
                            <w:t>Se conocen los avances del PDM y sus programas derivados, se evalúan mediante indicadores y metas</w:t>
                          </w:r>
                        </w:p>
                      </w:txbxContent>
                    </v:textbox>
                  </v:shape>
                  <v:shape id="CuadroTexto 33" o:spid="_x0000_s1070" type="#_x0000_t202" style="position:absolute;left:68252;top:25515;width:26791;height:18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0B26199" w14:textId="77777777" w:rsidR="0008467F" w:rsidRPr="00A9295A" w:rsidRDefault="0008467F" w:rsidP="0008467F">
                          <w:pPr>
                            <w:rPr>
                              <w:rFonts w:cs="Arial"/>
                              <w:color w:val="000000" w:themeColor="text1"/>
                              <w:kern w:val="24"/>
                            </w:rPr>
                          </w:pPr>
                          <w:r w:rsidRPr="00A9295A">
                            <w:rPr>
                              <w:rFonts w:cs="Arial"/>
                              <w:color w:val="000000" w:themeColor="text1"/>
                              <w:kern w:val="24"/>
                            </w:rPr>
                            <w:t xml:space="preserve">La evaluación del desempeño es el momento en que se valora el logro de objetivos y el avance en términos de desarrollo </w:t>
                          </w:r>
                        </w:p>
                      </w:txbxContent>
                    </v:textbox>
                  </v:shape>
                  <v:shape id="CuadroTexto 34" o:spid="_x0000_s1071" type="#_x0000_t202" style="position:absolute;top:26296;width:23602;height:19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2656F0F1" w14:textId="77777777" w:rsidR="0008467F" w:rsidRPr="00A9295A" w:rsidRDefault="0008467F" w:rsidP="0008467F">
                          <w:pPr>
                            <w:jc w:val="right"/>
                            <w:rPr>
                              <w:rFonts w:cs="Arial"/>
                              <w:color w:val="000000" w:themeColor="text1"/>
                              <w:kern w:val="24"/>
                            </w:rPr>
                          </w:pPr>
                          <w:r w:rsidRPr="00A9295A">
                            <w:rPr>
                              <w:rFonts w:cs="Arial"/>
                              <w:color w:val="000000" w:themeColor="text1"/>
                              <w:kern w:val="24"/>
                            </w:rPr>
                            <w:t>Se genera el análisis y la toma de decisiones para corregir y mejorar los resultados</w:t>
                          </w:r>
                        </w:p>
                      </w:txbxContent>
                    </v:textbox>
                  </v:shape>
                </v:group>
                <w10:wrap anchorx="margin"/>
              </v:group>
            </w:pict>
          </mc:Fallback>
        </mc:AlternateContent>
      </w:r>
    </w:p>
    <w:p w14:paraId="61E7567F" w14:textId="2E9ADC31" w:rsidR="0008467F" w:rsidRPr="00A8706C" w:rsidRDefault="0008467F" w:rsidP="00B205BA">
      <w:pPr>
        <w:spacing w:after="120" w:line="240" w:lineRule="auto"/>
        <w:rPr>
          <w:rFonts w:eastAsia="Times New Roman" w:cs="Arial"/>
          <w:lang w:eastAsia="es-ES_tradnl"/>
        </w:rPr>
      </w:pPr>
    </w:p>
    <w:p w14:paraId="02EE3F26" w14:textId="4E995A4E" w:rsidR="0008467F" w:rsidRPr="00A8706C" w:rsidRDefault="0008467F" w:rsidP="00B205BA">
      <w:pPr>
        <w:spacing w:after="120" w:line="240" w:lineRule="auto"/>
        <w:rPr>
          <w:rFonts w:eastAsia="Times New Roman" w:cs="Arial"/>
          <w:lang w:eastAsia="es-ES_tradnl"/>
        </w:rPr>
      </w:pPr>
    </w:p>
    <w:p w14:paraId="08F955B2" w14:textId="71B22F19" w:rsidR="0008467F" w:rsidRPr="00A8706C" w:rsidRDefault="0008467F" w:rsidP="00B205BA">
      <w:pPr>
        <w:spacing w:after="120" w:line="240" w:lineRule="auto"/>
        <w:rPr>
          <w:rFonts w:eastAsia="Times New Roman" w:cs="Arial"/>
          <w:lang w:eastAsia="es-ES_tradnl"/>
        </w:rPr>
      </w:pPr>
    </w:p>
    <w:p w14:paraId="60594CAE" w14:textId="29B2DA0A" w:rsidR="0008467F" w:rsidRPr="00A8706C" w:rsidRDefault="0008467F" w:rsidP="00B205BA">
      <w:pPr>
        <w:spacing w:after="120" w:line="240" w:lineRule="auto"/>
        <w:rPr>
          <w:rFonts w:eastAsia="Times New Roman" w:cs="Arial"/>
          <w:lang w:eastAsia="es-ES_tradnl"/>
        </w:rPr>
      </w:pPr>
    </w:p>
    <w:p w14:paraId="5CDF96D3" w14:textId="5484A115" w:rsidR="0008467F" w:rsidRPr="00A8706C" w:rsidRDefault="0008467F" w:rsidP="00B205BA">
      <w:pPr>
        <w:spacing w:after="120" w:line="240" w:lineRule="auto"/>
        <w:rPr>
          <w:rFonts w:eastAsia="Times New Roman" w:cs="Arial"/>
          <w:lang w:eastAsia="es-ES_tradnl"/>
        </w:rPr>
      </w:pPr>
    </w:p>
    <w:p w14:paraId="08AA1597" w14:textId="77777777" w:rsidR="0008467F" w:rsidRPr="00A8706C" w:rsidRDefault="0008467F" w:rsidP="00B205BA">
      <w:pPr>
        <w:spacing w:after="120" w:line="240" w:lineRule="auto"/>
        <w:rPr>
          <w:rFonts w:eastAsia="Times New Roman" w:cs="Arial"/>
          <w:lang w:eastAsia="es-ES_tradnl"/>
        </w:rPr>
      </w:pPr>
    </w:p>
    <w:p w14:paraId="000AFBC7" w14:textId="77777777" w:rsidR="0008467F" w:rsidRPr="00A8706C" w:rsidRDefault="0008467F" w:rsidP="00B205BA">
      <w:pPr>
        <w:spacing w:after="120" w:line="240" w:lineRule="auto"/>
        <w:rPr>
          <w:rFonts w:eastAsia="Times New Roman" w:cs="Arial"/>
          <w:b/>
          <w:bCs/>
          <w:lang w:eastAsia="es-ES_tradnl"/>
        </w:rPr>
      </w:pPr>
    </w:p>
    <w:p w14:paraId="4069C46E" w14:textId="77777777" w:rsidR="0008467F" w:rsidRPr="00A8706C" w:rsidRDefault="0008467F" w:rsidP="00B205BA">
      <w:pPr>
        <w:spacing w:after="120" w:line="240" w:lineRule="auto"/>
        <w:rPr>
          <w:rFonts w:eastAsia="Times New Roman" w:cs="Arial"/>
          <w:b/>
          <w:bCs/>
          <w:lang w:eastAsia="es-ES_tradnl"/>
        </w:rPr>
      </w:pPr>
    </w:p>
    <w:p w14:paraId="34A18036" w14:textId="77777777" w:rsidR="0008467F" w:rsidRPr="00A8706C" w:rsidRDefault="0008467F" w:rsidP="00B205BA">
      <w:pPr>
        <w:spacing w:after="120" w:line="240" w:lineRule="auto"/>
        <w:rPr>
          <w:rFonts w:eastAsia="Times New Roman" w:cs="Arial"/>
          <w:b/>
          <w:bCs/>
          <w:lang w:eastAsia="es-ES_tradnl"/>
        </w:rPr>
      </w:pPr>
    </w:p>
    <w:p w14:paraId="32C06D56" w14:textId="77777777" w:rsidR="0008467F" w:rsidRPr="00A8706C" w:rsidRDefault="0008467F" w:rsidP="00B205BA">
      <w:pPr>
        <w:spacing w:after="120" w:line="240" w:lineRule="auto"/>
        <w:rPr>
          <w:rFonts w:eastAsia="Times New Roman" w:cs="Arial"/>
          <w:b/>
          <w:bCs/>
          <w:lang w:eastAsia="es-ES_tradnl"/>
        </w:rPr>
      </w:pPr>
    </w:p>
    <w:p w14:paraId="1B2F4E4B" w14:textId="77777777" w:rsidR="0008467F" w:rsidRPr="00A8706C" w:rsidRDefault="0008467F" w:rsidP="00B205BA">
      <w:pPr>
        <w:spacing w:after="120" w:line="240" w:lineRule="auto"/>
        <w:rPr>
          <w:rFonts w:eastAsia="Times New Roman" w:cs="Arial"/>
          <w:b/>
          <w:bCs/>
          <w:lang w:eastAsia="es-ES_tradnl"/>
        </w:rPr>
      </w:pPr>
    </w:p>
    <w:p w14:paraId="00DB42C1" w14:textId="77777777" w:rsidR="0008467F" w:rsidRPr="00A8706C" w:rsidRDefault="0008467F" w:rsidP="00B205BA">
      <w:pPr>
        <w:spacing w:after="120" w:line="240" w:lineRule="auto"/>
        <w:rPr>
          <w:rFonts w:eastAsia="Times New Roman" w:cs="Arial"/>
          <w:b/>
          <w:bCs/>
          <w:lang w:eastAsia="es-ES_tradnl"/>
        </w:rPr>
      </w:pPr>
    </w:p>
    <w:p w14:paraId="769C9FBB" w14:textId="77777777" w:rsidR="0008467F" w:rsidRPr="00A8706C" w:rsidRDefault="0008467F" w:rsidP="00B205BA">
      <w:pPr>
        <w:spacing w:after="120" w:line="240" w:lineRule="auto"/>
        <w:rPr>
          <w:rFonts w:eastAsia="Times New Roman" w:cs="Arial"/>
          <w:b/>
          <w:bCs/>
          <w:lang w:eastAsia="es-ES_tradnl"/>
        </w:rPr>
      </w:pPr>
    </w:p>
    <w:p w14:paraId="71A8BCEC" w14:textId="77777777" w:rsidR="0008467F" w:rsidRPr="00A8706C" w:rsidRDefault="0008467F" w:rsidP="00B205BA">
      <w:pPr>
        <w:spacing w:after="120" w:line="240" w:lineRule="auto"/>
        <w:rPr>
          <w:rFonts w:eastAsia="Times New Roman" w:cs="Arial"/>
          <w:lang w:eastAsia="es-ES_tradnl"/>
        </w:rPr>
      </w:pPr>
    </w:p>
    <w:p w14:paraId="71649601" w14:textId="77777777" w:rsidR="0008467F" w:rsidRPr="00A8706C" w:rsidRDefault="0008467F" w:rsidP="00B205BA">
      <w:pPr>
        <w:spacing w:after="120" w:line="240" w:lineRule="auto"/>
        <w:rPr>
          <w:rFonts w:eastAsia="Times New Roman" w:cs="Arial"/>
          <w:b/>
          <w:bCs/>
          <w:lang w:eastAsia="es-ES_tradnl"/>
        </w:rPr>
      </w:pPr>
    </w:p>
    <w:p w14:paraId="191E0EE3" w14:textId="77777777" w:rsidR="0008467F" w:rsidRDefault="0008467F" w:rsidP="00B205BA">
      <w:pPr>
        <w:spacing w:after="120" w:line="240" w:lineRule="auto"/>
        <w:rPr>
          <w:rFonts w:eastAsia="Times New Roman" w:cs="Arial"/>
          <w:b/>
          <w:bCs/>
          <w:lang w:eastAsia="es-ES_tradnl"/>
        </w:rPr>
      </w:pPr>
    </w:p>
    <w:p w14:paraId="2B8A951C" w14:textId="77777777" w:rsidR="008511B6" w:rsidRDefault="008511B6" w:rsidP="00B205BA">
      <w:pPr>
        <w:spacing w:after="120" w:line="240" w:lineRule="auto"/>
        <w:rPr>
          <w:rFonts w:eastAsia="Times New Roman" w:cs="Arial"/>
          <w:b/>
          <w:bCs/>
          <w:lang w:eastAsia="es-ES_tradnl"/>
        </w:rPr>
      </w:pPr>
    </w:p>
    <w:p w14:paraId="462D21F2" w14:textId="77777777" w:rsidR="00C15D49" w:rsidRDefault="00C15D49" w:rsidP="00B205BA">
      <w:pPr>
        <w:spacing w:after="120" w:line="240" w:lineRule="auto"/>
        <w:rPr>
          <w:rFonts w:eastAsia="Times New Roman" w:cs="Arial"/>
          <w:b/>
          <w:bCs/>
          <w:lang w:eastAsia="es-ES_tradnl"/>
        </w:rPr>
      </w:pPr>
    </w:p>
    <w:p w14:paraId="5BE34BFD" w14:textId="77777777" w:rsidR="00261A27" w:rsidRDefault="00261A27" w:rsidP="00B205BA">
      <w:pPr>
        <w:spacing w:after="120" w:line="240" w:lineRule="auto"/>
        <w:rPr>
          <w:rFonts w:eastAsia="Times New Roman" w:cs="Arial"/>
          <w:b/>
          <w:bCs/>
          <w:lang w:eastAsia="es-ES_tradnl"/>
        </w:rPr>
      </w:pPr>
    </w:p>
    <w:p w14:paraId="6DA96529" w14:textId="77777777" w:rsidR="00261A27" w:rsidRDefault="00261A27" w:rsidP="00B205BA">
      <w:pPr>
        <w:spacing w:after="120" w:line="240" w:lineRule="auto"/>
        <w:rPr>
          <w:rFonts w:eastAsia="Times New Roman" w:cs="Arial"/>
          <w:b/>
          <w:bCs/>
          <w:lang w:eastAsia="es-ES_tradnl"/>
        </w:rPr>
      </w:pPr>
    </w:p>
    <w:p w14:paraId="4B1785CB" w14:textId="77777777" w:rsidR="00261A27" w:rsidRDefault="00261A27" w:rsidP="00B205BA">
      <w:pPr>
        <w:spacing w:after="120" w:line="240" w:lineRule="auto"/>
        <w:rPr>
          <w:rFonts w:eastAsia="Times New Roman" w:cs="Arial"/>
          <w:b/>
          <w:bCs/>
          <w:lang w:eastAsia="es-ES_tradnl"/>
        </w:rPr>
      </w:pPr>
    </w:p>
    <w:p w14:paraId="75DB51FA" w14:textId="77777777" w:rsidR="00261A27" w:rsidRDefault="00261A27" w:rsidP="00B205BA">
      <w:pPr>
        <w:spacing w:after="120" w:line="240" w:lineRule="auto"/>
        <w:rPr>
          <w:rFonts w:eastAsia="Times New Roman" w:cs="Arial"/>
          <w:b/>
          <w:bCs/>
          <w:lang w:eastAsia="es-ES_tradnl"/>
        </w:rPr>
      </w:pPr>
    </w:p>
    <w:p w14:paraId="22F22946" w14:textId="77777777" w:rsidR="00626AB9" w:rsidRDefault="00626AB9" w:rsidP="00B205BA">
      <w:pPr>
        <w:spacing w:after="120" w:line="240" w:lineRule="auto"/>
        <w:rPr>
          <w:rFonts w:eastAsia="Times New Roman" w:cs="Arial"/>
          <w:b/>
          <w:bCs/>
          <w:lang w:eastAsia="es-ES_tradnl"/>
        </w:rPr>
      </w:pPr>
    </w:p>
    <w:p w14:paraId="1A8B4540" w14:textId="77777777" w:rsidR="00261A27" w:rsidRDefault="00261A27" w:rsidP="00B205BA">
      <w:pPr>
        <w:spacing w:after="120" w:line="240" w:lineRule="auto"/>
        <w:rPr>
          <w:rFonts w:eastAsia="Times New Roman" w:cs="Arial"/>
          <w:b/>
          <w:bCs/>
          <w:lang w:eastAsia="es-ES_tradnl"/>
        </w:rPr>
      </w:pPr>
    </w:p>
    <w:p w14:paraId="23C32274" w14:textId="4D56EB3C" w:rsidR="0008467F" w:rsidRPr="00A8706C" w:rsidRDefault="0008467F" w:rsidP="00B205BA">
      <w:pPr>
        <w:spacing w:after="120" w:line="240" w:lineRule="auto"/>
        <w:rPr>
          <w:rFonts w:eastAsia="Times New Roman" w:cs="Arial"/>
          <w:b/>
          <w:bCs/>
          <w:lang w:eastAsia="es-ES_tradnl"/>
        </w:rPr>
      </w:pPr>
      <w:r w:rsidRPr="00A8706C">
        <w:rPr>
          <w:rFonts w:eastAsia="Times New Roman" w:cs="Arial"/>
          <w:b/>
          <w:bCs/>
          <w:lang w:eastAsia="es-ES_tradnl"/>
        </w:rPr>
        <w:lastRenderedPageBreak/>
        <w:t>OBJETIVOS DEL COMITÉ DE PLANEACIÓN MUNICIPAL</w:t>
      </w:r>
    </w:p>
    <w:p w14:paraId="100D7F22" w14:textId="77777777" w:rsidR="0008467F" w:rsidRPr="00A8706C" w:rsidRDefault="0008467F" w:rsidP="00B205BA">
      <w:pPr>
        <w:numPr>
          <w:ilvl w:val="0"/>
          <w:numId w:val="6"/>
        </w:numPr>
        <w:spacing w:after="120" w:line="240" w:lineRule="auto"/>
        <w:rPr>
          <w:rFonts w:eastAsia="Calibri" w:cs="Arial"/>
          <w:bCs/>
          <w:color w:val="000000"/>
          <w:lang w:eastAsia="es-ES_tradnl"/>
        </w:rPr>
      </w:pPr>
      <w:r w:rsidRPr="00A8706C">
        <w:rPr>
          <w:rFonts w:eastAsia="Calibri" w:cs="Arial"/>
          <w:bCs/>
          <w:color w:val="000000"/>
          <w:lang w:eastAsia="es-ES_tradnl"/>
        </w:rPr>
        <w:t>Promover la participación de la sociedad en el desarrollo integral del municipio;</w:t>
      </w:r>
    </w:p>
    <w:p w14:paraId="70D2E51F" w14:textId="77777777" w:rsidR="0008467F" w:rsidRPr="00A8706C" w:rsidRDefault="0008467F" w:rsidP="00B205BA">
      <w:pPr>
        <w:numPr>
          <w:ilvl w:val="0"/>
          <w:numId w:val="6"/>
        </w:numPr>
        <w:spacing w:after="120" w:line="240" w:lineRule="auto"/>
        <w:rPr>
          <w:rFonts w:eastAsia="Calibri" w:cs="Arial"/>
          <w:bCs/>
          <w:color w:val="000000"/>
          <w:lang w:eastAsia="es-ES_tradnl"/>
        </w:rPr>
      </w:pPr>
      <w:r w:rsidRPr="00A8706C">
        <w:rPr>
          <w:rFonts w:eastAsia="Calibri" w:cs="Arial"/>
          <w:bCs/>
          <w:color w:val="000000"/>
          <w:lang w:eastAsia="es-ES_tradnl"/>
        </w:rPr>
        <w:t>Contribuir en el diagnóstico de la problemática y potencialidades municipales, así como en la definición y promoción de proyectos y acciones que contribuyan al desarrollo local y regional;</w:t>
      </w:r>
    </w:p>
    <w:p w14:paraId="65ACCD6F" w14:textId="77777777" w:rsidR="0008467F" w:rsidRPr="00A8706C" w:rsidRDefault="0008467F" w:rsidP="00B205BA">
      <w:pPr>
        <w:numPr>
          <w:ilvl w:val="0"/>
          <w:numId w:val="6"/>
        </w:numPr>
        <w:spacing w:after="120" w:line="240" w:lineRule="auto"/>
        <w:rPr>
          <w:rFonts w:eastAsia="Calibri" w:cs="Arial"/>
          <w:bCs/>
          <w:color w:val="000000"/>
          <w:lang w:eastAsia="es-ES_tradnl"/>
        </w:rPr>
      </w:pPr>
      <w:r w:rsidRPr="00A8706C">
        <w:rPr>
          <w:rFonts w:eastAsia="Calibri" w:cs="Arial"/>
          <w:bCs/>
          <w:color w:val="000000"/>
          <w:lang w:eastAsia="es-ES_tradnl"/>
        </w:rPr>
        <w:t>Contribuir en los trabajos de instrumentación y seguimiento, del Plan Municipal de Desarrollo y los programas que de él se deriven, procurando su inserción y congruencia con los planes regionales y el Plan Estatal, así como el Plan Nacional de Desarrollo;</w:t>
      </w:r>
    </w:p>
    <w:p w14:paraId="3152049A" w14:textId="77777777" w:rsidR="0008467F" w:rsidRPr="00A8706C" w:rsidRDefault="0008467F" w:rsidP="00B205BA">
      <w:pPr>
        <w:numPr>
          <w:ilvl w:val="0"/>
          <w:numId w:val="6"/>
        </w:numPr>
        <w:spacing w:after="120" w:line="240" w:lineRule="auto"/>
        <w:rPr>
          <w:rFonts w:eastAsia="Calibri" w:cs="Arial"/>
          <w:bCs/>
          <w:color w:val="000000"/>
          <w:lang w:eastAsia="es-ES_tradnl"/>
        </w:rPr>
      </w:pPr>
      <w:r w:rsidRPr="00A8706C">
        <w:rPr>
          <w:rFonts w:eastAsia="Calibri" w:cs="Arial"/>
          <w:bCs/>
          <w:color w:val="000000"/>
          <w:lang w:eastAsia="es-ES_tradnl"/>
        </w:rPr>
        <w:t>Proponer la realización de programas y acciones que sean objeto de convenio entre el municipio y el Ejecutivo Estatal y, a través de éste, en su caso, con el Ejecutivo Federal;</w:t>
      </w:r>
    </w:p>
    <w:p w14:paraId="3287434A" w14:textId="77777777" w:rsidR="0008467F" w:rsidRPr="00A8706C" w:rsidRDefault="0008467F" w:rsidP="00B205BA">
      <w:pPr>
        <w:numPr>
          <w:ilvl w:val="0"/>
          <w:numId w:val="6"/>
        </w:numPr>
        <w:spacing w:after="120" w:line="240" w:lineRule="auto"/>
        <w:rPr>
          <w:rFonts w:eastAsia="Calibri" w:cs="Arial"/>
          <w:bCs/>
          <w:color w:val="000000"/>
          <w:lang w:eastAsia="es-ES_tradnl"/>
        </w:rPr>
      </w:pPr>
      <w:r w:rsidRPr="00A8706C">
        <w:rPr>
          <w:rFonts w:eastAsia="Calibri" w:cs="Arial"/>
          <w:color w:val="000000"/>
          <w:lang w:eastAsia="es-ES_tradnl"/>
        </w:rPr>
        <w:t xml:space="preserve">Constituir los subcomités y grupos de trabajo que se requieran; </w:t>
      </w:r>
      <w:r w:rsidRPr="00A8706C">
        <w:rPr>
          <w:rFonts w:eastAsia="Calibri" w:cs="Arial"/>
          <w:bCs/>
          <w:color w:val="000000"/>
          <w:lang w:eastAsia="es-ES_tradnl"/>
        </w:rPr>
        <w:t>y</w:t>
      </w:r>
    </w:p>
    <w:p w14:paraId="0A2D4255" w14:textId="77777777" w:rsidR="0008467F" w:rsidRPr="00A8706C" w:rsidRDefault="0008467F" w:rsidP="00B205BA">
      <w:pPr>
        <w:numPr>
          <w:ilvl w:val="0"/>
          <w:numId w:val="6"/>
        </w:numPr>
        <w:spacing w:after="120" w:line="240" w:lineRule="auto"/>
        <w:rPr>
          <w:rFonts w:eastAsia="Calibri" w:cs="Arial"/>
          <w:bCs/>
          <w:color w:val="000000"/>
          <w:lang w:eastAsia="es-ES_tradnl"/>
        </w:rPr>
      </w:pPr>
      <w:r w:rsidRPr="00A8706C">
        <w:rPr>
          <w:rFonts w:eastAsia="Calibri" w:cs="Arial"/>
          <w:bCs/>
          <w:color w:val="000000"/>
          <w:lang w:eastAsia="es-ES_tradnl"/>
        </w:rPr>
        <w:t>Las demás que le señale la Ley Estatal, este Reglamento y otros ordenamientos legales aplicables en la materia.</w:t>
      </w:r>
    </w:p>
    <w:p w14:paraId="5D8EAA00" w14:textId="77777777" w:rsidR="0008467F" w:rsidRDefault="0008467F" w:rsidP="00B205BA">
      <w:pPr>
        <w:spacing w:after="120" w:line="240" w:lineRule="auto"/>
        <w:rPr>
          <w:rFonts w:eastAsia="Times New Roman" w:cs="Arial"/>
          <w:b/>
          <w:bCs/>
          <w:lang w:eastAsia="es-ES_tradnl"/>
        </w:rPr>
      </w:pPr>
    </w:p>
    <w:p w14:paraId="451C9B9D" w14:textId="77777777" w:rsidR="0008467F" w:rsidRPr="00A8706C" w:rsidRDefault="0008467F" w:rsidP="00B205BA">
      <w:pPr>
        <w:spacing w:after="120" w:line="240" w:lineRule="auto"/>
        <w:rPr>
          <w:rFonts w:eastAsia="Times New Roman" w:cs="Arial"/>
          <w:b/>
          <w:bCs/>
          <w:lang w:eastAsia="es-ES_tradnl"/>
        </w:rPr>
      </w:pPr>
      <w:r w:rsidRPr="00A8706C">
        <w:rPr>
          <w:rFonts w:eastAsia="Times New Roman" w:cs="Arial"/>
          <w:b/>
          <w:bCs/>
          <w:lang w:eastAsia="es-ES_tradnl"/>
        </w:rPr>
        <w:t>Integrantes.</w:t>
      </w:r>
    </w:p>
    <w:p w14:paraId="65EE6602" w14:textId="312DDB0E" w:rsidR="0008467F" w:rsidRPr="00A8706C" w:rsidRDefault="0008467F" w:rsidP="00B205BA">
      <w:pPr>
        <w:spacing w:after="120" w:line="240" w:lineRule="auto"/>
        <w:rPr>
          <w:rFonts w:eastAsia="Times New Roman" w:cs="Arial"/>
          <w:lang w:eastAsia="es-ES_tradnl"/>
        </w:rPr>
      </w:pPr>
      <w:r w:rsidRPr="00A8706C">
        <w:rPr>
          <w:rFonts w:eastAsia="Times New Roman" w:cs="Arial"/>
          <w:lang w:eastAsia="es-ES_tradnl"/>
        </w:rPr>
        <w:t>Los descritos según el artículo 17 del Reglamento de Planeación del Municipio de Hermosillo.</w:t>
      </w:r>
    </w:p>
    <w:p w14:paraId="09E643DD" w14:textId="47397197" w:rsidR="0008467F" w:rsidRPr="00A8706C" w:rsidRDefault="0008467F" w:rsidP="00B205BA">
      <w:pPr>
        <w:spacing w:after="120" w:line="240" w:lineRule="auto"/>
        <w:rPr>
          <w:rFonts w:eastAsia="Calibri" w:cs="Arial"/>
          <w:bCs/>
          <w:iCs/>
          <w:lang w:eastAsia="es-ES_tradnl"/>
        </w:rPr>
      </w:pPr>
      <w:r w:rsidRPr="00A8706C">
        <w:rPr>
          <w:rFonts w:eastAsia="Calibri" w:cs="Arial"/>
          <w:bCs/>
          <w:iCs/>
          <w:lang w:eastAsia="es-ES_tradnl"/>
        </w:rPr>
        <w:t>Para asegurar el cumplimiento de los objetivos y metas del desarrollo municipal y</w:t>
      </w:r>
      <w:r w:rsidRPr="00A8706C">
        <w:rPr>
          <w:rFonts w:eastAsia="Times New Roman" w:cs="Arial"/>
          <w:lang w:eastAsia="es-ES_tradnl"/>
        </w:rPr>
        <w:t xml:space="preserve"> con base en el artículo 24, párrafo segundo del Reglamento de Planeación del Municipio de Hermosillo, se conformará la </w:t>
      </w:r>
      <w:r w:rsidRPr="00A8706C">
        <w:rPr>
          <w:rFonts w:eastAsia="Calibri" w:cs="Arial"/>
          <w:bCs/>
          <w:iCs/>
          <w:lang w:eastAsia="es-ES_tradnl"/>
        </w:rPr>
        <w:t>Comisión Especial de Seguimiento y Evaluación (COESE) del Comité de Planeación Municipal (COPLAM).</w:t>
      </w:r>
    </w:p>
    <w:p w14:paraId="61C62A1C" w14:textId="77777777" w:rsidR="0008467F" w:rsidRPr="00A8706C" w:rsidRDefault="0008467F" w:rsidP="00B205BA">
      <w:pPr>
        <w:spacing w:after="120" w:line="240" w:lineRule="auto"/>
        <w:rPr>
          <w:rFonts w:eastAsia="Calibri" w:cs="Arial"/>
          <w:bCs/>
          <w:iCs/>
          <w:lang w:eastAsia="es-ES_tradnl"/>
        </w:rPr>
      </w:pPr>
      <w:r w:rsidRPr="00A8706C">
        <w:rPr>
          <w:rFonts w:eastAsia="Calibri" w:cs="Arial"/>
          <w:bCs/>
          <w:iCs/>
          <w:lang w:eastAsia="es-ES_tradnl"/>
        </w:rPr>
        <w:t>La Comisión Especial de Seguimiento y Evaluación (COESE) tendrá como objetivos:</w:t>
      </w:r>
    </w:p>
    <w:p w14:paraId="0A4A5030" w14:textId="77777777" w:rsidR="0008467F" w:rsidRPr="00A8706C" w:rsidRDefault="0008467F" w:rsidP="00B205BA">
      <w:pPr>
        <w:numPr>
          <w:ilvl w:val="0"/>
          <w:numId w:val="4"/>
        </w:numPr>
        <w:spacing w:after="120" w:line="240" w:lineRule="auto"/>
        <w:rPr>
          <w:rFonts w:eastAsia="Times New Roman" w:cs="Arial"/>
          <w:bCs/>
          <w:iCs/>
          <w:lang w:eastAsia="es-ES_tradnl"/>
        </w:rPr>
      </w:pPr>
      <w:r w:rsidRPr="00A8706C">
        <w:rPr>
          <w:rFonts w:eastAsia="Times New Roman" w:cs="Arial"/>
          <w:lang w:eastAsia="es-ES_tradnl"/>
        </w:rPr>
        <w:t xml:space="preserve">Verificar el grado de cumplimiento de metas y objetivos, con base en indicadores de desempeño; </w:t>
      </w:r>
    </w:p>
    <w:p w14:paraId="5FF2F702" w14:textId="77777777" w:rsidR="0008467F" w:rsidRPr="00A8706C" w:rsidRDefault="0008467F" w:rsidP="00B205BA">
      <w:pPr>
        <w:numPr>
          <w:ilvl w:val="0"/>
          <w:numId w:val="4"/>
        </w:numPr>
        <w:spacing w:after="120" w:line="240" w:lineRule="auto"/>
        <w:rPr>
          <w:rFonts w:eastAsia="Times New Roman" w:cs="Arial"/>
          <w:bCs/>
          <w:iCs/>
          <w:lang w:eastAsia="es-ES_tradnl"/>
        </w:rPr>
      </w:pPr>
      <w:r w:rsidRPr="00A8706C">
        <w:rPr>
          <w:rFonts w:eastAsia="Times New Roman" w:cs="Arial"/>
          <w:bCs/>
          <w:iCs/>
          <w:lang w:eastAsia="es-ES_tradnl"/>
        </w:rPr>
        <w:t>R</w:t>
      </w:r>
      <w:r w:rsidRPr="00A8706C">
        <w:rPr>
          <w:rFonts w:eastAsia="Times New Roman" w:cs="Arial"/>
          <w:lang w:eastAsia="es-ES_tradnl"/>
        </w:rPr>
        <w:t>ealizar una valoración objetiva del desempeño de las políticas y programas públicos; y</w:t>
      </w:r>
    </w:p>
    <w:p w14:paraId="06FB0310" w14:textId="77777777" w:rsidR="0008467F" w:rsidRPr="00A8706C" w:rsidRDefault="0008467F" w:rsidP="00B205BA">
      <w:pPr>
        <w:numPr>
          <w:ilvl w:val="0"/>
          <w:numId w:val="4"/>
        </w:numPr>
        <w:spacing w:after="120" w:line="240" w:lineRule="auto"/>
        <w:rPr>
          <w:rFonts w:eastAsia="Times New Roman" w:cs="Arial"/>
          <w:lang w:eastAsia="es-ES_tradnl"/>
        </w:rPr>
      </w:pPr>
      <w:r w:rsidRPr="00A8706C">
        <w:rPr>
          <w:rFonts w:eastAsia="Times New Roman" w:cs="Arial"/>
          <w:lang w:eastAsia="es-ES_tradnl"/>
        </w:rPr>
        <w:t xml:space="preserve">Proponer acciones para evitar o corregir incumplimientos de los objetivos y metas del desarrollo municipal. </w:t>
      </w:r>
    </w:p>
    <w:p w14:paraId="367999D9" w14:textId="77777777" w:rsidR="0008467F" w:rsidRDefault="0008467F" w:rsidP="00B205BA">
      <w:pPr>
        <w:spacing w:after="120" w:line="240" w:lineRule="auto"/>
        <w:rPr>
          <w:rFonts w:eastAsia="Times New Roman" w:cs="Arial"/>
          <w:lang w:eastAsia="es-ES_tradnl"/>
        </w:rPr>
      </w:pPr>
    </w:p>
    <w:p w14:paraId="78EE2511" w14:textId="77777777" w:rsidR="00626AB9" w:rsidRDefault="00626AB9" w:rsidP="00B205BA">
      <w:pPr>
        <w:spacing w:after="120" w:line="240" w:lineRule="auto"/>
        <w:rPr>
          <w:rFonts w:eastAsia="Times New Roman" w:cs="Arial"/>
          <w:lang w:eastAsia="es-ES_tradnl"/>
        </w:rPr>
      </w:pPr>
    </w:p>
    <w:p w14:paraId="1BCA1B86" w14:textId="77777777" w:rsidR="00626AB9" w:rsidRDefault="00626AB9" w:rsidP="00B205BA">
      <w:pPr>
        <w:spacing w:after="120" w:line="240" w:lineRule="auto"/>
        <w:rPr>
          <w:rFonts w:eastAsia="Times New Roman" w:cs="Arial"/>
          <w:lang w:eastAsia="es-ES_tradnl"/>
        </w:rPr>
      </w:pPr>
    </w:p>
    <w:p w14:paraId="046E5B7C" w14:textId="77777777" w:rsidR="00626AB9" w:rsidRDefault="00626AB9" w:rsidP="00B205BA">
      <w:pPr>
        <w:spacing w:after="120" w:line="240" w:lineRule="auto"/>
        <w:rPr>
          <w:rFonts w:eastAsia="Times New Roman" w:cs="Arial"/>
          <w:lang w:eastAsia="es-ES_tradnl"/>
        </w:rPr>
      </w:pPr>
    </w:p>
    <w:p w14:paraId="75050A33" w14:textId="77777777" w:rsidR="00626AB9" w:rsidRDefault="00626AB9" w:rsidP="00B205BA">
      <w:pPr>
        <w:spacing w:after="120" w:line="240" w:lineRule="auto"/>
        <w:rPr>
          <w:rFonts w:eastAsia="Times New Roman" w:cs="Arial"/>
          <w:lang w:eastAsia="es-ES_tradnl"/>
        </w:rPr>
      </w:pPr>
    </w:p>
    <w:p w14:paraId="0FF5B584" w14:textId="77777777" w:rsidR="00626AB9" w:rsidRDefault="00626AB9" w:rsidP="00B205BA">
      <w:pPr>
        <w:spacing w:after="120" w:line="240" w:lineRule="auto"/>
        <w:rPr>
          <w:rFonts w:eastAsia="Times New Roman" w:cs="Arial"/>
          <w:lang w:eastAsia="es-ES_tradnl"/>
        </w:rPr>
      </w:pPr>
    </w:p>
    <w:p w14:paraId="42E02C50" w14:textId="77777777" w:rsidR="00626AB9" w:rsidRDefault="00626AB9" w:rsidP="00B205BA">
      <w:pPr>
        <w:spacing w:after="120" w:line="240" w:lineRule="auto"/>
        <w:rPr>
          <w:rFonts w:eastAsia="Times New Roman" w:cs="Arial"/>
          <w:lang w:eastAsia="es-ES_tradnl"/>
        </w:rPr>
      </w:pPr>
    </w:p>
    <w:p w14:paraId="79079EA1" w14:textId="77777777" w:rsidR="00626AB9" w:rsidRDefault="00626AB9" w:rsidP="00B205BA">
      <w:pPr>
        <w:spacing w:after="120" w:line="240" w:lineRule="auto"/>
        <w:rPr>
          <w:rFonts w:eastAsia="Times New Roman" w:cs="Arial"/>
          <w:lang w:eastAsia="es-ES_tradnl"/>
        </w:rPr>
      </w:pPr>
    </w:p>
    <w:p w14:paraId="040A9A5C" w14:textId="77777777" w:rsidR="00626AB9" w:rsidRPr="00A8706C" w:rsidRDefault="00626AB9" w:rsidP="00B205BA">
      <w:pPr>
        <w:spacing w:after="120" w:line="240" w:lineRule="auto"/>
        <w:rPr>
          <w:rFonts w:eastAsia="Times New Roman" w:cs="Arial"/>
          <w:lang w:eastAsia="es-ES_tradnl"/>
        </w:rPr>
      </w:pPr>
    </w:p>
    <w:p w14:paraId="1D621793" w14:textId="3AC543C9" w:rsidR="0008467F" w:rsidRPr="00A8706C" w:rsidRDefault="0008467F" w:rsidP="00B205BA">
      <w:pPr>
        <w:spacing w:after="120" w:line="240" w:lineRule="auto"/>
        <w:rPr>
          <w:rFonts w:eastAsia="Times New Roman" w:cs="Arial"/>
          <w:lang w:eastAsia="es-ES_tradnl"/>
        </w:rPr>
      </w:pPr>
      <w:r w:rsidRPr="00A8706C">
        <w:rPr>
          <w:rFonts w:eastAsia="Times New Roman" w:cs="Arial"/>
          <w:lang w:eastAsia="es-ES_tradnl"/>
        </w:rPr>
        <w:lastRenderedPageBreak/>
        <w:t xml:space="preserve">El Plan Municipal de </w:t>
      </w:r>
      <w:r w:rsidRPr="0008467F">
        <w:rPr>
          <w:rFonts w:eastAsia="Times New Roman" w:cs="Arial"/>
          <w:lang w:eastAsia="es-ES_tradnl"/>
        </w:rPr>
        <w:t>Desarrollo contiene 5 frentes</w:t>
      </w:r>
      <w:r w:rsidR="007503ED">
        <w:rPr>
          <w:rFonts w:eastAsia="Times New Roman" w:cs="Arial"/>
          <w:lang w:eastAsia="es-ES_tradnl"/>
        </w:rPr>
        <w:t xml:space="preserve"> rectores</w:t>
      </w:r>
      <w:r w:rsidRPr="0008467F">
        <w:rPr>
          <w:rFonts w:eastAsia="Times New Roman" w:cs="Arial"/>
          <w:lang w:eastAsia="es-ES_tradnl"/>
        </w:rPr>
        <w:t>, de los cuales se desprenden 59 Retos, 132 Estrategias y 563 Líneas de acción, los</w:t>
      </w:r>
      <w:r w:rsidRPr="00A8706C">
        <w:rPr>
          <w:rFonts w:eastAsia="Times New Roman" w:cs="Arial"/>
          <w:lang w:eastAsia="es-ES_tradnl"/>
        </w:rPr>
        <w:t xml:space="preserve"> cuales son ejecutadas por las dependencias y entidades de la Administración Pública Municipal de acuerdo con la normatividad aplicable.</w:t>
      </w:r>
    </w:p>
    <w:tbl>
      <w:tblPr>
        <w:tblStyle w:val="Tablaconcuadrcula"/>
        <w:tblW w:w="0" w:type="auto"/>
        <w:tblInd w:w="720" w:type="dxa"/>
        <w:tblLook w:val="04A0" w:firstRow="1" w:lastRow="0" w:firstColumn="1" w:lastColumn="0" w:noHBand="0" w:noVBand="1"/>
      </w:tblPr>
      <w:tblGrid>
        <w:gridCol w:w="1639"/>
        <w:gridCol w:w="1615"/>
        <w:gridCol w:w="1684"/>
        <w:gridCol w:w="2275"/>
      </w:tblGrid>
      <w:tr w:rsidR="0008467F" w:rsidRPr="00A8706C" w14:paraId="763361DD" w14:textId="77777777" w:rsidTr="004A023F">
        <w:tc>
          <w:tcPr>
            <w:tcW w:w="1639" w:type="dxa"/>
            <w:shd w:val="clear" w:color="auto" w:fill="A6A6A6" w:themeFill="background1" w:themeFillShade="A6"/>
          </w:tcPr>
          <w:p w14:paraId="572F2430" w14:textId="77777777" w:rsidR="0008467F" w:rsidRPr="00A8706C" w:rsidRDefault="0008467F" w:rsidP="00B205BA">
            <w:pPr>
              <w:spacing w:after="120" w:line="240" w:lineRule="auto"/>
              <w:jc w:val="center"/>
              <w:rPr>
                <w:rFonts w:eastAsia="Times New Roman" w:cs="Arial"/>
                <w:b/>
                <w:bCs/>
                <w:lang w:eastAsia="es-ES_tradnl"/>
              </w:rPr>
            </w:pPr>
            <w:r w:rsidRPr="00A8706C">
              <w:rPr>
                <w:rFonts w:eastAsia="Times New Roman" w:cs="Arial"/>
                <w:b/>
                <w:bCs/>
                <w:lang w:eastAsia="es-ES_tradnl"/>
              </w:rPr>
              <w:t>Frentes</w:t>
            </w:r>
          </w:p>
        </w:tc>
        <w:tc>
          <w:tcPr>
            <w:tcW w:w="1615" w:type="dxa"/>
            <w:shd w:val="clear" w:color="auto" w:fill="A6A6A6" w:themeFill="background1" w:themeFillShade="A6"/>
            <w:vAlign w:val="center"/>
          </w:tcPr>
          <w:p w14:paraId="468C31B5" w14:textId="77777777" w:rsidR="0008467F" w:rsidRPr="00A8706C" w:rsidRDefault="0008467F" w:rsidP="00B205BA">
            <w:pPr>
              <w:spacing w:after="120" w:line="240" w:lineRule="auto"/>
              <w:jc w:val="center"/>
              <w:rPr>
                <w:rFonts w:eastAsia="Times New Roman" w:cs="Arial"/>
                <w:b/>
                <w:bCs/>
                <w:lang w:eastAsia="es-ES_tradnl"/>
              </w:rPr>
            </w:pPr>
            <w:r w:rsidRPr="00A8706C">
              <w:rPr>
                <w:rFonts w:eastAsia="Times New Roman" w:cs="Arial"/>
                <w:b/>
                <w:bCs/>
                <w:lang w:eastAsia="es-ES_tradnl"/>
              </w:rPr>
              <w:t>Retos</w:t>
            </w:r>
          </w:p>
        </w:tc>
        <w:tc>
          <w:tcPr>
            <w:tcW w:w="1684" w:type="dxa"/>
            <w:shd w:val="clear" w:color="auto" w:fill="A6A6A6" w:themeFill="background1" w:themeFillShade="A6"/>
            <w:vAlign w:val="center"/>
          </w:tcPr>
          <w:p w14:paraId="0B5BD8A7" w14:textId="77777777" w:rsidR="0008467F" w:rsidRPr="00A8706C" w:rsidRDefault="0008467F" w:rsidP="00B205BA">
            <w:pPr>
              <w:spacing w:after="120" w:line="240" w:lineRule="auto"/>
              <w:jc w:val="center"/>
              <w:rPr>
                <w:rFonts w:eastAsia="Times New Roman" w:cs="Arial"/>
                <w:b/>
                <w:bCs/>
                <w:lang w:eastAsia="es-ES_tradnl"/>
              </w:rPr>
            </w:pPr>
            <w:r w:rsidRPr="00A8706C">
              <w:rPr>
                <w:rFonts w:eastAsia="Times New Roman" w:cs="Arial"/>
                <w:b/>
                <w:bCs/>
                <w:lang w:eastAsia="es-ES_tradnl"/>
              </w:rPr>
              <w:t>Estrategias</w:t>
            </w:r>
          </w:p>
        </w:tc>
        <w:tc>
          <w:tcPr>
            <w:tcW w:w="2275" w:type="dxa"/>
            <w:shd w:val="clear" w:color="auto" w:fill="A6A6A6" w:themeFill="background1" w:themeFillShade="A6"/>
            <w:vAlign w:val="center"/>
          </w:tcPr>
          <w:p w14:paraId="5D9347B9" w14:textId="77777777" w:rsidR="0008467F" w:rsidRPr="00A8706C" w:rsidRDefault="0008467F" w:rsidP="00B205BA">
            <w:pPr>
              <w:spacing w:after="120" w:line="240" w:lineRule="auto"/>
              <w:jc w:val="center"/>
              <w:rPr>
                <w:rFonts w:eastAsia="Times New Roman" w:cs="Arial"/>
                <w:b/>
                <w:bCs/>
                <w:lang w:eastAsia="es-ES_tradnl"/>
              </w:rPr>
            </w:pPr>
            <w:r w:rsidRPr="00A8706C">
              <w:rPr>
                <w:rFonts w:eastAsia="Times New Roman" w:cs="Arial"/>
                <w:b/>
                <w:bCs/>
                <w:lang w:eastAsia="es-ES_tradnl"/>
              </w:rPr>
              <w:t>Líneas de acción</w:t>
            </w:r>
          </w:p>
        </w:tc>
      </w:tr>
      <w:tr w:rsidR="0008467F" w:rsidRPr="00A8706C" w14:paraId="6BCE7A8C" w14:textId="77777777" w:rsidTr="00B84D02">
        <w:tc>
          <w:tcPr>
            <w:tcW w:w="1639" w:type="dxa"/>
          </w:tcPr>
          <w:p w14:paraId="2C3E5D70" w14:textId="77777777" w:rsidR="0008467F" w:rsidRPr="00A8706C" w:rsidRDefault="0008467F" w:rsidP="00B205BA">
            <w:pPr>
              <w:spacing w:after="120" w:line="240" w:lineRule="auto"/>
              <w:jc w:val="center"/>
              <w:rPr>
                <w:rFonts w:eastAsia="Times New Roman" w:cs="Arial"/>
                <w:lang w:eastAsia="es-ES_tradnl"/>
              </w:rPr>
            </w:pPr>
            <w:r w:rsidRPr="00A8706C">
              <w:rPr>
                <w:rFonts w:eastAsia="Times New Roman" w:cs="Arial"/>
                <w:lang w:eastAsia="es-ES_tradnl"/>
              </w:rPr>
              <w:t>1. Hermosillo en Paz y Conectado</w:t>
            </w:r>
          </w:p>
        </w:tc>
        <w:tc>
          <w:tcPr>
            <w:tcW w:w="1615" w:type="dxa"/>
          </w:tcPr>
          <w:p w14:paraId="6F9358CB" w14:textId="6E5F7C43" w:rsidR="0008467F" w:rsidRPr="00A8706C" w:rsidRDefault="0008467F" w:rsidP="00B205BA">
            <w:pPr>
              <w:spacing w:after="120" w:line="240" w:lineRule="auto"/>
              <w:jc w:val="center"/>
              <w:rPr>
                <w:rFonts w:eastAsia="Times New Roman" w:cs="Arial"/>
                <w:lang w:eastAsia="es-ES_tradnl"/>
              </w:rPr>
            </w:pPr>
            <w:r w:rsidRPr="00C27AEA">
              <w:t>11</w:t>
            </w:r>
          </w:p>
        </w:tc>
        <w:tc>
          <w:tcPr>
            <w:tcW w:w="1684" w:type="dxa"/>
          </w:tcPr>
          <w:p w14:paraId="02C24C0D" w14:textId="0810B4CD" w:rsidR="0008467F" w:rsidRPr="00A8706C" w:rsidRDefault="0008467F" w:rsidP="00B205BA">
            <w:pPr>
              <w:spacing w:after="120" w:line="240" w:lineRule="auto"/>
              <w:jc w:val="center"/>
              <w:rPr>
                <w:rFonts w:eastAsia="Times New Roman" w:cs="Arial"/>
                <w:lang w:eastAsia="es-ES_tradnl"/>
              </w:rPr>
            </w:pPr>
            <w:r w:rsidRPr="00C27AEA">
              <w:t>28</w:t>
            </w:r>
          </w:p>
        </w:tc>
        <w:tc>
          <w:tcPr>
            <w:tcW w:w="2275" w:type="dxa"/>
          </w:tcPr>
          <w:p w14:paraId="72EC3C34" w14:textId="61649440" w:rsidR="0008467F" w:rsidRPr="00A8706C" w:rsidRDefault="0008467F" w:rsidP="00B205BA">
            <w:pPr>
              <w:spacing w:after="120" w:line="240" w:lineRule="auto"/>
              <w:jc w:val="center"/>
              <w:rPr>
                <w:rFonts w:eastAsia="Times New Roman" w:cs="Arial"/>
                <w:lang w:eastAsia="es-ES_tradnl"/>
              </w:rPr>
            </w:pPr>
            <w:r w:rsidRPr="00C27AEA">
              <w:t>115</w:t>
            </w:r>
          </w:p>
        </w:tc>
      </w:tr>
      <w:tr w:rsidR="0008467F" w:rsidRPr="00A8706C" w14:paraId="57C7BA9D" w14:textId="77777777" w:rsidTr="00B84D02">
        <w:tc>
          <w:tcPr>
            <w:tcW w:w="1639" w:type="dxa"/>
          </w:tcPr>
          <w:p w14:paraId="6B402DBD" w14:textId="77777777" w:rsidR="0008467F" w:rsidRPr="00A8706C" w:rsidRDefault="0008467F" w:rsidP="00B205BA">
            <w:pPr>
              <w:spacing w:after="120" w:line="240" w:lineRule="auto"/>
              <w:jc w:val="center"/>
              <w:rPr>
                <w:rFonts w:eastAsia="Times New Roman" w:cs="Arial"/>
                <w:lang w:eastAsia="es-ES_tradnl"/>
              </w:rPr>
            </w:pPr>
            <w:r w:rsidRPr="00A8706C">
              <w:rPr>
                <w:rFonts w:eastAsia="Times New Roman" w:cs="Arial"/>
                <w:lang w:eastAsia="es-ES_tradnl"/>
              </w:rPr>
              <w:t>2. Hermosillo Sostenible e Innovador</w:t>
            </w:r>
          </w:p>
        </w:tc>
        <w:tc>
          <w:tcPr>
            <w:tcW w:w="1615" w:type="dxa"/>
          </w:tcPr>
          <w:p w14:paraId="1827A69F" w14:textId="6E7B4B08" w:rsidR="0008467F" w:rsidRPr="00A8706C" w:rsidRDefault="0008467F" w:rsidP="00B205BA">
            <w:pPr>
              <w:spacing w:after="120" w:line="240" w:lineRule="auto"/>
              <w:jc w:val="center"/>
              <w:rPr>
                <w:rFonts w:eastAsia="Times New Roman" w:cs="Arial"/>
                <w:lang w:eastAsia="es-ES_tradnl"/>
              </w:rPr>
            </w:pPr>
            <w:r w:rsidRPr="00C27AEA">
              <w:t>14</w:t>
            </w:r>
          </w:p>
        </w:tc>
        <w:tc>
          <w:tcPr>
            <w:tcW w:w="1684" w:type="dxa"/>
          </w:tcPr>
          <w:p w14:paraId="442FD816" w14:textId="418035F5" w:rsidR="0008467F" w:rsidRPr="00A8706C" w:rsidRDefault="0008467F" w:rsidP="00B205BA">
            <w:pPr>
              <w:spacing w:after="120" w:line="240" w:lineRule="auto"/>
              <w:jc w:val="center"/>
              <w:rPr>
                <w:rFonts w:eastAsia="Times New Roman" w:cs="Arial"/>
                <w:lang w:eastAsia="es-ES_tradnl"/>
              </w:rPr>
            </w:pPr>
            <w:r w:rsidRPr="00C27AEA">
              <w:t>30</w:t>
            </w:r>
          </w:p>
        </w:tc>
        <w:tc>
          <w:tcPr>
            <w:tcW w:w="2275" w:type="dxa"/>
          </w:tcPr>
          <w:p w14:paraId="7A8191EA" w14:textId="74BB5B45" w:rsidR="0008467F" w:rsidRPr="00A8706C" w:rsidRDefault="0008467F" w:rsidP="00B205BA">
            <w:pPr>
              <w:spacing w:after="120" w:line="240" w:lineRule="auto"/>
              <w:jc w:val="center"/>
              <w:rPr>
                <w:rFonts w:eastAsia="Times New Roman" w:cs="Arial"/>
                <w:lang w:eastAsia="es-ES_tradnl"/>
              </w:rPr>
            </w:pPr>
            <w:r w:rsidRPr="00C27AEA">
              <w:t>124</w:t>
            </w:r>
          </w:p>
        </w:tc>
      </w:tr>
      <w:tr w:rsidR="0008467F" w:rsidRPr="00A8706C" w14:paraId="431F00DB" w14:textId="77777777" w:rsidTr="00B84D02">
        <w:tc>
          <w:tcPr>
            <w:tcW w:w="1639" w:type="dxa"/>
          </w:tcPr>
          <w:p w14:paraId="244EF593" w14:textId="77777777" w:rsidR="0008467F" w:rsidRPr="00A8706C" w:rsidRDefault="0008467F" w:rsidP="00B205BA">
            <w:pPr>
              <w:spacing w:after="120" w:line="240" w:lineRule="auto"/>
              <w:jc w:val="center"/>
              <w:rPr>
                <w:rFonts w:eastAsia="Times New Roman" w:cs="Arial"/>
                <w:lang w:eastAsia="es-ES_tradnl"/>
              </w:rPr>
            </w:pPr>
            <w:r w:rsidRPr="00A8706C">
              <w:rPr>
                <w:rFonts w:eastAsia="Times New Roman" w:cs="Arial"/>
                <w:lang w:eastAsia="es-ES_tradnl"/>
              </w:rPr>
              <w:t>3. Hermosillo Activo y Competitivo</w:t>
            </w:r>
          </w:p>
        </w:tc>
        <w:tc>
          <w:tcPr>
            <w:tcW w:w="1615" w:type="dxa"/>
          </w:tcPr>
          <w:p w14:paraId="042FC865" w14:textId="47E1F585" w:rsidR="0008467F" w:rsidRPr="00A8706C" w:rsidRDefault="0008467F" w:rsidP="00B205BA">
            <w:pPr>
              <w:spacing w:after="120" w:line="240" w:lineRule="auto"/>
              <w:jc w:val="center"/>
              <w:rPr>
                <w:rFonts w:eastAsia="Times New Roman" w:cs="Arial"/>
                <w:lang w:eastAsia="es-ES_tradnl"/>
              </w:rPr>
            </w:pPr>
            <w:r w:rsidRPr="00C27AEA">
              <w:t>9</w:t>
            </w:r>
          </w:p>
        </w:tc>
        <w:tc>
          <w:tcPr>
            <w:tcW w:w="1684" w:type="dxa"/>
          </w:tcPr>
          <w:p w14:paraId="382782D0" w14:textId="6182AEDD" w:rsidR="0008467F" w:rsidRPr="00A8706C" w:rsidRDefault="0008467F" w:rsidP="00B205BA">
            <w:pPr>
              <w:spacing w:after="120" w:line="240" w:lineRule="auto"/>
              <w:jc w:val="center"/>
              <w:rPr>
                <w:rFonts w:eastAsia="Times New Roman" w:cs="Arial"/>
                <w:lang w:eastAsia="es-ES_tradnl"/>
              </w:rPr>
            </w:pPr>
            <w:r w:rsidRPr="00C27AEA">
              <w:t>16</w:t>
            </w:r>
          </w:p>
        </w:tc>
        <w:tc>
          <w:tcPr>
            <w:tcW w:w="2275" w:type="dxa"/>
          </w:tcPr>
          <w:p w14:paraId="5ED24146" w14:textId="2DCFC352" w:rsidR="0008467F" w:rsidRPr="00A8706C" w:rsidRDefault="0008467F" w:rsidP="00B205BA">
            <w:pPr>
              <w:spacing w:after="120" w:line="240" w:lineRule="auto"/>
              <w:jc w:val="center"/>
              <w:rPr>
                <w:rFonts w:eastAsia="Times New Roman" w:cs="Arial"/>
                <w:lang w:eastAsia="es-ES_tradnl"/>
              </w:rPr>
            </w:pPr>
            <w:r w:rsidRPr="00C27AEA">
              <w:t>76</w:t>
            </w:r>
          </w:p>
        </w:tc>
      </w:tr>
      <w:tr w:rsidR="0008467F" w:rsidRPr="00A8706C" w14:paraId="4B68AD2A" w14:textId="77777777" w:rsidTr="00B84D02">
        <w:tc>
          <w:tcPr>
            <w:tcW w:w="1639" w:type="dxa"/>
          </w:tcPr>
          <w:p w14:paraId="1770B704" w14:textId="77777777" w:rsidR="0008467F" w:rsidRPr="00A8706C" w:rsidRDefault="0008467F" w:rsidP="00B205BA">
            <w:pPr>
              <w:spacing w:after="120" w:line="240" w:lineRule="auto"/>
              <w:jc w:val="center"/>
              <w:rPr>
                <w:rFonts w:eastAsia="Times New Roman" w:cs="Arial"/>
                <w:lang w:eastAsia="es-ES_tradnl"/>
              </w:rPr>
            </w:pPr>
            <w:r w:rsidRPr="00A8706C">
              <w:rPr>
                <w:rFonts w:eastAsia="Times New Roman" w:cs="Arial"/>
                <w:lang w:eastAsia="es-ES_tradnl"/>
              </w:rPr>
              <w:t>4. Hermosillo Vivo e Incluyente</w:t>
            </w:r>
          </w:p>
        </w:tc>
        <w:tc>
          <w:tcPr>
            <w:tcW w:w="1615" w:type="dxa"/>
          </w:tcPr>
          <w:p w14:paraId="5A29C5AE" w14:textId="01993D54" w:rsidR="0008467F" w:rsidRPr="00A8706C" w:rsidRDefault="0008467F" w:rsidP="00B205BA">
            <w:pPr>
              <w:spacing w:after="120" w:line="240" w:lineRule="auto"/>
              <w:jc w:val="center"/>
              <w:rPr>
                <w:rFonts w:eastAsia="Times New Roman" w:cs="Arial"/>
                <w:lang w:eastAsia="es-ES_tradnl"/>
              </w:rPr>
            </w:pPr>
            <w:r w:rsidRPr="00C27AEA">
              <w:t>10</w:t>
            </w:r>
          </w:p>
        </w:tc>
        <w:tc>
          <w:tcPr>
            <w:tcW w:w="1684" w:type="dxa"/>
          </w:tcPr>
          <w:p w14:paraId="0F918B04" w14:textId="17846F20" w:rsidR="0008467F" w:rsidRPr="00A8706C" w:rsidRDefault="0008467F" w:rsidP="00B205BA">
            <w:pPr>
              <w:spacing w:after="120" w:line="240" w:lineRule="auto"/>
              <w:jc w:val="center"/>
              <w:rPr>
                <w:rFonts w:eastAsia="Times New Roman" w:cs="Arial"/>
                <w:lang w:eastAsia="es-ES_tradnl"/>
              </w:rPr>
            </w:pPr>
            <w:r w:rsidRPr="00C27AEA">
              <w:t>23</w:t>
            </w:r>
          </w:p>
        </w:tc>
        <w:tc>
          <w:tcPr>
            <w:tcW w:w="2275" w:type="dxa"/>
          </w:tcPr>
          <w:p w14:paraId="5D8ED405" w14:textId="1A1F5F7F" w:rsidR="0008467F" w:rsidRPr="00A8706C" w:rsidRDefault="0008467F" w:rsidP="00B205BA">
            <w:pPr>
              <w:spacing w:after="120" w:line="240" w:lineRule="auto"/>
              <w:jc w:val="center"/>
              <w:rPr>
                <w:rFonts w:eastAsia="Times New Roman" w:cs="Arial"/>
                <w:lang w:eastAsia="es-ES_tradnl"/>
              </w:rPr>
            </w:pPr>
            <w:r w:rsidRPr="00C27AEA">
              <w:t>110</w:t>
            </w:r>
          </w:p>
        </w:tc>
      </w:tr>
      <w:tr w:rsidR="0008467F" w:rsidRPr="00A8706C" w14:paraId="5BDD632B" w14:textId="77777777" w:rsidTr="00B84D02">
        <w:tc>
          <w:tcPr>
            <w:tcW w:w="1639" w:type="dxa"/>
          </w:tcPr>
          <w:p w14:paraId="09C80CF0" w14:textId="77777777" w:rsidR="0008467F" w:rsidRPr="00A8706C" w:rsidRDefault="0008467F" w:rsidP="00B205BA">
            <w:pPr>
              <w:spacing w:after="120" w:line="240" w:lineRule="auto"/>
              <w:jc w:val="center"/>
              <w:rPr>
                <w:rFonts w:eastAsia="Times New Roman" w:cs="Arial"/>
                <w:lang w:eastAsia="es-ES_tradnl"/>
              </w:rPr>
            </w:pPr>
            <w:r w:rsidRPr="00A8706C">
              <w:rPr>
                <w:rFonts w:eastAsia="Times New Roman" w:cs="Arial"/>
                <w:lang w:eastAsia="es-ES_tradnl"/>
              </w:rPr>
              <w:t>5. Hermosillo Ciudadano y Transparente</w:t>
            </w:r>
          </w:p>
        </w:tc>
        <w:tc>
          <w:tcPr>
            <w:tcW w:w="1615" w:type="dxa"/>
          </w:tcPr>
          <w:p w14:paraId="5AA4FD25" w14:textId="38881AD4" w:rsidR="0008467F" w:rsidRPr="00A8706C" w:rsidRDefault="0008467F" w:rsidP="00B205BA">
            <w:pPr>
              <w:spacing w:after="120" w:line="240" w:lineRule="auto"/>
              <w:jc w:val="center"/>
              <w:rPr>
                <w:rFonts w:eastAsia="Times New Roman" w:cs="Arial"/>
                <w:lang w:eastAsia="es-ES_tradnl"/>
              </w:rPr>
            </w:pPr>
            <w:r w:rsidRPr="00C27AEA">
              <w:t>15</w:t>
            </w:r>
          </w:p>
        </w:tc>
        <w:tc>
          <w:tcPr>
            <w:tcW w:w="1684" w:type="dxa"/>
          </w:tcPr>
          <w:p w14:paraId="069069DC" w14:textId="5C8C82C0" w:rsidR="0008467F" w:rsidRPr="00A8706C" w:rsidRDefault="0008467F" w:rsidP="00B205BA">
            <w:pPr>
              <w:spacing w:after="120" w:line="240" w:lineRule="auto"/>
              <w:jc w:val="center"/>
              <w:rPr>
                <w:rFonts w:eastAsia="Times New Roman" w:cs="Arial"/>
                <w:lang w:eastAsia="es-ES_tradnl"/>
              </w:rPr>
            </w:pPr>
            <w:r w:rsidRPr="00C27AEA">
              <w:t>35</w:t>
            </w:r>
          </w:p>
        </w:tc>
        <w:tc>
          <w:tcPr>
            <w:tcW w:w="2275" w:type="dxa"/>
          </w:tcPr>
          <w:p w14:paraId="6D39C23C" w14:textId="0A760F8D" w:rsidR="0008467F" w:rsidRPr="00A8706C" w:rsidRDefault="0008467F" w:rsidP="00B205BA">
            <w:pPr>
              <w:spacing w:after="120" w:line="240" w:lineRule="auto"/>
              <w:jc w:val="center"/>
              <w:rPr>
                <w:rFonts w:eastAsia="Times New Roman" w:cs="Arial"/>
                <w:lang w:eastAsia="es-ES_tradnl"/>
              </w:rPr>
            </w:pPr>
            <w:r w:rsidRPr="00C27AEA">
              <w:t>138</w:t>
            </w:r>
          </w:p>
        </w:tc>
      </w:tr>
      <w:tr w:rsidR="0008467F" w:rsidRPr="00A8706C" w14:paraId="05183C63" w14:textId="77777777" w:rsidTr="004A023F">
        <w:tc>
          <w:tcPr>
            <w:tcW w:w="1639" w:type="dxa"/>
          </w:tcPr>
          <w:p w14:paraId="57324DB3" w14:textId="77777777" w:rsidR="0008467F" w:rsidRPr="00A8706C" w:rsidRDefault="0008467F" w:rsidP="00B205BA">
            <w:pPr>
              <w:spacing w:after="120" w:line="240" w:lineRule="auto"/>
              <w:jc w:val="right"/>
              <w:rPr>
                <w:rFonts w:eastAsia="Times New Roman" w:cs="Arial"/>
                <w:b/>
                <w:bCs/>
                <w:highlight w:val="yellow"/>
                <w:lang w:eastAsia="es-ES_tradnl"/>
              </w:rPr>
            </w:pPr>
            <w:r w:rsidRPr="0008467F">
              <w:rPr>
                <w:rFonts w:eastAsia="Times New Roman" w:cs="Arial"/>
                <w:b/>
                <w:bCs/>
                <w:lang w:eastAsia="es-ES_tradnl"/>
              </w:rPr>
              <w:t>Total</w:t>
            </w:r>
          </w:p>
        </w:tc>
        <w:tc>
          <w:tcPr>
            <w:tcW w:w="1615" w:type="dxa"/>
            <w:vAlign w:val="center"/>
          </w:tcPr>
          <w:p w14:paraId="3FDBA724" w14:textId="79239DAF" w:rsidR="0008467F" w:rsidRPr="00A8706C" w:rsidRDefault="0008467F" w:rsidP="00B205BA">
            <w:pPr>
              <w:spacing w:after="120" w:line="240" w:lineRule="auto"/>
              <w:jc w:val="center"/>
              <w:rPr>
                <w:rFonts w:eastAsia="Times New Roman" w:cs="Arial"/>
                <w:b/>
                <w:bCs/>
                <w:highlight w:val="yellow"/>
                <w:lang w:eastAsia="es-ES_tradnl"/>
              </w:rPr>
            </w:pPr>
            <w:r>
              <w:rPr>
                <w:rFonts w:ascii="Calibri" w:hAnsi="Calibri" w:cs="Calibri"/>
                <w:color w:val="000000"/>
              </w:rPr>
              <w:t>59</w:t>
            </w:r>
          </w:p>
        </w:tc>
        <w:tc>
          <w:tcPr>
            <w:tcW w:w="1684" w:type="dxa"/>
            <w:vAlign w:val="center"/>
          </w:tcPr>
          <w:p w14:paraId="68A7E51F" w14:textId="52196825" w:rsidR="0008467F" w:rsidRPr="00A8706C" w:rsidRDefault="0008467F" w:rsidP="00B205BA">
            <w:pPr>
              <w:spacing w:after="120" w:line="240" w:lineRule="auto"/>
              <w:jc w:val="center"/>
              <w:rPr>
                <w:rFonts w:eastAsia="Times New Roman" w:cs="Arial"/>
                <w:b/>
                <w:bCs/>
                <w:highlight w:val="yellow"/>
                <w:lang w:eastAsia="es-ES_tradnl"/>
              </w:rPr>
            </w:pPr>
            <w:r>
              <w:rPr>
                <w:rFonts w:ascii="Calibri" w:hAnsi="Calibri" w:cs="Calibri"/>
                <w:color w:val="000000"/>
              </w:rPr>
              <w:t>132</w:t>
            </w:r>
          </w:p>
        </w:tc>
        <w:tc>
          <w:tcPr>
            <w:tcW w:w="2275" w:type="dxa"/>
            <w:vAlign w:val="center"/>
          </w:tcPr>
          <w:p w14:paraId="0C0DB653" w14:textId="7D03035E" w:rsidR="0008467F" w:rsidRPr="00A8706C" w:rsidRDefault="0008467F" w:rsidP="00B205BA">
            <w:pPr>
              <w:spacing w:after="120" w:line="240" w:lineRule="auto"/>
              <w:jc w:val="center"/>
              <w:rPr>
                <w:rFonts w:eastAsia="Times New Roman" w:cs="Arial"/>
                <w:b/>
                <w:bCs/>
                <w:lang w:eastAsia="es-ES_tradnl"/>
              </w:rPr>
            </w:pPr>
            <w:r>
              <w:rPr>
                <w:rFonts w:ascii="Calibri" w:hAnsi="Calibri" w:cs="Calibri"/>
                <w:color w:val="000000"/>
              </w:rPr>
              <w:t>563</w:t>
            </w:r>
          </w:p>
        </w:tc>
      </w:tr>
    </w:tbl>
    <w:p w14:paraId="0DD15837" w14:textId="77777777" w:rsidR="0008467F" w:rsidRPr="00A8706C" w:rsidRDefault="0008467F" w:rsidP="00B205BA">
      <w:pPr>
        <w:spacing w:after="120" w:line="240" w:lineRule="auto"/>
        <w:rPr>
          <w:rFonts w:eastAsia="Times New Roman" w:cs="Arial"/>
          <w:lang w:eastAsia="es-ES_tradnl"/>
        </w:rPr>
      </w:pPr>
    </w:p>
    <w:p w14:paraId="253A9C5F" w14:textId="6E65C657" w:rsidR="00D43392" w:rsidRDefault="00D43392" w:rsidP="00B205BA">
      <w:pPr>
        <w:spacing w:after="120" w:line="240" w:lineRule="auto"/>
        <w:rPr>
          <w:rFonts w:cs="Arial"/>
          <w:sz w:val="24"/>
          <w:szCs w:val="24"/>
        </w:rPr>
      </w:pPr>
    </w:p>
    <w:p w14:paraId="5176F8DB" w14:textId="5C35D022" w:rsidR="008511B6" w:rsidRDefault="008511B6" w:rsidP="00B205BA">
      <w:pPr>
        <w:spacing w:after="120" w:line="240" w:lineRule="auto"/>
        <w:rPr>
          <w:rFonts w:cs="Arial"/>
          <w:sz w:val="24"/>
          <w:szCs w:val="24"/>
        </w:rPr>
      </w:pPr>
    </w:p>
    <w:p w14:paraId="177E9BBE" w14:textId="6F29975F" w:rsidR="008511B6" w:rsidRDefault="008511B6" w:rsidP="00B205BA">
      <w:pPr>
        <w:spacing w:after="120" w:line="240" w:lineRule="auto"/>
        <w:rPr>
          <w:rFonts w:cs="Arial"/>
          <w:sz w:val="24"/>
          <w:szCs w:val="24"/>
        </w:rPr>
      </w:pPr>
    </w:p>
    <w:p w14:paraId="29A0FF10" w14:textId="2065E3DA" w:rsidR="008511B6" w:rsidRDefault="008511B6" w:rsidP="00B205BA">
      <w:pPr>
        <w:spacing w:after="120" w:line="240" w:lineRule="auto"/>
        <w:rPr>
          <w:rFonts w:cs="Arial"/>
          <w:sz w:val="24"/>
          <w:szCs w:val="24"/>
        </w:rPr>
      </w:pPr>
    </w:p>
    <w:p w14:paraId="7FE2F044" w14:textId="40286B3F" w:rsidR="008511B6" w:rsidRDefault="008511B6" w:rsidP="00B205BA">
      <w:pPr>
        <w:spacing w:after="120" w:line="240" w:lineRule="auto"/>
        <w:rPr>
          <w:rFonts w:cs="Arial"/>
          <w:sz w:val="24"/>
          <w:szCs w:val="24"/>
        </w:rPr>
      </w:pPr>
    </w:p>
    <w:p w14:paraId="69A7242E" w14:textId="4C23DFD0" w:rsidR="008511B6" w:rsidRDefault="008511B6" w:rsidP="00B205BA">
      <w:pPr>
        <w:spacing w:after="120" w:line="240" w:lineRule="auto"/>
        <w:rPr>
          <w:rFonts w:cs="Arial"/>
          <w:sz w:val="24"/>
          <w:szCs w:val="24"/>
        </w:rPr>
      </w:pPr>
    </w:p>
    <w:p w14:paraId="174E0602" w14:textId="27492D3B" w:rsidR="008511B6" w:rsidRDefault="008511B6" w:rsidP="00B205BA">
      <w:pPr>
        <w:spacing w:after="120" w:line="240" w:lineRule="auto"/>
        <w:rPr>
          <w:rFonts w:cs="Arial"/>
          <w:sz w:val="24"/>
          <w:szCs w:val="24"/>
        </w:rPr>
      </w:pPr>
    </w:p>
    <w:p w14:paraId="3D58F43F" w14:textId="7E870C44" w:rsidR="008511B6" w:rsidRDefault="008511B6" w:rsidP="00B205BA">
      <w:pPr>
        <w:spacing w:after="120" w:line="240" w:lineRule="auto"/>
        <w:rPr>
          <w:rFonts w:cs="Arial"/>
          <w:sz w:val="24"/>
          <w:szCs w:val="24"/>
        </w:rPr>
      </w:pPr>
    </w:p>
    <w:p w14:paraId="1DEE7648" w14:textId="603C5915" w:rsidR="008511B6" w:rsidRDefault="008511B6" w:rsidP="00B205BA">
      <w:pPr>
        <w:spacing w:after="120" w:line="240" w:lineRule="auto"/>
        <w:rPr>
          <w:rFonts w:cs="Arial"/>
          <w:sz w:val="24"/>
          <w:szCs w:val="24"/>
        </w:rPr>
      </w:pPr>
    </w:p>
    <w:p w14:paraId="06326BED" w14:textId="576308C9" w:rsidR="008511B6" w:rsidRDefault="008511B6" w:rsidP="00B205BA">
      <w:pPr>
        <w:spacing w:after="120" w:line="240" w:lineRule="auto"/>
        <w:rPr>
          <w:rFonts w:cs="Arial"/>
          <w:sz w:val="24"/>
          <w:szCs w:val="24"/>
        </w:rPr>
      </w:pPr>
    </w:p>
    <w:p w14:paraId="0D54EEE0" w14:textId="0E5CB16A" w:rsidR="008511B6" w:rsidRDefault="008511B6" w:rsidP="00B205BA">
      <w:pPr>
        <w:spacing w:after="120" w:line="240" w:lineRule="auto"/>
        <w:rPr>
          <w:rFonts w:cs="Arial"/>
          <w:sz w:val="24"/>
          <w:szCs w:val="24"/>
        </w:rPr>
      </w:pPr>
    </w:p>
    <w:p w14:paraId="150EDF2A" w14:textId="769415D0" w:rsidR="008511B6" w:rsidRDefault="008511B6" w:rsidP="00B205BA">
      <w:pPr>
        <w:spacing w:after="120" w:line="240" w:lineRule="auto"/>
        <w:rPr>
          <w:rFonts w:cs="Arial"/>
          <w:sz w:val="24"/>
          <w:szCs w:val="24"/>
        </w:rPr>
      </w:pPr>
    </w:p>
    <w:p w14:paraId="2A15B850" w14:textId="1E4C9055" w:rsidR="008511B6" w:rsidRDefault="008511B6" w:rsidP="00B205BA">
      <w:pPr>
        <w:spacing w:after="120" w:line="240" w:lineRule="auto"/>
        <w:rPr>
          <w:rFonts w:cs="Arial"/>
          <w:sz w:val="24"/>
          <w:szCs w:val="24"/>
        </w:rPr>
      </w:pPr>
    </w:p>
    <w:p w14:paraId="7795D3CA" w14:textId="49EADBA7" w:rsidR="005E3EFC" w:rsidRDefault="005E3EFC" w:rsidP="00B205BA">
      <w:pPr>
        <w:spacing w:after="120" w:line="240" w:lineRule="auto"/>
        <w:rPr>
          <w:rFonts w:cs="Arial"/>
          <w:sz w:val="24"/>
          <w:szCs w:val="24"/>
        </w:rPr>
      </w:pPr>
    </w:p>
    <w:p w14:paraId="5C579BDA" w14:textId="7C90EFF9" w:rsidR="00856AF2" w:rsidRPr="00626AB9" w:rsidRDefault="00583B06" w:rsidP="00626AB9">
      <w:pPr>
        <w:pStyle w:val="Ttulo1"/>
      </w:pPr>
      <w:bookmarkStart w:id="25" w:name="_Toc187396125"/>
      <w:r w:rsidRPr="00626AB9">
        <w:lastRenderedPageBreak/>
        <w:t xml:space="preserve">PROGRAMAS </w:t>
      </w:r>
      <w:r w:rsidR="00C028AC" w:rsidRPr="00626AB9">
        <w:t xml:space="preserve">PRESUPUESTARIOS </w:t>
      </w:r>
      <w:r w:rsidRPr="00626AB9">
        <w:t>DERIVADOS DEL PL</w:t>
      </w:r>
      <w:r w:rsidR="001F6751" w:rsidRPr="00626AB9">
        <w:t xml:space="preserve">AN </w:t>
      </w:r>
      <w:r w:rsidRPr="00626AB9">
        <w:t>MUNICIPAL</w:t>
      </w:r>
      <w:r w:rsidR="001F6751" w:rsidRPr="00626AB9">
        <w:t xml:space="preserve"> DE DESARROLLO</w:t>
      </w:r>
      <w:r w:rsidRPr="00626AB9">
        <w:t xml:space="preserve"> DE HERMOSILLO 202</w:t>
      </w:r>
      <w:r w:rsidR="006B5CD3" w:rsidRPr="00626AB9">
        <w:t>5</w:t>
      </w:r>
      <w:r w:rsidRPr="00626AB9">
        <w:t>-202</w:t>
      </w:r>
      <w:r w:rsidR="006B5CD3" w:rsidRPr="00626AB9">
        <w:t>7</w:t>
      </w:r>
      <w:bookmarkEnd w:id="25"/>
    </w:p>
    <w:tbl>
      <w:tblPr>
        <w:tblW w:w="0" w:type="auto"/>
        <w:tblCellMar>
          <w:left w:w="70" w:type="dxa"/>
          <w:right w:w="70" w:type="dxa"/>
        </w:tblCellMar>
        <w:tblLook w:val="04A0" w:firstRow="1" w:lastRow="0" w:firstColumn="1" w:lastColumn="0" w:noHBand="0" w:noVBand="1"/>
      </w:tblPr>
      <w:tblGrid>
        <w:gridCol w:w="886"/>
        <w:gridCol w:w="2093"/>
        <w:gridCol w:w="886"/>
        <w:gridCol w:w="2887"/>
        <w:gridCol w:w="2076"/>
      </w:tblGrid>
      <w:tr w:rsidR="00C47BF8" w:rsidRPr="00C47BF8" w14:paraId="53692C4C" w14:textId="77777777" w:rsidTr="00C47BF8">
        <w:trPr>
          <w:trHeight w:val="705"/>
          <w:tblHeader/>
        </w:trPr>
        <w:tc>
          <w:tcPr>
            <w:tcW w:w="0" w:type="auto"/>
            <w:gridSpan w:val="2"/>
            <w:tcBorders>
              <w:top w:val="single" w:sz="4" w:space="0" w:color="auto"/>
              <w:left w:val="single" w:sz="4" w:space="0" w:color="auto"/>
              <w:bottom w:val="single" w:sz="4" w:space="0" w:color="auto"/>
              <w:right w:val="single" w:sz="4" w:space="0" w:color="auto"/>
            </w:tcBorders>
            <w:shd w:val="clear" w:color="000000" w:fill="EC7C30"/>
            <w:vAlign w:val="center"/>
            <w:hideMark/>
          </w:tcPr>
          <w:p w14:paraId="44A58DC2" w14:textId="77777777" w:rsidR="00C47BF8" w:rsidRPr="00C47BF8" w:rsidRDefault="00C47BF8" w:rsidP="00C47BF8">
            <w:pPr>
              <w:spacing w:after="0" w:line="240" w:lineRule="auto"/>
              <w:ind w:firstLineChars="300" w:firstLine="663"/>
              <w:jc w:val="left"/>
              <w:rPr>
                <w:rFonts w:eastAsia="Times New Roman" w:cs="Arial"/>
                <w:b/>
                <w:bCs/>
                <w:color w:val="FFFFFF"/>
                <w:lang w:val="es-MX" w:eastAsia="es-MX" w:bidi="ar-SA"/>
              </w:rPr>
            </w:pPr>
            <w:bookmarkStart w:id="26" w:name="RANGE!B1"/>
            <w:r w:rsidRPr="00C47BF8">
              <w:rPr>
                <w:rFonts w:eastAsia="Times New Roman" w:cs="Arial"/>
                <w:b/>
                <w:bCs/>
                <w:color w:val="FFFFFF"/>
                <w:lang w:val="es-MX" w:eastAsia="es-MX" w:bidi="ar-SA"/>
              </w:rPr>
              <w:t>PROGRAMA PRESUPUESTARIO</w:t>
            </w:r>
            <w:bookmarkEnd w:id="26"/>
          </w:p>
        </w:tc>
        <w:tc>
          <w:tcPr>
            <w:tcW w:w="0" w:type="auto"/>
            <w:gridSpan w:val="2"/>
            <w:tcBorders>
              <w:top w:val="single" w:sz="4" w:space="0" w:color="auto"/>
              <w:left w:val="nil"/>
              <w:bottom w:val="single" w:sz="4" w:space="0" w:color="auto"/>
              <w:right w:val="single" w:sz="4" w:space="0" w:color="auto"/>
            </w:tcBorders>
            <w:shd w:val="clear" w:color="000000" w:fill="EC7C30"/>
            <w:vAlign w:val="center"/>
            <w:hideMark/>
          </w:tcPr>
          <w:p w14:paraId="1E3C22B2" w14:textId="77777777" w:rsidR="00C47BF8" w:rsidRPr="00C47BF8" w:rsidRDefault="00C47BF8" w:rsidP="00C47BF8">
            <w:pPr>
              <w:spacing w:after="0" w:line="240" w:lineRule="auto"/>
              <w:ind w:firstLineChars="700" w:firstLine="1546"/>
              <w:jc w:val="left"/>
              <w:rPr>
                <w:rFonts w:eastAsia="Times New Roman" w:cs="Arial"/>
                <w:b/>
                <w:bCs/>
                <w:color w:val="FFFFFF"/>
                <w:lang w:val="es-MX" w:eastAsia="es-MX" w:bidi="ar-SA"/>
              </w:rPr>
            </w:pPr>
            <w:r w:rsidRPr="00C47BF8">
              <w:rPr>
                <w:rFonts w:eastAsia="Times New Roman" w:cs="Arial"/>
                <w:b/>
                <w:bCs/>
                <w:color w:val="FFFFFF"/>
                <w:lang w:val="es-MX" w:eastAsia="es-MX" w:bidi="ar-SA"/>
              </w:rPr>
              <w:t>SUBPROGRAMA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C7C30"/>
            <w:vAlign w:val="center"/>
            <w:hideMark/>
          </w:tcPr>
          <w:p w14:paraId="040BCAA1" w14:textId="77777777" w:rsidR="00C47BF8" w:rsidRPr="00C47BF8" w:rsidRDefault="00C47BF8" w:rsidP="00C47BF8">
            <w:pPr>
              <w:spacing w:after="0" w:line="240" w:lineRule="auto"/>
              <w:jc w:val="center"/>
              <w:rPr>
                <w:rFonts w:eastAsia="Times New Roman" w:cs="Arial"/>
                <w:b/>
                <w:bCs/>
                <w:color w:val="FFFFFF"/>
                <w:lang w:val="es-MX" w:eastAsia="es-MX" w:bidi="ar-SA"/>
              </w:rPr>
            </w:pPr>
            <w:r w:rsidRPr="00C47BF8">
              <w:rPr>
                <w:rFonts w:eastAsia="Times New Roman" w:cs="Arial"/>
                <w:b/>
                <w:bCs/>
                <w:color w:val="FFFFFF"/>
                <w:lang w:val="es-MX" w:eastAsia="es-MX" w:bidi="ar-SA"/>
              </w:rPr>
              <w:t>DEPENDENCIA O ENTIDAD RESPONSABLE</w:t>
            </w:r>
          </w:p>
        </w:tc>
      </w:tr>
      <w:tr w:rsidR="00C47BF8" w:rsidRPr="00C47BF8" w14:paraId="24D02972" w14:textId="77777777" w:rsidTr="00C47BF8">
        <w:trPr>
          <w:trHeight w:val="300"/>
          <w:tblHeader/>
        </w:trPr>
        <w:tc>
          <w:tcPr>
            <w:tcW w:w="0" w:type="auto"/>
            <w:tcBorders>
              <w:top w:val="nil"/>
              <w:left w:val="single" w:sz="4" w:space="0" w:color="auto"/>
              <w:bottom w:val="single" w:sz="4" w:space="0" w:color="auto"/>
              <w:right w:val="single" w:sz="4" w:space="0" w:color="auto"/>
            </w:tcBorders>
            <w:shd w:val="clear" w:color="000000" w:fill="EC7C30"/>
            <w:vAlign w:val="center"/>
            <w:hideMark/>
          </w:tcPr>
          <w:p w14:paraId="04D54717" w14:textId="77777777" w:rsidR="00C47BF8" w:rsidRPr="00C47BF8" w:rsidRDefault="00C47BF8" w:rsidP="00C47BF8">
            <w:pPr>
              <w:spacing w:after="0" w:line="240" w:lineRule="auto"/>
              <w:jc w:val="left"/>
              <w:rPr>
                <w:rFonts w:eastAsia="Times New Roman" w:cs="Arial"/>
                <w:b/>
                <w:bCs/>
                <w:color w:val="FFFFFF"/>
                <w:lang w:val="es-MX" w:eastAsia="es-MX" w:bidi="ar-SA"/>
              </w:rPr>
            </w:pPr>
            <w:r w:rsidRPr="00C47BF8">
              <w:rPr>
                <w:rFonts w:eastAsia="Times New Roman" w:cs="Arial"/>
                <w:b/>
                <w:bCs/>
                <w:color w:val="FFFFFF"/>
                <w:lang w:val="es-MX" w:eastAsia="es-MX" w:bidi="ar-SA"/>
              </w:rPr>
              <w:t>CLAVE</w:t>
            </w:r>
          </w:p>
        </w:tc>
        <w:tc>
          <w:tcPr>
            <w:tcW w:w="0" w:type="auto"/>
            <w:tcBorders>
              <w:top w:val="nil"/>
              <w:left w:val="nil"/>
              <w:bottom w:val="single" w:sz="4" w:space="0" w:color="auto"/>
              <w:right w:val="single" w:sz="4" w:space="0" w:color="auto"/>
            </w:tcBorders>
            <w:shd w:val="clear" w:color="000000" w:fill="EC7C30"/>
            <w:vAlign w:val="center"/>
            <w:hideMark/>
          </w:tcPr>
          <w:p w14:paraId="0514EAEA" w14:textId="77777777" w:rsidR="00C47BF8" w:rsidRPr="00C47BF8" w:rsidRDefault="00C47BF8" w:rsidP="00C47BF8">
            <w:pPr>
              <w:spacing w:after="0" w:line="240" w:lineRule="auto"/>
              <w:jc w:val="center"/>
              <w:rPr>
                <w:rFonts w:eastAsia="Times New Roman" w:cs="Arial"/>
                <w:b/>
                <w:bCs/>
                <w:color w:val="FFFFFF"/>
                <w:lang w:val="es-MX" w:eastAsia="es-MX" w:bidi="ar-SA"/>
              </w:rPr>
            </w:pPr>
            <w:r w:rsidRPr="00C47BF8">
              <w:rPr>
                <w:rFonts w:eastAsia="Times New Roman" w:cs="Arial"/>
                <w:b/>
                <w:bCs/>
                <w:color w:val="FFFFFF"/>
                <w:lang w:val="es-MX" w:eastAsia="es-MX" w:bidi="ar-SA"/>
              </w:rPr>
              <w:t>NOMBRE</w:t>
            </w:r>
          </w:p>
        </w:tc>
        <w:tc>
          <w:tcPr>
            <w:tcW w:w="0" w:type="auto"/>
            <w:tcBorders>
              <w:top w:val="nil"/>
              <w:left w:val="nil"/>
              <w:bottom w:val="single" w:sz="4" w:space="0" w:color="auto"/>
              <w:right w:val="single" w:sz="4" w:space="0" w:color="auto"/>
            </w:tcBorders>
            <w:shd w:val="clear" w:color="000000" w:fill="EC7C30"/>
            <w:vAlign w:val="center"/>
            <w:hideMark/>
          </w:tcPr>
          <w:p w14:paraId="0E84D745" w14:textId="77777777" w:rsidR="00C47BF8" w:rsidRPr="00C47BF8" w:rsidRDefault="00C47BF8" w:rsidP="00C47BF8">
            <w:pPr>
              <w:spacing w:after="0" w:line="240" w:lineRule="auto"/>
              <w:jc w:val="center"/>
              <w:rPr>
                <w:rFonts w:eastAsia="Times New Roman" w:cs="Arial"/>
                <w:b/>
                <w:bCs/>
                <w:color w:val="FFFFFF"/>
                <w:lang w:val="es-MX" w:eastAsia="es-MX" w:bidi="ar-SA"/>
              </w:rPr>
            </w:pPr>
            <w:r w:rsidRPr="00C47BF8">
              <w:rPr>
                <w:rFonts w:eastAsia="Times New Roman" w:cs="Arial"/>
                <w:b/>
                <w:bCs/>
                <w:color w:val="FFFFFF"/>
                <w:lang w:val="es-MX" w:eastAsia="es-MX" w:bidi="ar-SA"/>
              </w:rPr>
              <w:t>CLAVE</w:t>
            </w:r>
          </w:p>
        </w:tc>
        <w:tc>
          <w:tcPr>
            <w:tcW w:w="0" w:type="auto"/>
            <w:tcBorders>
              <w:top w:val="nil"/>
              <w:left w:val="nil"/>
              <w:bottom w:val="single" w:sz="4" w:space="0" w:color="auto"/>
              <w:right w:val="single" w:sz="4" w:space="0" w:color="auto"/>
            </w:tcBorders>
            <w:shd w:val="clear" w:color="000000" w:fill="EC7C30"/>
            <w:vAlign w:val="center"/>
            <w:hideMark/>
          </w:tcPr>
          <w:p w14:paraId="194337C1" w14:textId="77777777" w:rsidR="00C47BF8" w:rsidRPr="00C47BF8" w:rsidRDefault="00C47BF8" w:rsidP="00C47BF8">
            <w:pPr>
              <w:spacing w:after="0" w:line="240" w:lineRule="auto"/>
              <w:jc w:val="center"/>
              <w:rPr>
                <w:rFonts w:eastAsia="Times New Roman" w:cs="Arial"/>
                <w:b/>
                <w:bCs/>
                <w:color w:val="FFFFFF"/>
                <w:lang w:val="es-MX" w:eastAsia="es-MX" w:bidi="ar-SA"/>
              </w:rPr>
            </w:pPr>
            <w:r w:rsidRPr="00C47BF8">
              <w:rPr>
                <w:rFonts w:eastAsia="Times New Roman" w:cs="Arial"/>
                <w:b/>
                <w:bCs/>
                <w:color w:val="FFFFFF"/>
                <w:lang w:val="es-MX" w:eastAsia="es-MX" w:bidi="ar-SA"/>
              </w:rPr>
              <w:t>NOMBRE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E97BE" w14:textId="77777777" w:rsidR="00C47BF8" w:rsidRPr="00C47BF8" w:rsidRDefault="00C47BF8" w:rsidP="00C47BF8">
            <w:pPr>
              <w:spacing w:after="0" w:line="240" w:lineRule="auto"/>
              <w:jc w:val="left"/>
              <w:rPr>
                <w:rFonts w:eastAsia="Times New Roman" w:cs="Arial"/>
                <w:b/>
                <w:bCs/>
                <w:color w:val="FFFFFF"/>
                <w:lang w:val="es-MX" w:eastAsia="es-MX" w:bidi="ar-SA"/>
              </w:rPr>
            </w:pPr>
          </w:p>
        </w:tc>
      </w:tr>
      <w:tr w:rsidR="00C47BF8" w:rsidRPr="00C47BF8" w14:paraId="7B73C9B6" w14:textId="77777777" w:rsidTr="00C47BF8">
        <w:trPr>
          <w:trHeight w:val="1305"/>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60D2B096"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1L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CD50D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Apoyo a Comunidades en Situación de Pobreza</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14:paraId="18A34CF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1L01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CC085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Comunidad Rural</w:t>
            </w:r>
          </w:p>
        </w:tc>
        <w:tc>
          <w:tcPr>
            <w:tcW w:w="0" w:type="auto"/>
            <w:tcBorders>
              <w:top w:val="nil"/>
              <w:left w:val="nil"/>
              <w:bottom w:val="single" w:sz="4" w:space="0" w:color="auto"/>
              <w:right w:val="single" w:sz="4" w:space="0" w:color="auto"/>
            </w:tcBorders>
            <w:shd w:val="clear" w:color="auto" w:fill="auto"/>
            <w:vAlign w:val="center"/>
            <w:hideMark/>
          </w:tcPr>
          <w:p w14:paraId="6D694B1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Secretaría del Ayuntamiento</w:t>
            </w:r>
          </w:p>
        </w:tc>
      </w:tr>
      <w:tr w:rsidR="00C47BF8" w:rsidRPr="00C47BF8" w14:paraId="5D184DC7"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240E4939"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531BDE28"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6F268530"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33D0686A"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auto" w:fill="auto"/>
            <w:vAlign w:val="center"/>
            <w:hideMark/>
          </w:tcPr>
          <w:p w14:paraId="5D428C9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Comisaría de Bahía de Kino</w:t>
            </w:r>
          </w:p>
        </w:tc>
      </w:tr>
      <w:tr w:rsidR="00C47BF8" w:rsidRPr="00C47BF8" w14:paraId="3578CD40"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086CABBB"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4C04CFA4"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val="restart"/>
            <w:tcBorders>
              <w:top w:val="nil"/>
              <w:left w:val="single" w:sz="4" w:space="0" w:color="auto"/>
              <w:bottom w:val="single" w:sz="4" w:space="0" w:color="auto"/>
              <w:right w:val="single" w:sz="4" w:space="0" w:color="auto"/>
            </w:tcBorders>
            <w:shd w:val="clear" w:color="000000" w:fill="F1F1F1"/>
            <w:vAlign w:val="center"/>
            <w:hideMark/>
          </w:tcPr>
          <w:p w14:paraId="6F9EB4F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1L02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90971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Combate a la Desigualdad</w:t>
            </w:r>
          </w:p>
        </w:tc>
        <w:tc>
          <w:tcPr>
            <w:tcW w:w="0" w:type="auto"/>
            <w:tcBorders>
              <w:top w:val="nil"/>
              <w:left w:val="nil"/>
              <w:bottom w:val="single" w:sz="4" w:space="0" w:color="auto"/>
              <w:right w:val="single" w:sz="4" w:space="0" w:color="auto"/>
            </w:tcBorders>
            <w:shd w:val="clear" w:color="auto" w:fill="auto"/>
            <w:vAlign w:val="center"/>
            <w:hideMark/>
          </w:tcPr>
          <w:p w14:paraId="6401D5E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Comisaría del Poblado Miguel Alemán</w:t>
            </w:r>
          </w:p>
        </w:tc>
      </w:tr>
      <w:tr w:rsidR="00C47BF8" w:rsidRPr="00C47BF8" w14:paraId="46EC0B2F"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7666D628"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6232A86D"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4C744D04"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24BB701E"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auto" w:fill="auto"/>
            <w:vAlign w:val="center"/>
            <w:hideMark/>
          </w:tcPr>
          <w:p w14:paraId="45C8E45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Comisaría de Bahía de Kino</w:t>
            </w:r>
          </w:p>
        </w:tc>
      </w:tr>
      <w:tr w:rsidR="00C47BF8" w:rsidRPr="00C47BF8" w14:paraId="40DDEF48"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6875EB67"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0ED4CCC0"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14BF9EAB"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1636D373"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auto" w:fill="auto"/>
            <w:vAlign w:val="center"/>
            <w:hideMark/>
          </w:tcPr>
          <w:p w14:paraId="505AA7A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Participación Ciudadana</w:t>
            </w:r>
          </w:p>
        </w:tc>
      </w:tr>
      <w:tr w:rsidR="00C47BF8" w:rsidRPr="00C47BF8" w14:paraId="757145E5" w14:textId="77777777" w:rsidTr="00C47BF8">
        <w:trPr>
          <w:trHeight w:val="810"/>
        </w:trPr>
        <w:tc>
          <w:tcPr>
            <w:tcW w:w="0" w:type="auto"/>
            <w:vMerge/>
            <w:tcBorders>
              <w:top w:val="nil"/>
              <w:left w:val="single" w:sz="4" w:space="0" w:color="auto"/>
              <w:bottom w:val="single" w:sz="4" w:space="0" w:color="auto"/>
              <w:right w:val="single" w:sz="4" w:space="0" w:color="auto"/>
            </w:tcBorders>
            <w:vAlign w:val="center"/>
            <w:hideMark/>
          </w:tcPr>
          <w:p w14:paraId="1D31798C"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0E10A1EA"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2F204E5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1L03</w:t>
            </w:r>
          </w:p>
        </w:tc>
        <w:tc>
          <w:tcPr>
            <w:tcW w:w="0" w:type="auto"/>
            <w:tcBorders>
              <w:top w:val="nil"/>
              <w:left w:val="nil"/>
              <w:bottom w:val="single" w:sz="4" w:space="0" w:color="auto"/>
              <w:right w:val="single" w:sz="4" w:space="0" w:color="auto"/>
            </w:tcBorders>
            <w:shd w:val="clear" w:color="auto" w:fill="auto"/>
            <w:vAlign w:val="center"/>
            <w:hideMark/>
          </w:tcPr>
          <w:p w14:paraId="056B6D7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Integración Social y Familiar</w:t>
            </w:r>
          </w:p>
        </w:tc>
        <w:tc>
          <w:tcPr>
            <w:tcW w:w="0" w:type="auto"/>
            <w:tcBorders>
              <w:top w:val="nil"/>
              <w:left w:val="nil"/>
              <w:bottom w:val="single" w:sz="4" w:space="0" w:color="auto"/>
              <w:right w:val="single" w:sz="4" w:space="0" w:color="auto"/>
            </w:tcBorders>
            <w:shd w:val="clear" w:color="auto" w:fill="auto"/>
            <w:vAlign w:val="center"/>
            <w:hideMark/>
          </w:tcPr>
          <w:p w14:paraId="0553A86E"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Comisaría del Poblado Miguel Alemán</w:t>
            </w:r>
          </w:p>
        </w:tc>
      </w:tr>
      <w:tr w:rsidR="00C47BF8" w:rsidRPr="00C47BF8" w14:paraId="7F623E5D"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15935C67"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514C98C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028E27C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1L04</w:t>
            </w:r>
          </w:p>
        </w:tc>
        <w:tc>
          <w:tcPr>
            <w:tcW w:w="0" w:type="auto"/>
            <w:tcBorders>
              <w:top w:val="nil"/>
              <w:left w:val="nil"/>
              <w:bottom w:val="single" w:sz="4" w:space="0" w:color="auto"/>
              <w:right w:val="single" w:sz="4" w:space="0" w:color="auto"/>
            </w:tcBorders>
            <w:shd w:val="clear" w:color="auto" w:fill="auto"/>
            <w:vAlign w:val="center"/>
            <w:hideMark/>
          </w:tcPr>
          <w:p w14:paraId="2299693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Combate a la Desigualdad</w:t>
            </w:r>
          </w:p>
        </w:tc>
        <w:tc>
          <w:tcPr>
            <w:tcW w:w="0" w:type="auto"/>
            <w:tcBorders>
              <w:top w:val="nil"/>
              <w:left w:val="nil"/>
              <w:bottom w:val="single" w:sz="4" w:space="0" w:color="auto"/>
              <w:right w:val="single" w:sz="4" w:space="0" w:color="auto"/>
            </w:tcBorders>
            <w:shd w:val="clear" w:color="auto" w:fill="auto"/>
            <w:vAlign w:val="center"/>
            <w:hideMark/>
          </w:tcPr>
          <w:p w14:paraId="726748D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Participación Ciudadana</w:t>
            </w:r>
          </w:p>
        </w:tc>
      </w:tr>
      <w:tr w:rsidR="00C47BF8" w:rsidRPr="00C47BF8" w14:paraId="56BB4760" w14:textId="77777777" w:rsidTr="00C47BF8">
        <w:trPr>
          <w:trHeight w:val="1215"/>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76FF631A"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2D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89DD3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Planeación, Instrumentación y Control de las Políticas para el Ordenamiento Territorial y el Desarrollo Urbano</w:t>
            </w:r>
          </w:p>
        </w:tc>
        <w:tc>
          <w:tcPr>
            <w:tcW w:w="0" w:type="auto"/>
            <w:tcBorders>
              <w:top w:val="nil"/>
              <w:left w:val="nil"/>
              <w:bottom w:val="single" w:sz="4" w:space="0" w:color="auto"/>
              <w:right w:val="single" w:sz="4" w:space="0" w:color="auto"/>
            </w:tcBorders>
            <w:shd w:val="clear" w:color="000000" w:fill="F1F1F1"/>
            <w:vAlign w:val="center"/>
            <w:hideMark/>
          </w:tcPr>
          <w:p w14:paraId="49F99D0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2D01</w:t>
            </w:r>
          </w:p>
        </w:tc>
        <w:tc>
          <w:tcPr>
            <w:tcW w:w="0" w:type="auto"/>
            <w:tcBorders>
              <w:top w:val="nil"/>
              <w:left w:val="nil"/>
              <w:bottom w:val="single" w:sz="4" w:space="0" w:color="auto"/>
              <w:right w:val="single" w:sz="4" w:space="0" w:color="auto"/>
            </w:tcBorders>
            <w:shd w:val="clear" w:color="auto" w:fill="auto"/>
            <w:vAlign w:val="center"/>
            <w:hideMark/>
          </w:tcPr>
          <w:p w14:paraId="0809883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Planeación Urbana</w:t>
            </w:r>
          </w:p>
        </w:tc>
        <w:tc>
          <w:tcPr>
            <w:tcW w:w="0" w:type="auto"/>
            <w:tcBorders>
              <w:top w:val="nil"/>
              <w:left w:val="nil"/>
              <w:bottom w:val="single" w:sz="4" w:space="0" w:color="auto"/>
              <w:right w:val="single" w:sz="4" w:space="0" w:color="auto"/>
            </w:tcBorders>
            <w:shd w:val="clear" w:color="auto" w:fill="auto"/>
            <w:vAlign w:val="center"/>
            <w:hideMark/>
          </w:tcPr>
          <w:p w14:paraId="70BB265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Instituto Municipal de Planeación Urbana y del Espacio Público</w:t>
            </w:r>
          </w:p>
        </w:tc>
      </w:tr>
      <w:tr w:rsidR="00C47BF8" w:rsidRPr="00C47BF8" w14:paraId="69A6F185"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69AE114D"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55DAB89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42E8A89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2D02</w:t>
            </w:r>
          </w:p>
        </w:tc>
        <w:tc>
          <w:tcPr>
            <w:tcW w:w="0" w:type="auto"/>
            <w:tcBorders>
              <w:top w:val="nil"/>
              <w:left w:val="nil"/>
              <w:bottom w:val="single" w:sz="4" w:space="0" w:color="auto"/>
              <w:right w:val="single" w:sz="4" w:space="0" w:color="auto"/>
            </w:tcBorders>
            <w:shd w:val="clear" w:color="auto" w:fill="auto"/>
            <w:vAlign w:val="center"/>
            <w:hideMark/>
          </w:tcPr>
          <w:p w14:paraId="7297742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Administración del Uso del Suelo</w:t>
            </w:r>
          </w:p>
        </w:tc>
        <w:tc>
          <w:tcPr>
            <w:tcW w:w="0" w:type="auto"/>
            <w:tcBorders>
              <w:top w:val="nil"/>
              <w:left w:val="nil"/>
              <w:bottom w:val="single" w:sz="4" w:space="0" w:color="auto"/>
              <w:right w:val="single" w:sz="4" w:space="0" w:color="auto"/>
            </w:tcBorders>
            <w:shd w:val="clear" w:color="auto" w:fill="auto"/>
            <w:vAlign w:val="center"/>
            <w:hideMark/>
          </w:tcPr>
          <w:p w14:paraId="374EEB5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Ordenamiento y Desarrollo Urbano</w:t>
            </w:r>
          </w:p>
        </w:tc>
      </w:tr>
      <w:tr w:rsidR="00C47BF8" w:rsidRPr="00C47BF8" w14:paraId="00D47EB8"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448C6CC2"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5A352877"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445E3CD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2D03</w:t>
            </w:r>
          </w:p>
        </w:tc>
        <w:tc>
          <w:tcPr>
            <w:tcW w:w="0" w:type="auto"/>
            <w:tcBorders>
              <w:top w:val="nil"/>
              <w:left w:val="nil"/>
              <w:bottom w:val="single" w:sz="4" w:space="0" w:color="auto"/>
              <w:right w:val="single" w:sz="4" w:space="0" w:color="auto"/>
            </w:tcBorders>
            <w:shd w:val="clear" w:color="auto" w:fill="auto"/>
            <w:vAlign w:val="center"/>
            <w:hideMark/>
          </w:tcPr>
          <w:p w14:paraId="6E50D54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Estudios y Proyectos</w:t>
            </w:r>
          </w:p>
        </w:tc>
        <w:tc>
          <w:tcPr>
            <w:tcW w:w="0" w:type="auto"/>
            <w:tcBorders>
              <w:top w:val="nil"/>
              <w:left w:val="nil"/>
              <w:bottom w:val="single" w:sz="4" w:space="0" w:color="auto"/>
              <w:right w:val="single" w:sz="4" w:space="0" w:color="auto"/>
            </w:tcBorders>
            <w:shd w:val="clear" w:color="auto" w:fill="auto"/>
            <w:vAlign w:val="center"/>
            <w:hideMark/>
          </w:tcPr>
          <w:p w14:paraId="2E11ED9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Instituto Municipal de Planeación Urbana y del Espacio Público</w:t>
            </w:r>
          </w:p>
        </w:tc>
      </w:tr>
      <w:tr w:rsidR="00C47BF8" w:rsidRPr="00C47BF8" w14:paraId="5AD8E2B3" w14:textId="77777777" w:rsidTr="00C47BF8">
        <w:trPr>
          <w:trHeight w:val="510"/>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730E098B"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2L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11C3E"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Servicios Públicos a la Comunidad</w:t>
            </w:r>
          </w:p>
        </w:tc>
        <w:tc>
          <w:tcPr>
            <w:tcW w:w="0" w:type="auto"/>
            <w:tcBorders>
              <w:top w:val="nil"/>
              <w:left w:val="nil"/>
              <w:bottom w:val="single" w:sz="4" w:space="0" w:color="auto"/>
              <w:right w:val="single" w:sz="4" w:space="0" w:color="auto"/>
            </w:tcBorders>
            <w:shd w:val="clear" w:color="000000" w:fill="F1F1F1"/>
            <w:vAlign w:val="center"/>
            <w:hideMark/>
          </w:tcPr>
          <w:p w14:paraId="65F580E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2L01</w:t>
            </w:r>
          </w:p>
        </w:tc>
        <w:tc>
          <w:tcPr>
            <w:tcW w:w="0" w:type="auto"/>
            <w:tcBorders>
              <w:top w:val="nil"/>
              <w:left w:val="nil"/>
              <w:bottom w:val="single" w:sz="4" w:space="0" w:color="auto"/>
              <w:right w:val="single" w:sz="4" w:space="0" w:color="auto"/>
            </w:tcBorders>
            <w:shd w:val="clear" w:color="auto" w:fill="auto"/>
            <w:vAlign w:val="center"/>
            <w:hideMark/>
          </w:tcPr>
          <w:p w14:paraId="165F7DB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Limpia y Barrido de Calles y Avenidas</w:t>
            </w:r>
          </w:p>
        </w:tc>
        <w:tc>
          <w:tcPr>
            <w:tcW w:w="0" w:type="auto"/>
            <w:tcBorders>
              <w:top w:val="nil"/>
              <w:left w:val="nil"/>
              <w:bottom w:val="single" w:sz="4" w:space="0" w:color="auto"/>
              <w:right w:val="single" w:sz="4" w:space="0" w:color="auto"/>
            </w:tcBorders>
            <w:shd w:val="clear" w:color="auto" w:fill="auto"/>
            <w:vAlign w:val="center"/>
            <w:hideMark/>
          </w:tcPr>
          <w:p w14:paraId="686737E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Servicios Públicos Municipales</w:t>
            </w:r>
          </w:p>
        </w:tc>
      </w:tr>
      <w:tr w:rsidR="00C47BF8" w:rsidRPr="00C47BF8" w14:paraId="46A417E2"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4D7DCCEF"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6E2BD9D8"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2351185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2L02</w:t>
            </w:r>
          </w:p>
        </w:tc>
        <w:tc>
          <w:tcPr>
            <w:tcW w:w="0" w:type="auto"/>
            <w:tcBorders>
              <w:top w:val="nil"/>
              <w:left w:val="nil"/>
              <w:bottom w:val="single" w:sz="4" w:space="0" w:color="auto"/>
              <w:right w:val="single" w:sz="4" w:space="0" w:color="auto"/>
            </w:tcBorders>
            <w:shd w:val="clear" w:color="auto" w:fill="auto"/>
            <w:vAlign w:val="center"/>
            <w:hideMark/>
          </w:tcPr>
          <w:p w14:paraId="791EEE8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Recolección de Basura</w:t>
            </w:r>
          </w:p>
        </w:tc>
        <w:tc>
          <w:tcPr>
            <w:tcW w:w="0" w:type="auto"/>
            <w:tcBorders>
              <w:top w:val="nil"/>
              <w:left w:val="nil"/>
              <w:bottom w:val="single" w:sz="4" w:space="0" w:color="auto"/>
              <w:right w:val="single" w:sz="4" w:space="0" w:color="auto"/>
            </w:tcBorders>
            <w:shd w:val="clear" w:color="auto" w:fill="auto"/>
            <w:vAlign w:val="center"/>
            <w:hideMark/>
          </w:tcPr>
          <w:p w14:paraId="32B0E09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 xml:space="preserve">Dirección General de Servicios </w:t>
            </w:r>
            <w:r w:rsidRPr="00C47BF8">
              <w:rPr>
                <w:rFonts w:eastAsia="Times New Roman" w:cs="Arial"/>
                <w:color w:val="000000"/>
                <w:lang w:val="es-MX" w:eastAsia="es-MX" w:bidi="ar-SA"/>
              </w:rPr>
              <w:lastRenderedPageBreak/>
              <w:t>Públicos Municipales</w:t>
            </w:r>
          </w:p>
        </w:tc>
      </w:tr>
      <w:tr w:rsidR="00C47BF8" w:rsidRPr="00C47BF8" w14:paraId="6F57720A"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20350096"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2C6438E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1BE801E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2L03</w:t>
            </w:r>
          </w:p>
        </w:tc>
        <w:tc>
          <w:tcPr>
            <w:tcW w:w="0" w:type="auto"/>
            <w:tcBorders>
              <w:top w:val="nil"/>
              <w:left w:val="nil"/>
              <w:bottom w:val="single" w:sz="4" w:space="0" w:color="auto"/>
              <w:right w:val="single" w:sz="4" w:space="0" w:color="auto"/>
            </w:tcBorders>
            <w:shd w:val="clear" w:color="auto" w:fill="auto"/>
            <w:vAlign w:val="center"/>
            <w:hideMark/>
          </w:tcPr>
          <w:p w14:paraId="2E9D20A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Panteones</w:t>
            </w:r>
          </w:p>
        </w:tc>
        <w:tc>
          <w:tcPr>
            <w:tcW w:w="0" w:type="auto"/>
            <w:tcBorders>
              <w:top w:val="nil"/>
              <w:left w:val="nil"/>
              <w:bottom w:val="single" w:sz="4" w:space="0" w:color="auto"/>
              <w:right w:val="single" w:sz="4" w:space="0" w:color="auto"/>
            </w:tcBorders>
            <w:shd w:val="clear" w:color="auto" w:fill="auto"/>
            <w:vAlign w:val="center"/>
            <w:hideMark/>
          </w:tcPr>
          <w:p w14:paraId="5CF99F0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Servicios Públicos Municipales</w:t>
            </w:r>
          </w:p>
        </w:tc>
      </w:tr>
      <w:tr w:rsidR="00C47BF8" w:rsidRPr="00C47BF8" w14:paraId="17E83053"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08BECBF1"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1AA29C05"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6B48198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2L04</w:t>
            </w:r>
          </w:p>
        </w:tc>
        <w:tc>
          <w:tcPr>
            <w:tcW w:w="0" w:type="auto"/>
            <w:tcBorders>
              <w:top w:val="nil"/>
              <w:left w:val="nil"/>
              <w:bottom w:val="single" w:sz="4" w:space="0" w:color="auto"/>
              <w:right w:val="single" w:sz="4" w:space="0" w:color="auto"/>
            </w:tcBorders>
            <w:shd w:val="clear" w:color="auto" w:fill="auto"/>
            <w:vAlign w:val="center"/>
            <w:hideMark/>
          </w:tcPr>
          <w:p w14:paraId="4807FBE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Parques y Jardines</w:t>
            </w:r>
          </w:p>
        </w:tc>
        <w:tc>
          <w:tcPr>
            <w:tcW w:w="0" w:type="auto"/>
            <w:tcBorders>
              <w:top w:val="nil"/>
              <w:left w:val="nil"/>
              <w:bottom w:val="single" w:sz="4" w:space="0" w:color="auto"/>
              <w:right w:val="single" w:sz="4" w:space="0" w:color="auto"/>
            </w:tcBorders>
            <w:shd w:val="clear" w:color="auto" w:fill="auto"/>
            <w:vAlign w:val="center"/>
            <w:hideMark/>
          </w:tcPr>
          <w:p w14:paraId="7556A44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Servicios Públicos Municipales</w:t>
            </w:r>
          </w:p>
        </w:tc>
      </w:tr>
      <w:tr w:rsidR="00C47BF8" w:rsidRPr="00C47BF8" w14:paraId="6856509C"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4192AA68"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32A031D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46A5120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2L05</w:t>
            </w:r>
          </w:p>
        </w:tc>
        <w:tc>
          <w:tcPr>
            <w:tcW w:w="0" w:type="auto"/>
            <w:tcBorders>
              <w:top w:val="nil"/>
              <w:left w:val="nil"/>
              <w:bottom w:val="single" w:sz="4" w:space="0" w:color="auto"/>
              <w:right w:val="single" w:sz="4" w:space="0" w:color="auto"/>
            </w:tcBorders>
            <w:shd w:val="clear" w:color="auto" w:fill="auto"/>
            <w:vAlign w:val="center"/>
            <w:hideMark/>
          </w:tcPr>
          <w:p w14:paraId="45B2236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Bahía de Kino</w:t>
            </w:r>
          </w:p>
        </w:tc>
        <w:tc>
          <w:tcPr>
            <w:tcW w:w="0" w:type="auto"/>
            <w:tcBorders>
              <w:top w:val="nil"/>
              <w:left w:val="nil"/>
              <w:bottom w:val="single" w:sz="4" w:space="0" w:color="auto"/>
              <w:right w:val="single" w:sz="4" w:space="0" w:color="auto"/>
            </w:tcBorders>
            <w:shd w:val="clear" w:color="auto" w:fill="auto"/>
            <w:vAlign w:val="center"/>
            <w:hideMark/>
          </w:tcPr>
          <w:p w14:paraId="5E045C5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Servicios Públicos Municipales</w:t>
            </w:r>
          </w:p>
        </w:tc>
      </w:tr>
      <w:tr w:rsidR="00C47BF8" w:rsidRPr="00C47BF8" w14:paraId="44739D12"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525F71EC"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32A2513D"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1813573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2L06</w:t>
            </w:r>
          </w:p>
        </w:tc>
        <w:tc>
          <w:tcPr>
            <w:tcW w:w="0" w:type="auto"/>
            <w:tcBorders>
              <w:top w:val="nil"/>
              <w:left w:val="nil"/>
              <w:bottom w:val="single" w:sz="4" w:space="0" w:color="auto"/>
              <w:right w:val="single" w:sz="4" w:space="0" w:color="auto"/>
            </w:tcBorders>
            <w:shd w:val="clear" w:color="auto" w:fill="auto"/>
            <w:vAlign w:val="center"/>
            <w:hideMark/>
          </w:tcPr>
          <w:p w14:paraId="3905D2D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Miguel Alemán</w:t>
            </w:r>
          </w:p>
        </w:tc>
        <w:tc>
          <w:tcPr>
            <w:tcW w:w="0" w:type="auto"/>
            <w:tcBorders>
              <w:top w:val="nil"/>
              <w:left w:val="nil"/>
              <w:bottom w:val="single" w:sz="4" w:space="0" w:color="auto"/>
              <w:right w:val="single" w:sz="4" w:space="0" w:color="auto"/>
            </w:tcBorders>
            <w:shd w:val="clear" w:color="auto" w:fill="auto"/>
            <w:vAlign w:val="center"/>
            <w:hideMark/>
          </w:tcPr>
          <w:p w14:paraId="2F755CB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Servicios Públicos Municipales</w:t>
            </w:r>
          </w:p>
        </w:tc>
      </w:tr>
      <w:tr w:rsidR="00C47BF8" w:rsidRPr="00C47BF8" w14:paraId="43BFFFEE" w14:textId="77777777" w:rsidTr="00C47BF8">
        <w:trPr>
          <w:trHeight w:val="495"/>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225D9049"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2M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7504B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Impulso a la Movilidad y Conectividad Urbana</w:t>
            </w:r>
          </w:p>
        </w:tc>
        <w:tc>
          <w:tcPr>
            <w:tcW w:w="0" w:type="auto"/>
            <w:tcBorders>
              <w:top w:val="nil"/>
              <w:left w:val="nil"/>
              <w:bottom w:val="single" w:sz="4" w:space="0" w:color="auto"/>
              <w:right w:val="single" w:sz="4" w:space="0" w:color="auto"/>
            </w:tcBorders>
            <w:shd w:val="clear" w:color="000000" w:fill="F1F1F1"/>
            <w:vAlign w:val="center"/>
            <w:hideMark/>
          </w:tcPr>
          <w:p w14:paraId="7642527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2M01</w:t>
            </w:r>
          </w:p>
        </w:tc>
        <w:tc>
          <w:tcPr>
            <w:tcW w:w="0" w:type="auto"/>
            <w:tcBorders>
              <w:top w:val="nil"/>
              <w:left w:val="nil"/>
              <w:bottom w:val="single" w:sz="4" w:space="0" w:color="auto"/>
              <w:right w:val="single" w:sz="4" w:space="0" w:color="auto"/>
            </w:tcBorders>
            <w:shd w:val="clear" w:color="auto" w:fill="auto"/>
            <w:vAlign w:val="center"/>
            <w:hideMark/>
          </w:tcPr>
          <w:p w14:paraId="6962A0C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Semaforización y Señalización</w:t>
            </w:r>
          </w:p>
        </w:tc>
        <w:tc>
          <w:tcPr>
            <w:tcW w:w="0" w:type="auto"/>
            <w:tcBorders>
              <w:top w:val="nil"/>
              <w:left w:val="nil"/>
              <w:bottom w:val="single" w:sz="4" w:space="0" w:color="auto"/>
              <w:right w:val="single" w:sz="4" w:space="0" w:color="auto"/>
            </w:tcBorders>
            <w:shd w:val="clear" w:color="auto" w:fill="auto"/>
            <w:vAlign w:val="center"/>
            <w:hideMark/>
          </w:tcPr>
          <w:p w14:paraId="07BEF4B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Desarrollo de Infraestructura</w:t>
            </w:r>
          </w:p>
        </w:tc>
      </w:tr>
      <w:tr w:rsidR="00C47BF8" w:rsidRPr="00C47BF8" w14:paraId="4BC58684" w14:textId="77777777" w:rsidTr="00C47BF8">
        <w:trPr>
          <w:trHeight w:val="765"/>
        </w:trPr>
        <w:tc>
          <w:tcPr>
            <w:tcW w:w="0" w:type="auto"/>
            <w:vMerge/>
            <w:tcBorders>
              <w:top w:val="nil"/>
              <w:left w:val="single" w:sz="4" w:space="0" w:color="auto"/>
              <w:bottom w:val="single" w:sz="4" w:space="0" w:color="auto"/>
              <w:right w:val="single" w:sz="4" w:space="0" w:color="auto"/>
            </w:tcBorders>
            <w:vAlign w:val="center"/>
            <w:hideMark/>
          </w:tcPr>
          <w:p w14:paraId="37CA1E4F"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5FF9962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05029E7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2M02</w:t>
            </w:r>
          </w:p>
        </w:tc>
        <w:tc>
          <w:tcPr>
            <w:tcW w:w="0" w:type="auto"/>
            <w:tcBorders>
              <w:top w:val="nil"/>
              <w:left w:val="nil"/>
              <w:bottom w:val="single" w:sz="4" w:space="0" w:color="auto"/>
              <w:right w:val="single" w:sz="4" w:space="0" w:color="auto"/>
            </w:tcBorders>
            <w:shd w:val="clear" w:color="auto" w:fill="auto"/>
            <w:vAlign w:val="center"/>
            <w:hideMark/>
          </w:tcPr>
          <w:p w14:paraId="50858FC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Construcción y Conservación de Calles y Avenidas</w:t>
            </w:r>
          </w:p>
        </w:tc>
        <w:tc>
          <w:tcPr>
            <w:tcW w:w="0" w:type="auto"/>
            <w:tcBorders>
              <w:top w:val="nil"/>
              <w:left w:val="nil"/>
              <w:bottom w:val="single" w:sz="4" w:space="0" w:color="auto"/>
              <w:right w:val="single" w:sz="4" w:space="0" w:color="auto"/>
            </w:tcBorders>
            <w:shd w:val="clear" w:color="auto" w:fill="auto"/>
            <w:vAlign w:val="center"/>
            <w:hideMark/>
          </w:tcPr>
          <w:p w14:paraId="2EE96B4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Desarrollo de Infraestructura</w:t>
            </w:r>
          </w:p>
        </w:tc>
      </w:tr>
      <w:tr w:rsidR="00C47BF8" w:rsidRPr="00C47BF8" w14:paraId="67D64A7B"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73C65C3A"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1BCD1AF4"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268FBC1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2M03</w:t>
            </w:r>
          </w:p>
        </w:tc>
        <w:tc>
          <w:tcPr>
            <w:tcW w:w="0" w:type="auto"/>
            <w:tcBorders>
              <w:top w:val="nil"/>
              <w:left w:val="nil"/>
              <w:bottom w:val="single" w:sz="4" w:space="0" w:color="auto"/>
              <w:right w:val="single" w:sz="4" w:space="0" w:color="auto"/>
            </w:tcBorders>
            <w:shd w:val="clear" w:color="auto" w:fill="auto"/>
            <w:vAlign w:val="center"/>
            <w:hideMark/>
          </w:tcPr>
          <w:p w14:paraId="7330643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Movilidad y Conectividad Urbana</w:t>
            </w:r>
          </w:p>
        </w:tc>
        <w:tc>
          <w:tcPr>
            <w:tcW w:w="0" w:type="auto"/>
            <w:tcBorders>
              <w:top w:val="nil"/>
              <w:left w:val="nil"/>
              <w:bottom w:val="single" w:sz="4" w:space="0" w:color="auto"/>
              <w:right w:val="single" w:sz="4" w:space="0" w:color="auto"/>
            </w:tcBorders>
            <w:shd w:val="clear" w:color="auto" w:fill="auto"/>
            <w:vAlign w:val="center"/>
            <w:hideMark/>
          </w:tcPr>
          <w:p w14:paraId="2281C7A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Instituto Municipal de Planeación Urbana y del Espacio Público</w:t>
            </w:r>
          </w:p>
        </w:tc>
      </w:tr>
      <w:tr w:rsidR="00C47BF8" w:rsidRPr="00C47BF8" w14:paraId="1DFAB784" w14:textId="77777777" w:rsidTr="00C47BF8">
        <w:trPr>
          <w:trHeight w:val="102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22F43C95"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2V</w:t>
            </w:r>
          </w:p>
        </w:tc>
        <w:tc>
          <w:tcPr>
            <w:tcW w:w="0" w:type="auto"/>
            <w:tcBorders>
              <w:top w:val="nil"/>
              <w:left w:val="nil"/>
              <w:bottom w:val="single" w:sz="4" w:space="0" w:color="auto"/>
              <w:right w:val="single" w:sz="4" w:space="0" w:color="auto"/>
            </w:tcBorders>
            <w:shd w:val="clear" w:color="auto" w:fill="auto"/>
            <w:vAlign w:val="center"/>
            <w:hideMark/>
          </w:tcPr>
          <w:p w14:paraId="0EC4E93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Consolidación de Zonas Urbanas Regulando la Tenencia de la Tierra</w:t>
            </w:r>
          </w:p>
        </w:tc>
        <w:tc>
          <w:tcPr>
            <w:tcW w:w="0" w:type="auto"/>
            <w:tcBorders>
              <w:top w:val="nil"/>
              <w:left w:val="nil"/>
              <w:bottom w:val="single" w:sz="4" w:space="0" w:color="auto"/>
              <w:right w:val="single" w:sz="4" w:space="0" w:color="auto"/>
            </w:tcBorders>
            <w:shd w:val="clear" w:color="000000" w:fill="F1F1F1"/>
            <w:vAlign w:val="center"/>
            <w:hideMark/>
          </w:tcPr>
          <w:p w14:paraId="33328DB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2V01</w:t>
            </w:r>
          </w:p>
        </w:tc>
        <w:tc>
          <w:tcPr>
            <w:tcW w:w="0" w:type="auto"/>
            <w:tcBorders>
              <w:top w:val="nil"/>
              <w:left w:val="nil"/>
              <w:bottom w:val="single" w:sz="4" w:space="0" w:color="auto"/>
              <w:right w:val="single" w:sz="4" w:space="0" w:color="auto"/>
            </w:tcBorders>
            <w:shd w:val="clear" w:color="auto" w:fill="auto"/>
            <w:vAlign w:val="center"/>
            <w:hideMark/>
          </w:tcPr>
          <w:p w14:paraId="3574411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Consolidación de Zonas Urbanas Regulando la Tenencia de la Tierra</w:t>
            </w:r>
          </w:p>
        </w:tc>
        <w:tc>
          <w:tcPr>
            <w:tcW w:w="0" w:type="auto"/>
            <w:tcBorders>
              <w:top w:val="nil"/>
              <w:left w:val="nil"/>
              <w:bottom w:val="single" w:sz="4" w:space="0" w:color="auto"/>
              <w:right w:val="single" w:sz="4" w:space="0" w:color="auto"/>
            </w:tcBorders>
            <w:shd w:val="clear" w:color="auto" w:fill="auto"/>
            <w:vAlign w:val="center"/>
            <w:hideMark/>
          </w:tcPr>
          <w:p w14:paraId="47F1B00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Promotora Inmobiliaria del Municipio de Hermosillo</w:t>
            </w:r>
          </w:p>
        </w:tc>
      </w:tr>
      <w:tr w:rsidR="00C47BF8" w:rsidRPr="00C47BF8" w14:paraId="4B06582E" w14:textId="77777777" w:rsidTr="00C47BF8">
        <w:trPr>
          <w:trHeight w:val="51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365EF48E"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3L</w:t>
            </w:r>
          </w:p>
        </w:tc>
        <w:tc>
          <w:tcPr>
            <w:tcW w:w="0" w:type="auto"/>
            <w:tcBorders>
              <w:top w:val="nil"/>
              <w:left w:val="nil"/>
              <w:bottom w:val="single" w:sz="4" w:space="0" w:color="auto"/>
              <w:right w:val="single" w:sz="4" w:space="0" w:color="auto"/>
            </w:tcBorders>
            <w:shd w:val="clear" w:color="auto" w:fill="auto"/>
            <w:vAlign w:val="center"/>
            <w:hideMark/>
          </w:tcPr>
          <w:p w14:paraId="73D8CED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Atención a Grupos Vulnerables</w:t>
            </w:r>
          </w:p>
        </w:tc>
        <w:tc>
          <w:tcPr>
            <w:tcW w:w="0" w:type="auto"/>
            <w:tcBorders>
              <w:top w:val="nil"/>
              <w:left w:val="nil"/>
              <w:bottom w:val="single" w:sz="4" w:space="0" w:color="auto"/>
              <w:right w:val="single" w:sz="4" w:space="0" w:color="auto"/>
            </w:tcBorders>
            <w:shd w:val="clear" w:color="000000" w:fill="F1F1F1"/>
            <w:vAlign w:val="center"/>
            <w:hideMark/>
          </w:tcPr>
          <w:p w14:paraId="5F84E7F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3L01</w:t>
            </w:r>
          </w:p>
        </w:tc>
        <w:tc>
          <w:tcPr>
            <w:tcW w:w="0" w:type="auto"/>
            <w:tcBorders>
              <w:top w:val="nil"/>
              <w:left w:val="nil"/>
              <w:bottom w:val="single" w:sz="4" w:space="0" w:color="auto"/>
              <w:right w:val="single" w:sz="4" w:space="0" w:color="auto"/>
            </w:tcBorders>
            <w:shd w:val="clear" w:color="auto" w:fill="auto"/>
            <w:vAlign w:val="center"/>
            <w:hideMark/>
          </w:tcPr>
          <w:p w14:paraId="08C426A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Integración Social y Familiar</w:t>
            </w:r>
          </w:p>
        </w:tc>
        <w:tc>
          <w:tcPr>
            <w:tcW w:w="0" w:type="auto"/>
            <w:tcBorders>
              <w:top w:val="nil"/>
              <w:left w:val="nil"/>
              <w:bottom w:val="single" w:sz="4" w:space="0" w:color="auto"/>
              <w:right w:val="single" w:sz="4" w:space="0" w:color="auto"/>
            </w:tcBorders>
            <w:shd w:val="clear" w:color="auto" w:fill="auto"/>
            <w:vAlign w:val="center"/>
            <w:hideMark/>
          </w:tcPr>
          <w:p w14:paraId="680CB84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(DIF) Sistema para el Desarrollo Integral de la Familia en el Municipio de Hermosillo</w:t>
            </w:r>
          </w:p>
        </w:tc>
      </w:tr>
      <w:tr w:rsidR="00C47BF8" w:rsidRPr="00C47BF8" w14:paraId="12F08A52" w14:textId="77777777" w:rsidTr="00C47BF8">
        <w:trPr>
          <w:trHeight w:val="735"/>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4D71B520"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3R</w:t>
            </w:r>
          </w:p>
        </w:tc>
        <w:tc>
          <w:tcPr>
            <w:tcW w:w="0" w:type="auto"/>
            <w:tcBorders>
              <w:top w:val="nil"/>
              <w:left w:val="nil"/>
              <w:bottom w:val="single" w:sz="4" w:space="0" w:color="auto"/>
              <w:right w:val="single" w:sz="4" w:space="0" w:color="auto"/>
            </w:tcBorders>
            <w:shd w:val="clear" w:color="auto" w:fill="auto"/>
            <w:vAlign w:val="center"/>
            <w:hideMark/>
          </w:tcPr>
          <w:p w14:paraId="1E3E735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Patrimonio Municipal</w:t>
            </w:r>
          </w:p>
        </w:tc>
        <w:tc>
          <w:tcPr>
            <w:tcW w:w="0" w:type="auto"/>
            <w:tcBorders>
              <w:top w:val="nil"/>
              <w:left w:val="nil"/>
              <w:bottom w:val="single" w:sz="4" w:space="0" w:color="auto"/>
              <w:right w:val="single" w:sz="4" w:space="0" w:color="auto"/>
            </w:tcBorders>
            <w:shd w:val="clear" w:color="000000" w:fill="F1F1F1"/>
            <w:vAlign w:val="center"/>
            <w:hideMark/>
          </w:tcPr>
          <w:p w14:paraId="5CDC1EA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3R01</w:t>
            </w:r>
          </w:p>
        </w:tc>
        <w:tc>
          <w:tcPr>
            <w:tcW w:w="0" w:type="auto"/>
            <w:tcBorders>
              <w:top w:val="nil"/>
              <w:left w:val="nil"/>
              <w:bottom w:val="single" w:sz="4" w:space="0" w:color="auto"/>
              <w:right w:val="single" w:sz="4" w:space="0" w:color="auto"/>
            </w:tcBorders>
            <w:shd w:val="clear" w:color="auto" w:fill="auto"/>
            <w:vAlign w:val="center"/>
            <w:hideMark/>
          </w:tcPr>
          <w:p w14:paraId="0391008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Regularización de la Tenencia de la Tierra</w:t>
            </w:r>
          </w:p>
        </w:tc>
        <w:tc>
          <w:tcPr>
            <w:tcW w:w="0" w:type="auto"/>
            <w:tcBorders>
              <w:top w:val="nil"/>
              <w:left w:val="nil"/>
              <w:bottom w:val="single" w:sz="4" w:space="0" w:color="auto"/>
              <w:right w:val="single" w:sz="4" w:space="0" w:color="auto"/>
            </w:tcBorders>
            <w:shd w:val="clear" w:color="auto" w:fill="auto"/>
            <w:vAlign w:val="center"/>
            <w:hideMark/>
          </w:tcPr>
          <w:p w14:paraId="6CCD16C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Sindicatura del Ayuntamiento</w:t>
            </w:r>
          </w:p>
        </w:tc>
      </w:tr>
      <w:tr w:rsidR="00C47BF8" w:rsidRPr="00C47BF8" w14:paraId="060C569D" w14:textId="77777777" w:rsidTr="00C47BF8">
        <w:trPr>
          <w:trHeight w:val="810"/>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30F72928"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5H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F2B44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Promoción y Fomento de la Cultura y las Artes</w:t>
            </w:r>
          </w:p>
        </w:tc>
        <w:tc>
          <w:tcPr>
            <w:tcW w:w="0" w:type="auto"/>
            <w:tcBorders>
              <w:top w:val="nil"/>
              <w:left w:val="nil"/>
              <w:bottom w:val="single" w:sz="4" w:space="0" w:color="auto"/>
              <w:right w:val="single" w:sz="4" w:space="0" w:color="auto"/>
            </w:tcBorders>
            <w:shd w:val="clear" w:color="000000" w:fill="F1F1F1"/>
            <w:vAlign w:val="center"/>
            <w:hideMark/>
          </w:tcPr>
          <w:p w14:paraId="3DFBE6D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5H01</w:t>
            </w:r>
          </w:p>
        </w:tc>
        <w:tc>
          <w:tcPr>
            <w:tcW w:w="0" w:type="auto"/>
            <w:tcBorders>
              <w:top w:val="nil"/>
              <w:left w:val="nil"/>
              <w:bottom w:val="single" w:sz="4" w:space="0" w:color="auto"/>
              <w:right w:val="single" w:sz="4" w:space="0" w:color="auto"/>
            </w:tcBorders>
            <w:shd w:val="clear" w:color="auto" w:fill="auto"/>
            <w:vAlign w:val="center"/>
            <w:hideMark/>
          </w:tcPr>
          <w:p w14:paraId="03D352B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Preservación, Impulso y Difusión de la Cultura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183DE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Instituto Municipal de Cultura y Arte</w:t>
            </w:r>
          </w:p>
        </w:tc>
      </w:tr>
      <w:tr w:rsidR="00C47BF8" w:rsidRPr="00C47BF8" w14:paraId="3017120F"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22636A47"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5AF0E3D5"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66614B8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5H05</w:t>
            </w:r>
          </w:p>
        </w:tc>
        <w:tc>
          <w:tcPr>
            <w:tcW w:w="0" w:type="auto"/>
            <w:tcBorders>
              <w:top w:val="nil"/>
              <w:left w:val="nil"/>
              <w:bottom w:val="single" w:sz="4" w:space="0" w:color="auto"/>
              <w:right w:val="single" w:sz="4" w:space="0" w:color="auto"/>
            </w:tcBorders>
            <w:shd w:val="clear" w:color="auto" w:fill="auto"/>
            <w:vAlign w:val="center"/>
            <w:hideMark/>
          </w:tcPr>
          <w:p w14:paraId="3D9A67A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Cultura Incluyente</w:t>
            </w:r>
          </w:p>
        </w:tc>
        <w:tc>
          <w:tcPr>
            <w:tcW w:w="0" w:type="auto"/>
            <w:vMerge/>
            <w:tcBorders>
              <w:top w:val="nil"/>
              <w:left w:val="single" w:sz="4" w:space="0" w:color="auto"/>
              <w:bottom w:val="single" w:sz="4" w:space="0" w:color="auto"/>
              <w:right w:val="single" w:sz="4" w:space="0" w:color="auto"/>
            </w:tcBorders>
            <w:vAlign w:val="center"/>
            <w:hideMark/>
          </w:tcPr>
          <w:p w14:paraId="67868E89" w14:textId="77777777" w:rsidR="00C47BF8" w:rsidRPr="00C47BF8" w:rsidRDefault="00C47BF8" w:rsidP="00C47BF8">
            <w:pPr>
              <w:spacing w:after="0" w:line="240" w:lineRule="auto"/>
              <w:jc w:val="left"/>
              <w:rPr>
                <w:rFonts w:eastAsia="Times New Roman" w:cs="Arial"/>
                <w:color w:val="000000"/>
                <w:lang w:val="es-MX" w:eastAsia="es-MX" w:bidi="ar-SA"/>
              </w:rPr>
            </w:pPr>
          </w:p>
        </w:tc>
      </w:tr>
      <w:tr w:rsidR="00C47BF8" w:rsidRPr="00C47BF8" w14:paraId="67B85802" w14:textId="77777777" w:rsidTr="00C47BF8">
        <w:trPr>
          <w:trHeight w:val="51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01C9FB2"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5P</w:t>
            </w:r>
          </w:p>
        </w:tc>
        <w:tc>
          <w:tcPr>
            <w:tcW w:w="0" w:type="auto"/>
            <w:tcBorders>
              <w:top w:val="nil"/>
              <w:left w:val="nil"/>
              <w:bottom w:val="single" w:sz="4" w:space="0" w:color="auto"/>
              <w:right w:val="single" w:sz="4" w:space="0" w:color="auto"/>
            </w:tcBorders>
            <w:shd w:val="clear" w:color="auto" w:fill="auto"/>
            <w:vAlign w:val="center"/>
            <w:hideMark/>
          </w:tcPr>
          <w:p w14:paraId="652725C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Promoción y Fomento de la Cultura Física y del Deporte</w:t>
            </w:r>
          </w:p>
        </w:tc>
        <w:tc>
          <w:tcPr>
            <w:tcW w:w="0" w:type="auto"/>
            <w:tcBorders>
              <w:top w:val="nil"/>
              <w:left w:val="nil"/>
              <w:bottom w:val="single" w:sz="4" w:space="0" w:color="auto"/>
              <w:right w:val="single" w:sz="4" w:space="0" w:color="auto"/>
            </w:tcBorders>
            <w:shd w:val="clear" w:color="000000" w:fill="F1F1F1"/>
            <w:vAlign w:val="center"/>
            <w:hideMark/>
          </w:tcPr>
          <w:p w14:paraId="29E0893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5P01</w:t>
            </w:r>
          </w:p>
        </w:tc>
        <w:tc>
          <w:tcPr>
            <w:tcW w:w="0" w:type="auto"/>
            <w:tcBorders>
              <w:top w:val="nil"/>
              <w:left w:val="nil"/>
              <w:bottom w:val="single" w:sz="4" w:space="0" w:color="auto"/>
              <w:right w:val="single" w:sz="4" w:space="0" w:color="auto"/>
            </w:tcBorders>
            <w:shd w:val="clear" w:color="auto" w:fill="auto"/>
            <w:vAlign w:val="center"/>
            <w:hideMark/>
          </w:tcPr>
          <w:p w14:paraId="25FD40B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Impulso al Deporte y Recreación</w:t>
            </w:r>
          </w:p>
        </w:tc>
        <w:tc>
          <w:tcPr>
            <w:tcW w:w="0" w:type="auto"/>
            <w:tcBorders>
              <w:top w:val="nil"/>
              <w:left w:val="nil"/>
              <w:bottom w:val="single" w:sz="4" w:space="0" w:color="auto"/>
              <w:right w:val="single" w:sz="4" w:space="0" w:color="auto"/>
            </w:tcBorders>
            <w:shd w:val="clear" w:color="auto" w:fill="auto"/>
            <w:vAlign w:val="center"/>
            <w:hideMark/>
          </w:tcPr>
          <w:p w14:paraId="7FA7E99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Instituto del Deporte de Hermosillo</w:t>
            </w:r>
          </w:p>
        </w:tc>
      </w:tr>
      <w:tr w:rsidR="00C47BF8" w:rsidRPr="00C47BF8" w14:paraId="4BE9EAD0" w14:textId="77777777" w:rsidTr="00C47BF8">
        <w:trPr>
          <w:trHeight w:val="51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26153A24"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5R</w:t>
            </w:r>
          </w:p>
        </w:tc>
        <w:tc>
          <w:tcPr>
            <w:tcW w:w="0" w:type="auto"/>
            <w:tcBorders>
              <w:top w:val="nil"/>
              <w:left w:val="nil"/>
              <w:bottom w:val="single" w:sz="4" w:space="0" w:color="auto"/>
              <w:right w:val="single" w:sz="4" w:space="0" w:color="auto"/>
            </w:tcBorders>
            <w:shd w:val="clear" w:color="auto" w:fill="auto"/>
            <w:vAlign w:val="center"/>
            <w:hideMark/>
          </w:tcPr>
          <w:p w14:paraId="176442C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Juventud Participativa y Competitiva</w:t>
            </w:r>
          </w:p>
        </w:tc>
        <w:tc>
          <w:tcPr>
            <w:tcW w:w="0" w:type="auto"/>
            <w:tcBorders>
              <w:top w:val="nil"/>
              <w:left w:val="nil"/>
              <w:bottom w:val="single" w:sz="4" w:space="0" w:color="auto"/>
              <w:right w:val="single" w:sz="4" w:space="0" w:color="auto"/>
            </w:tcBorders>
            <w:shd w:val="clear" w:color="000000" w:fill="F1F1F1"/>
            <w:vAlign w:val="center"/>
            <w:hideMark/>
          </w:tcPr>
          <w:p w14:paraId="7C61D17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5R01</w:t>
            </w:r>
          </w:p>
        </w:tc>
        <w:tc>
          <w:tcPr>
            <w:tcW w:w="0" w:type="auto"/>
            <w:tcBorders>
              <w:top w:val="nil"/>
              <w:left w:val="nil"/>
              <w:bottom w:val="single" w:sz="4" w:space="0" w:color="auto"/>
              <w:right w:val="single" w:sz="4" w:space="0" w:color="auto"/>
            </w:tcBorders>
            <w:shd w:val="clear" w:color="auto" w:fill="auto"/>
            <w:vAlign w:val="center"/>
            <w:hideMark/>
          </w:tcPr>
          <w:p w14:paraId="4FAE670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Impulso y Apoyo a la Juventud</w:t>
            </w:r>
          </w:p>
        </w:tc>
        <w:tc>
          <w:tcPr>
            <w:tcW w:w="0" w:type="auto"/>
            <w:tcBorders>
              <w:top w:val="nil"/>
              <w:left w:val="nil"/>
              <w:bottom w:val="single" w:sz="4" w:space="0" w:color="auto"/>
              <w:right w:val="single" w:sz="4" w:space="0" w:color="auto"/>
            </w:tcBorders>
            <w:shd w:val="clear" w:color="auto" w:fill="auto"/>
            <w:vAlign w:val="center"/>
            <w:hideMark/>
          </w:tcPr>
          <w:p w14:paraId="70B431D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Participación Ciudadana</w:t>
            </w:r>
          </w:p>
        </w:tc>
      </w:tr>
      <w:tr w:rsidR="00C47BF8" w:rsidRPr="00C47BF8" w14:paraId="56035BE0" w14:textId="77777777" w:rsidTr="00C47BF8">
        <w:trPr>
          <w:trHeight w:val="510"/>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67E20D65"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7A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28C1BE"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Cultura de la Legalidad</w:t>
            </w:r>
          </w:p>
        </w:tc>
        <w:tc>
          <w:tcPr>
            <w:tcW w:w="0" w:type="auto"/>
            <w:tcBorders>
              <w:top w:val="nil"/>
              <w:left w:val="nil"/>
              <w:bottom w:val="single" w:sz="4" w:space="0" w:color="auto"/>
              <w:right w:val="single" w:sz="4" w:space="0" w:color="auto"/>
            </w:tcBorders>
            <w:shd w:val="clear" w:color="000000" w:fill="F1F1F1"/>
            <w:vAlign w:val="center"/>
            <w:hideMark/>
          </w:tcPr>
          <w:p w14:paraId="449D7EF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7A01</w:t>
            </w:r>
          </w:p>
        </w:tc>
        <w:tc>
          <w:tcPr>
            <w:tcW w:w="0" w:type="auto"/>
            <w:tcBorders>
              <w:top w:val="nil"/>
              <w:left w:val="nil"/>
              <w:bottom w:val="single" w:sz="4" w:space="0" w:color="auto"/>
              <w:right w:val="single" w:sz="4" w:space="0" w:color="auto"/>
            </w:tcBorders>
            <w:shd w:val="clear" w:color="auto" w:fill="auto"/>
            <w:vAlign w:val="center"/>
            <w:hideMark/>
          </w:tcPr>
          <w:p w14:paraId="691DE8D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Cultura de la Legalidad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7A184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 xml:space="preserve"> Secretaría del Ayuntamiento</w:t>
            </w:r>
          </w:p>
        </w:tc>
      </w:tr>
      <w:tr w:rsidR="00C47BF8" w:rsidRPr="00C47BF8" w14:paraId="5E17839E"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59E87DA9"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47299BB4"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2247240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7A02</w:t>
            </w:r>
          </w:p>
        </w:tc>
        <w:tc>
          <w:tcPr>
            <w:tcW w:w="0" w:type="auto"/>
            <w:tcBorders>
              <w:top w:val="nil"/>
              <w:left w:val="nil"/>
              <w:bottom w:val="single" w:sz="4" w:space="0" w:color="auto"/>
              <w:right w:val="single" w:sz="4" w:space="0" w:color="auto"/>
            </w:tcBorders>
            <w:shd w:val="clear" w:color="auto" w:fill="auto"/>
            <w:vAlign w:val="center"/>
            <w:hideMark/>
          </w:tcPr>
          <w:p w14:paraId="1E3E000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H. Ayuntamiento</w:t>
            </w:r>
          </w:p>
        </w:tc>
        <w:tc>
          <w:tcPr>
            <w:tcW w:w="0" w:type="auto"/>
            <w:vMerge/>
            <w:tcBorders>
              <w:top w:val="nil"/>
              <w:left w:val="single" w:sz="4" w:space="0" w:color="auto"/>
              <w:bottom w:val="single" w:sz="4" w:space="0" w:color="auto"/>
              <w:right w:val="single" w:sz="4" w:space="0" w:color="auto"/>
            </w:tcBorders>
            <w:vAlign w:val="center"/>
            <w:hideMark/>
          </w:tcPr>
          <w:p w14:paraId="4B92E993" w14:textId="77777777" w:rsidR="00C47BF8" w:rsidRPr="00C47BF8" w:rsidRDefault="00C47BF8" w:rsidP="00C47BF8">
            <w:pPr>
              <w:spacing w:after="0" w:line="240" w:lineRule="auto"/>
              <w:jc w:val="left"/>
              <w:rPr>
                <w:rFonts w:eastAsia="Times New Roman" w:cs="Arial"/>
                <w:color w:val="000000"/>
                <w:lang w:val="es-MX" w:eastAsia="es-MX" w:bidi="ar-SA"/>
              </w:rPr>
            </w:pPr>
          </w:p>
        </w:tc>
      </w:tr>
      <w:tr w:rsidR="00C47BF8" w:rsidRPr="00C47BF8" w14:paraId="4B913EE5" w14:textId="77777777" w:rsidTr="00C47BF8">
        <w:trPr>
          <w:trHeight w:val="300"/>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47212EB9"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7B</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0A3F6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Protección Civil</w:t>
            </w:r>
          </w:p>
        </w:tc>
        <w:tc>
          <w:tcPr>
            <w:tcW w:w="0" w:type="auto"/>
            <w:tcBorders>
              <w:top w:val="nil"/>
              <w:left w:val="nil"/>
              <w:bottom w:val="single" w:sz="4" w:space="0" w:color="auto"/>
              <w:right w:val="single" w:sz="4" w:space="0" w:color="auto"/>
            </w:tcBorders>
            <w:shd w:val="clear" w:color="000000" w:fill="F1F1F1"/>
            <w:vAlign w:val="center"/>
            <w:hideMark/>
          </w:tcPr>
          <w:p w14:paraId="272E53B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7B01</w:t>
            </w:r>
          </w:p>
        </w:tc>
        <w:tc>
          <w:tcPr>
            <w:tcW w:w="0" w:type="auto"/>
            <w:tcBorders>
              <w:top w:val="nil"/>
              <w:left w:val="nil"/>
              <w:bottom w:val="single" w:sz="4" w:space="0" w:color="auto"/>
              <w:right w:val="single" w:sz="4" w:space="0" w:color="auto"/>
            </w:tcBorders>
            <w:shd w:val="clear" w:color="auto" w:fill="auto"/>
            <w:vAlign w:val="center"/>
            <w:hideMark/>
          </w:tcPr>
          <w:p w14:paraId="374E676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Protección Civil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E19EA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Secretaría del Ayuntamiento</w:t>
            </w:r>
          </w:p>
        </w:tc>
      </w:tr>
      <w:tr w:rsidR="00C47BF8" w:rsidRPr="00C47BF8" w14:paraId="4D778AC8"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1E26AE2F"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4CF5167E"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716CBC4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7B02</w:t>
            </w:r>
          </w:p>
        </w:tc>
        <w:tc>
          <w:tcPr>
            <w:tcW w:w="0" w:type="auto"/>
            <w:tcBorders>
              <w:top w:val="nil"/>
              <w:left w:val="nil"/>
              <w:bottom w:val="single" w:sz="4" w:space="0" w:color="auto"/>
              <w:right w:val="single" w:sz="4" w:space="0" w:color="auto"/>
            </w:tcBorders>
            <w:shd w:val="clear" w:color="auto" w:fill="auto"/>
            <w:vAlign w:val="center"/>
            <w:hideMark/>
          </w:tcPr>
          <w:p w14:paraId="7381090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Bomberos</w:t>
            </w:r>
          </w:p>
        </w:tc>
        <w:tc>
          <w:tcPr>
            <w:tcW w:w="0" w:type="auto"/>
            <w:vMerge/>
            <w:tcBorders>
              <w:top w:val="nil"/>
              <w:left w:val="single" w:sz="4" w:space="0" w:color="auto"/>
              <w:bottom w:val="single" w:sz="4" w:space="0" w:color="auto"/>
              <w:right w:val="single" w:sz="4" w:space="0" w:color="auto"/>
            </w:tcBorders>
            <w:vAlign w:val="center"/>
            <w:hideMark/>
          </w:tcPr>
          <w:p w14:paraId="3845165C" w14:textId="77777777" w:rsidR="00C47BF8" w:rsidRPr="00C47BF8" w:rsidRDefault="00C47BF8" w:rsidP="00C47BF8">
            <w:pPr>
              <w:spacing w:after="0" w:line="240" w:lineRule="auto"/>
              <w:jc w:val="left"/>
              <w:rPr>
                <w:rFonts w:eastAsia="Times New Roman" w:cs="Arial"/>
                <w:color w:val="000000"/>
                <w:lang w:val="es-MX" w:eastAsia="es-MX" w:bidi="ar-SA"/>
              </w:rPr>
            </w:pPr>
          </w:p>
        </w:tc>
      </w:tr>
      <w:tr w:rsidR="00C47BF8" w:rsidRPr="00C47BF8" w14:paraId="6252680A" w14:textId="77777777" w:rsidTr="00C47BF8">
        <w:trPr>
          <w:trHeight w:val="51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7E13FFCE"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7C</w:t>
            </w:r>
          </w:p>
        </w:tc>
        <w:tc>
          <w:tcPr>
            <w:tcW w:w="0" w:type="auto"/>
            <w:tcBorders>
              <w:top w:val="nil"/>
              <w:left w:val="nil"/>
              <w:bottom w:val="single" w:sz="4" w:space="0" w:color="auto"/>
              <w:right w:val="single" w:sz="4" w:space="0" w:color="auto"/>
            </w:tcBorders>
            <w:shd w:val="clear" w:color="auto" w:fill="auto"/>
            <w:vAlign w:val="center"/>
            <w:hideMark/>
          </w:tcPr>
          <w:p w14:paraId="60498A4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Seguridad Vial</w:t>
            </w:r>
          </w:p>
        </w:tc>
        <w:tc>
          <w:tcPr>
            <w:tcW w:w="0" w:type="auto"/>
            <w:tcBorders>
              <w:top w:val="nil"/>
              <w:left w:val="nil"/>
              <w:bottom w:val="single" w:sz="4" w:space="0" w:color="auto"/>
              <w:right w:val="single" w:sz="4" w:space="0" w:color="auto"/>
            </w:tcBorders>
            <w:shd w:val="clear" w:color="000000" w:fill="F1F1F1"/>
            <w:vAlign w:val="center"/>
            <w:hideMark/>
          </w:tcPr>
          <w:p w14:paraId="004ABD2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7C01</w:t>
            </w:r>
          </w:p>
        </w:tc>
        <w:tc>
          <w:tcPr>
            <w:tcW w:w="0" w:type="auto"/>
            <w:tcBorders>
              <w:top w:val="nil"/>
              <w:left w:val="nil"/>
              <w:bottom w:val="single" w:sz="4" w:space="0" w:color="auto"/>
              <w:right w:val="single" w:sz="4" w:space="0" w:color="auto"/>
            </w:tcBorders>
            <w:shd w:val="clear" w:color="auto" w:fill="auto"/>
            <w:vAlign w:val="center"/>
            <w:hideMark/>
          </w:tcPr>
          <w:p w14:paraId="4E47689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Seguridad Vial</w:t>
            </w:r>
          </w:p>
        </w:tc>
        <w:tc>
          <w:tcPr>
            <w:tcW w:w="0" w:type="auto"/>
            <w:tcBorders>
              <w:top w:val="nil"/>
              <w:left w:val="nil"/>
              <w:bottom w:val="single" w:sz="4" w:space="0" w:color="auto"/>
              <w:right w:val="single" w:sz="4" w:space="0" w:color="auto"/>
            </w:tcBorders>
            <w:shd w:val="clear" w:color="auto" w:fill="auto"/>
            <w:vAlign w:val="center"/>
            <w:hideMark/>
          </w:tcPr>
          <w:p w14:paraId="248375FE"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Jefatura de Policía Preventiva y Tránsito Municipal</w:t>
            </w:r>
          </w:p>
        </w:tc>
      </w:tr>
      <w:tr w:rsidR="00C47BF8" w:rsidRPr="00C47BF8" w14:paraId="48A547BF" w14:textId="77777777" w:rsidTr="00C47BF8">
        <w:trPr>
          <w:trHeight w:val="51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E6E2E83"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7D</w:t>
            </w:r>
          </w:p>
        </w:tc>
        <w:tc>
          <w:tcPr>
            <w:tcW w:w="0" w:type="auto"/>
            <w:tcBorders>
              <w:top w:val="nil"/>
              <w:left w:val="nil"/>
              <w:bottom w:val="single" w:sz="4" w:space="0" w:color="auto"/>
              <w:right w:val="single" w:sz="4" w:space="0" w:color="auto"/>
            </w:tcBorders>
            <w:shd w:val="clear" w:color="auto" w:fill="auto"/>
            <w:vAlign w:val="center"/>
            <w:hideMark/>
          </w:tcPr>
          <w:p w14:paraId="33FB1A2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Energía y Cambio Climático</w:t>
            </w:r>
          </w:p>
        </w:tc>
        <w:tc>
          <w:tcPr>
            <w:tcW w:w="0" w:type="auto"/>
            <w:tcBorders>
              <w:top w:val="nil"/>
              <w:left w:val="nil"/>
              <w:bottom w:val="single" w:sz="4" w:space="0" w:color="auto"/>
              <w:right w:val="single" w:sz="4" w:space="0" w:color="auto"/>
            </w:tcBorders>
            <w:shd w:val="clear" w:color="000000" w:fill="F1F1F1"/>
            <w:vAlign w:val="center"/>
            <w:hideMark/>
          </w:tcPr>
          <w:p w14:paraId="432622D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7D01</w:t>
            </w:r>
          </w:p>
        </w:tc>
        <w:tc>
          <w:tcPr>
            <w:tcW w:w="0" w:type="auto"/>
            <w:tcBorders>
              <w:top w:val="nil"/>
              <w:left w:val="nil"/>
              <w:bottom w:val="single" w:sz="4" w:space="0" w:color="auto"/>
              <w:right w:val="single" w:sz="4" w:space="0" w:color="auto"/>
            </w:tcBorders>
            <w:shd w:val="clear" w:color="auto" w:fill="auto"/>
            <w:vAlign w:val="center"/>
            <w:hideMark/>
          </w:tcPr>
          <w:p w14:paraId="2913EE3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Alumbrado Público</w:t>
            </w:r>
          </w:p>
        </w:tc>
        <w:tc>
          <w:tcPr>
            <w:tcW w:w="0" w:type="auto"/>
            <w:tcBorders>
              <w:top w:val="nil"/>
              <w:left w:val="nil"/>
              <w:bottom w:val="single" w:sz="4" w:space="0" w:color="auto"/>
              <w:right w:val="single" w:sz="4" w:space="0" w:color="auto"/>
            </w:tcBorders>
            <w:shd w:val="clear" w:color="auto" w:fill="auto"/>
            <w:vAlign w:val="center"/>
            <w:hideMark/>
          </w:tcPr>
          <w:p w14:paraId="7CA7B3A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Agencia Municipal de Energía y Cambio Climático</w:t>
            </w:r>
          </w:p>
        </w:tc>
      </w:tr>
      <w:tr w:rsidR="00C47BF8" w:rsidRPr="00C47BF8" w14:paraId="7A84DA1E" w14:textId="77777777" w:rsidTr="00C47BF8">
        <w:trPr>
          <w:trHeight w:val="30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7BE37F1"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7E</w:t>
            </w:r>
          </w:p>
        </w:tc>
        <w:tc>
          <w:tcPr>
            <w:tcW w:w="0" w:type="auto"/>
            <w:tcBorders>
              <w:top w:val="nil"/>
              <w:left w:val="nil"/>
              <w:bottom w:val="single" w:sz="4" w:space="0" w:color="auto"/>
              <w:right w:val="single" w:sz="4" w:space="0" w:color="auto"/>
            </w:tcBorders>
            <w:shd w:val="clear" w:color="auto" w:fill="auto"/>
            <w:vAlign w:val="center"/>
            <w:hideMark/>
          </w:tcPr>
          <w:p w14:paraId="2774CBF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Mujer y Perspectiva de Género</w:t>
            </w:r>
          </w:p>
        </w:tc>
        <w:tc>
          <w:tcPr>
            <w:tcW w:w="0" w:type="auto"/>
            <w:tcBorders>
              <w:top w:val="nil"/>
              <w:left w:val="nil"/>
              <w:bottom w:val="single" w:sz="4" w:space="0" w:color="auto"/>
              <w:right w:val="single" w:sz="4" w:space="0" w:color="auto"/>
            </w:tcBorders>
            <w:shd w:val="clear" w:color="000000" w:fill="F1F1F1"/>
            <w:vAlign w:val="center"/>
            <w:hideMark/>
          </w:tcPr>
          <w:p w14:paraId="46C11A5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7E01</w:t>
            </w:r>
          </w:p>
        </w:tc>
        <w:tc>
          <w:tcPr>
            <w:tcW w:w="0" w:type="auto"/>
            <w:tcBorders>
              <w:top w:val="nil"/>
              <w:left w:val="nil"/>
              <w:bottom w:val="single" w:sz="4" w:space="0" w:color="auto"/>
              <w:right w:val="single" w:sz="4" w:space="0" w:color="auto"/>
            </w:tcBorders>
            <w:shd w:val="clear" w:color="auto" w:fill="auto"/>
            <w:vAlign w:val="center"/>
            <w:hideMark/>
          </w:tcPr>
          <w:p w14:paraId="791C7F7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Apoyo a la Mujer</w:t>
            </w:r>
          </w:p>
        </w:tc>
        <w:tc>
          <w:tcPr>
            <w:tcW w:w="0" w:type="auto"/>
            <w:tcBorders>
              <w:top w:val="nil"/>
              <w:left w:val="nil"/>
              <w:bottom w:val="single" w:sz="4" w:space="0" w:color="auto"/>
              <w:right w:val="single" w:sz="4" w:space="0" w:color="auto"/>
            </w:tcBorders>
            <w:shd w:val="clear" w:color="auto" w:fill="auto"/>
            <w:vAlign w:val="center"/>
            <w:hideMark/>
          </w:tcPr>
          <w:p w14:paraId="55535F8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Atención a la Mujer</w:t>
            </w:r>
          </w:p>
        </w:tc>
      </w:tr>
      <w:tr w:rsidR="00C47BF8" w:rsidRPr="00C47BF8" w14:paraId="4C10683F" w14:textId="77777777" w:rsidTr="00C47BF8">
        <w:trPr>
          <w:trHeight w:val="1050"/>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55B09873"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A2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D54ED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Administración de los Recursos Humanos, Materiales y Tecnológicos del Municipio</w:t>
            </w:r>
          </w:p>
        </w:tc>
        <w:tc>
          <w:tcPr>
            <w:tcW w:w="0" w:type="auto"/>
            <w:tcBorders>
              <w:top w:val="nil"/>
              <w:left w:val="nil"/>
              <w:bottom w:val="single" w:sz="4" w:space="0" w:color="auto"/>
              <w:right w:val="single" w:sz="4" w:space="0" w:color="auto"/>
            </w:tcBorders>
            <w:shd w:val="clear" w:color="000000" w:fill="F1F1F1"/>
            <w:vAlign w:val="center"/>
            <w:hideMark/>
          </w:tcPr>
          <w:p w14:paraId="7C3D75F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A201</w:t>
            </w:r>
          </w:p>
        </w:tc>
        <w:tc>
          <w:tcPr>
            <w:tcW w:w="0" w:type="auto"/>
            <w:tcBorders>
              <w:top w:val="nil"/>
              <w:left w:val="nil"/>
              <w:bottom w:val="single" w:sz="4" w:space="0" w:color="auto"/>
              <w:right w:val="single" w:sz="4" w:space="0" w:color="auto"/>
            </w:tcBorders>
            <w:shd w:val="clear" w:color="auto" w:fill="auto"/>
            <w:vAlign w:val="center"/>
            <w:hideMark/>
          </w:tcPr>
          <w:p w14:paraId="5CE4C25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Administración de los Recursos Humanos</w:t>
            </w:r>
          </w:p>
        </w:tc>
        <w:tc>
          <w:tcPr>
            <w:tcW w:w="0" w:type="auto"/>
            <w:tcBorders>
              <w:top w:val="nil"/>
              <w:left w:val="nil"/>
              <w:bottom w:val="single" w:sz="4" w:space="0" w:color="auto"/>
              <w:right w:val="single" w:sz="4" w:space="0" w:color="auto"/>
            </w:tcBorders>
            <w:shd w:val="clear" w:color="auto" w:fill="auto"/>
            <w:vAlign w:val="center"/>
            <w:hideMark/>
          </w:tcPr>
          <w:p w14:paraId="4EFFF2B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Oficialía Mayor</w:t>
            </w:r>
          </w:p>
        </w:tc>
      </w:tr>
      <w:tr w:rsidR="00C47BF8" w:rsidRPr="00C47BF8" w14:paraId="65A1E300"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2C7C1114"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2EA7FE17"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val="restart"/>
            <w:tcBorders>
              <w:top w:val="nil"/>
              <w:left w:val="single" w:sz="4" w:space="0" w:color="auto"/>
              <w:bottom w:val="single" w:sz="4" w:space="0" w:color="auto"/>
              <w:right w:val="single" w:sz="4" w:space="0" w:color="auto"/>
            </w:tcBorders>
            <w:shd w:val="clear" w:color="000000" w:fill="F1F1F1"/>
            <w:vAlign w:val="center"/>
            <w:hideMark/>
          </w:tcPr>
          <w:p w14:paraId="7DCB795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A202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FA04C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Administración</w:t>
            </w:r>
          </w:p>
        </w:tc>
        <w:tc>
          <w:tcPr>
            <w:tcW w:w="0" w:type="auto"/>
            <w:tcBorders>
              <w:top w:val="nil"/>
              <w:left w:val="nil"/>
              <w:bottom w:val="single" w:sz="4" w:space="0" w:color="auto"/>
              <w:right w:val="single" w:sz="4" w:space="0" w:color="auto"/>
            </w:tcBorders>
            <w:shd w:val="clear" w:color="auto" w:fill="auto"/>
            <w:vAlign w:val="center"/>
            <w:hideMark/>
          </w:tcPr>
          <w:p w14:paraId="6F95EC9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Oficialía Mayor</w:t>
            </w:r>
          </w:p>
        </w:tc>
      </w:tr>
      <w:tr w:rsidR="00C47BF8" w:rsidRPr="00C47BF8" w14:paraId="39131249"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0E8E63E0"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079A38EF"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4286D0E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49095B4D"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auto" w:fill="auto"/>
            <w:vAlign w:val="center"/>
            <w:hideMark/>
          </w:tcPr>
          <w:p w14:paraId="07007EF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Jefatura de Policía Preventiva y</w:t>
            </w:r>
          </w:p>
        </w:tc>
      </w:tr>
      <w:tr w:rsidR="00C47BF8" w:rsidRPr="00C47BF8" w14:paraId="48533603"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2BB1447A"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4A9CBA83"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79AC044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572D566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auto" w:fill="auto"/>
            <w:vAlign w:val="center"/>
            <w:hideMark/>
          </w:tcPr>
          <w:p w14:paraId="0158D79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Tránsito Municipal</w:t>
            </w:r>
          </w:p>
        </w:tc>
      </w:tr>
      <w:tr w:rsidR="00C47BF8" w:rsidRPr="00C47BF8" w14:paraId="42B578D8"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3B4BE47D"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698954B7"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5483F15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A203</w:t>
            </w:r>
          </w:p>
        </w:tc>
        <w:tc>
          <w:tcPr>
            <w:tcW w:w="0" w:type="auto"/>
            <w:tcBorders>
              <w:top w:val="nil"/>
              <w:left w:val="nil"/>
              <w:bottom w:val="single" w:sz="4" w:space="0" w:color="auto"/>
              <w:right w:val="single" w:sz="4" w:space="0" w:color="auto"/>
            </w:tcBorders>
            <w:shd w:val="clear" w:color="auto" w:fill="auto"/>
            <w:vAlign w:val="center"/>
            <w:hideMark/>
          </w:tcPr>
          <w:p w14:paraId="64CF1A1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Administración</w:t>
            </w:r>
          </w:p>
        </w:tc>
        <w:tc>
          <w:tcPr>
            <w:tcW w:w="0" w:type="auto"/>
            <w:tcBorders>
              <w:top w:val="nil"/>
              <w:left w:val="nil"/>
              <w:bottom w:val="single" w:sz="4" w:space="0" w:color="auto"/>
              <w:right w:val="single" w:sz="4" w:space="0" w:color="auto"/>
            </w:tcBorders>
            <w:shd w:val="clear" w:color="auto" w:fill="auto"/>
            <w:vAlign w:val="center"/>
            <w:hideMark/>
          </w:tcPr>
          <w:p w14:paraId="7828724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Oficialía Mayor</w:t>
            </w:r>
          </w:p>
        </w:tc>
      </w:tr>
      <w:tr w:rsidR="00C47BF8" w:rsidRPr="00C47BF8" w14:paraId="26583550"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46E9C8F7"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11CF850C"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612FE49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A204</w:t>
            </w:r>
          </w:p>
        </w:tc>
        <w:tc>
          <w:tcPr>
            <w:tcW w:w="0" w:type="auto"/>
            <w:tcBorders>
              <w:top w:val="nil"/>
              <w:left w:val="nil"/>
              <w:bottom w:val="single" w:sz="4" w:space="0" w:color="auto"/>
              <w:right w:val="single" w:sz="4" w:space="0" w:color="auto"/>
            </w:tcBorders>
            <w:shd w:val="clear" w:color="auto" w:fill="auto"/>
            <w:vAlign w:val="center"/>
            <w:hideMark/>
          </w:tcPr>
          <w:p w14:paraId="0562514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Administración</w:t>
            </w:r>
          </w:p>
        </w:tc>
        <w:tc>
          <w:tcPr>
            <w:tcW w:w="0" w:type="auto"/>
            <w:tcBorders>
              <w:top w:val="nil"/>
              <w:left w:val="nil"/>
              <w:bottom w:val="single" w:sz="4" w:space="0" w:color="auto"/>
              <w:right w:val="single" w:sz="4" w:space="0" w:color="auto"/>
            </w:tcBorders>
            <w:shd w:val="clear" w:color="auto" w:fill="auto"/>
            <w:vAlign w:val="center"/>
            <w:hideMark/>
          </w:tcPr>
          <w:p w14:paraId="27D4B60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Oficialía Mayor</w:t>
            </w:r>
          </w:p>
        </w:tc>
      </w:tr>
      <w:tr w:rsidR="00C47BF8" w:rsidRPr="00C47BF8" w14:paraId="40D33AAD" w14:textId="77777777" w:rsidTr="00C47BF8">
        <w:trPr>
          <w:trHeight w:val="75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210200D3"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AA</w:t>
            </w:r>
          </w:p>
        </w:tc>
        <w:tc>
          <w:tcPr>
            <w:tcW w:w="0" w:type="auto"/>
            <w:tcBorders>
              <w:top w:val="nil"/>
              <w:left w:val="nil"/>
              <w:bottom w:val="single" w:sz="4" w:space="0" w:color="auto"/>
              <w:right w:val="single" w:sz="4" w:space="0" w:color="auto"/>
            </w:tcBorders>
            <w:shd w:val="clear" w:color="auto" w:fill="auto"/>
            <w:vAlign w:val="center"/>
            <w:hideMark/>
          </w:tcPr>
          <w:p w14:paraId="64E6726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Conducción de las Políticas Generales de Gobierno</w:t>
            </w:r>
          </w:p>
        </w:tc>
        <w:tc>
          <w:tcPr>
            <w:tcW w:w="0" w:type="auto"/>
            <w:tcBorders>
              <w:top w:val="nil"/>
              <w:left w:val="nil"/>
              <w:bottom w:val="single" w:sz="4" w:space="0" w:color="auto"/>
              <w:right w:val="single" w:sz="4" w:space="0" w:color="auto"/>
            </w:tcBorders>
            <w:shd w:val="clear" w:color="000000" w:fill="F1F1F1"/>
            <w:vAlign w:val="center"/>
            <w:hideMark/>
          </w:tcPr>
          <w:p w14:paraId="77C075E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AA02</w:t>
            </w:r>
          </w:p>
        </w:tc>
        <w:tc>
          <w:tcPr>
            <w:tcW w:w="0" w:type="auto"/>
            <w:tcBorders>
              <w:top w:val="nil"/>
              <w:left w:val="nil"/>
              <w:bottom w:val="single" w:sz="4" w:space="0" w:color="auto"/>
              <w:right w:val="single" w:sz="4" w:space="0" w:color="auto"/>
            </w:tcBorders>
            <w:shd w:val="clear" w:color="auto" w:fill="auto"/>
            <w:vAlign w:val="center"/>
            <w:hideMark/>
          </w:tcPr>
          <w:p w14:paraId="2D78ACA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Asuntos del C. Presidente</w:t>
            </w:r>
          </w:p>
        </w:tc>
        <w:tc>
          <w:tcPr>
            <w:tcW w:w="0" w:type="auto"/>
            <w:tcBorders>
              <w:top w:val="nil"/>
              <w:left w:val="nil"/>
              <w:bottom w:val="single" w:sz="4" w:space="0" w:color="auto"/>
              <w:right w:val="single" w:sz="4" w:space="0" w:color="auto"/>
            </w:tcBorders>
            <w:shd w:val="clear" w:color="auto" w:fill="auto"/>
            <w:vAlign w:val="center"/>
            <w:hideMark/>
          </w:tcPr>
          <w:p w14:paraId="0984A5A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Jefatura de Oficina de la Presidencia Municipal</w:t>
            </w:r>
          </w:p>
        </w:tc>
      </w:tr>
      <w:tr w:rsidR="00C47BF8" w:rsidRPr="00C47BF8" w14:paraId="778F0352" w14:textId="77777777" w:rsidTr="00C47BF8">
        <w:trPr>
          <w:trHeight w:val="765"/>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27EDE3C"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AF</w:t>
            </w:r>
          </w:p>
        </w:tc>
        <w:tc>
          <w:tcPr>
            <w:tcW w:w="0" w:type="auto"/>
            <w:tcBorders>
              <w:top w:val="nil"/>
              <w:left w:val="nil"/>
              <w:bottom w:val="single" w:sz="4" w:space="0" w:color="auto"/>
              <w:right w:val="single" w:sz="4" w:space="0" w:color="auto"/>
            </w:tcBorders>
            <w:shd w:val="clear" w:color="auto" w:fill="auto"/>
            <w:vAlign w:val="center"/>
            <w:hideMark/>
          </w:tcPr>
          <w:p w14:paraId="5820600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Orientación, Actualización y Armonización del Marco Jurídico del Municipio</w:t>
            </w:r>
          </w:p>
        </w:tc>
        <w:tc>
          <w:tcPr>
            <w:tcW w:w="0" w:type="auto"/>
            <w:tcBorders>
              <w:top w:val="nil"/>
              <w:left w:val="nil"/>
              <w:bottom w:val="single" w:sz="4" w:space="0" w:color="auto"/>
              <w:right w:val="single" w:sz="4" w:space="0" w:color="auto"/>
            </w:tcBorders>
            <w:shd w:val="clear" w:color="000000" w:fill="F1F1F1"/>
            <w:vAlign w:val="center"/>
            <w:hideMark/>
          </w:tcPr>
          <w:p w14:paraId="6D113AF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AF01</w:t>
            </w:r>
          </w:p>
        </w:tc>
        <w:tc>
          <w:tcPr>
            <w:tcW w:w="0" w:type="auto"/>
            <w:tcBorders>
              <w:top w:val="nil"/>
              <w:left w:val="nil"/>
              <w:bottom w:val="single" w:sz="4" w:space="0" w:color="auto"/>
              <w:right w:val="single" w:sz="4" w:space="0" w:color="auto"/>
            </w:tcBorders>
            <w:shd w:val="clear" w:color="auto" w:fill="auto"/>
            <w:vAlign w:val="center"/>
            <w:hideMark/>
          </w:tcPr>
          <w:p w14:paraId="49103D0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Atención de Asuntos Gubernamentales y de Apoyo Técnico</w:t>
            </w:r>
          </w:p>
        </w:tc>
        <w:tc>
          <w:tcPr>
            <w:tcW w:w="0" w:type="auto"/>
            <w:tcBorders>
              <w:top w:val="nil"/>
              <w:left w:val="nil"/>
              <w:bottom w:val="single" w:sz="4" w:space="0" w:color="auto"/>
              <w:right w:val="single" w:sz="4" w:space="0" w:color="auto"/>
            </w:tcBorders>
            <w:shd w:val="clear" w:color="auto" w:fill="auto"/>
            <w:vAlign w:val="center"/>
            <w:hideMark/>
          </w:tcPr>
          <w:p w14:paraId="0F02C01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Coordinación General Jurídica</w:t>
            </w:r>
          </w:p>
        </w:tc>
      </w:tr>
      <w:tr w:rsidR="00C47BF8" w:rsidRPr="00C47BF8" w14:paraId="03DE4E7F" w14:textId="77777777" w:rsidTr="00C47BF8">
        <w:trPr>
          <w:trHeight w:val="96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447F5501"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AK</w:t>
            </w:r>
          </w:p>
        </w:tc>
        <w:tc>
          <w:tcPr>
            <w:tcW w:w="0" w:type="auto"/>
            <w:tcBorders>
              <w:top w:val="nil"/>
              <w:left w:val="nil"/>
              <w:bottom w:val="single" w:sz="4" w:space="0" w:color="auto"/>
              <w:right w:val="single" w:sz="4" w:space="0" w:color="auto"/>
            </w:tcBorders>
            <w:shd w:val="clear" w:color="auto" w:fill="auto"/>
            <w:vAlign w:val="center"/>
            <w:hideMark/>
          </w:tcPr>
          <w:p w14:paraId="63ECD6B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Fortalecimiento de la Comunicación y Difusión Institucional</w:t>
            </w:r>
          </w:p>
        </w:tc>
        <w:tc>
          <w:tcPr>
            <w:tcW w:w="0" w:type="auto"/>
            <w:tcBorders>
              <w:top w:val="nil"/>
              <w:left w:val="nil"/>
              <w:bottom w:val="single" w:sz="4" w:space="0" w:color="auto"/>
              <w:right w:val="single" w:sz="4" w:space="0" w:color="auto"/>
            </w:tcBorders>
            <w:shd w:val="clear" w:color="000000" w:fill="F1F1F1"/>
            <w:vAlign w:val="center"/>
            <w:hideMark/>
          </w:tcPr>
          <w:p w14:paraId="0FF5EBA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AK01</w:t>
            </w:r>
          </w:p>
        </w:tc>
        <w:tc>
          <w:tcPr>
            <w:tcW w:w="0" w:type="auto"/>
            <w:tcBorders>
              <w:top w:val="nil"/>
              <w:left w:val="nil"/>
              <w:bottom w:val="single" w:sz="4" w:space="0" w:color="auto"/>
              <w:right w:val="single" w:sz="4" w:space="0" w:color="auto"/>
            </w:tcBorders>
            <w:shd w:val="clear" w:color="auto" w:fill="auto"/>
            <w:vAlign w:val="center"/>
            <w:hideMark/>
          </w:tcPr>
          <w:p w14:paraId="685EDA0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Conducción y Ejecución de la Política de Comunicación Social</w:t>
            </w:r>
          </w:p>
        </w:tc>
        <w:tc>
          <w:tcPr>
            <w:tcW w:w="0" w:type="auto"/>
            <w:tcBorders>
              <w:top w:val="nil"/>
              <w:left w:val="nil"/>
              <w:bottom w:val="single" w:sz="4" w:space="0" w:color="auto"/>
              <w:right w:val="single" w:sz="4" w:space="0" w:color="auto"/>
            </w:tcBorders>
            <w:shd w:val="clear" w:color="auto" w:fill="auto"/>
            <w:vAlign w:val="center"/>
            <w:hideMark/>
          </w:tcPr>
          <w:p w14:paraId="19DE653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Comunicación Social</w:t>
            </w:r>
          </w:p>
        </w:tc>
      </w:tr>
      <w:tr w:rsidR="00C47BF8" w:rsidRPr="00C47BF8" w14:paraId="56038783" w14:textId="77777777" w:rsidTr="00C47BF8">
        <w:trPr>
          <w:trHeight w:val="795"/>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02760B3F"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lastRenderedPageBreak/>
              <w:t>AM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9A30B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Infraestructura y Equipamiento para el Desarrollo Urbano</w:t>
            </w:r>
          </w:p>
        </w:tc>
        <w:tc>
          <w:tcPr>
            <w:tcW w:w="0" w:type="auto"/>
            <w:vMerge w:val="restart"/>
            <w:tcBorders>
              <w:top w:val="nil"/>
              <w:left w:val="single" w:sz="4" w:space="0" w:color="auto"/>
              <w:bottom w:val="single" w:sz="4" w:space="0" w:color="auto"/>
              <w:right w:val="single" w:sz="4" w:space="0" w:color="auto"/>
            </w:tcBorders>
            <w:shd w:val="clear" w:color="000000" w:fill="F1F1F1"/>
            <w:vAlign w:val="center"/>
            <w:hideMark/>
          </w:tcPr>
          <w:p w14:paraId="074B217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AM01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4EB16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Construcción y Rehabilitación de Infraestructura</w:t>
            </w:r>
          </w:p>
        </w:tc>
        <w:tc>
          <w:tcPr>
            <w:tcW w:w="0" w:type="auto"/>
            <w:tcBorders>
              <w:top w:val="nil"/>
              <w:left w:val="nil"/>
              <w:bottom w:val="single" w:sz="4" w:space="0" w:color="auto"/>
              <w:right w:val="single" w:sz="4" w:space="0" w:color="auto"/>
            </w:tcBorders>
            <w:shd w:val="clear" w:color="auto" w:fill="auto"/>
            <w:vAlign w:val="center"/>
            <w:hideMark/>
          </w:tcPr>
          <w:p w14:paraId="2DF974D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Desarrollo de Infraestructura</w:t>
            </w:r>
          </w:p>
        </w:tc>
      </w:tr>
      <w:tr w:rsidR="00C47BF8" w:rsidRPr="00C47BF8" w14:paraId="1817854E"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607283A8"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2431A06B"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1EE4014A"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2C12343F"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nil"/>
              <w:right w:val="single" w:sz="4" w:space="0" w:color="auto"/>
            </w:tcBorders>
            <w:shd w:val="clear" w:color="auto" w:fill="auto"/>
            <w:vAlign w:val="center"/>
            <w:hideMark/>
          </w:tcPr>
          <w:p w14:paraId="516B2FD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Consejo Municipal para la Concertación de la Obra Pública</w:t>
            </w:r>
          </w:p>
        </w:tc>
      </w:tr>
      <w:tr w:rsidR="00C47BF8" w:rsidRPr="00C47BF8" w14:paraId="28118A83" w14:textId="77777777" w:rsidTr="00C47BF8">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5961C346"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E1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8D284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Ecología</w:t>
            </w:r>
          </w:p>
        </w:tc>
        <w:tc>
          <w:tcPr>
            <w:tcW w:w="0" w:type="auto"/>
            <w:tcBorders>
              <w:top w:val="single" w:sz="4" w:space="0" w:color="auto"/>
              <w:left w:val="nil"/>
              <w:bottom w:val="single" w:sz="4" w:space="0" w:color="auto"/>
              <w:right w:val="single" w:sz="4" w:space="0" w:color="auto"/>
            </w:tcBorders>
            <w:shd w:val="clear" w:color="000000" w:fill="F1F1F1"/>
            <w:vAlign w:val="center"/>
            <w:hideMark/>
          </w:tcPr>
          <w:p w14:paraId="404EE91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E101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50BAC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Ecología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1AFAB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Agencia Municipal de Energía y Cambio Climático</w:t>
            </w:r>
          </w:p>
        </w:tc>
      </w:tr>
      <w:tr w:rsidR="00C47BF8" w:rsidRPr="00C47BF8" w14:paraId="2B65D385" w14:textId="77777777" w:rsidTr="00C47BF8">
        <w:trPr>
          <w:trHeight w:val="765"/>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43FB8E5E"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AP</w:t>
            </w:r>
          </w:p>
        </w:tc>
        <w:tc>
          <w:tcPr>
            <w:tcW w:w="0" w:type="auto"/>
            <w:tcBorders>
              <w:top w:val="nil"/>
              <w:left w:val="nil"/>
              <w:bottom w:val="single" w:sz="4" w:space="0" w:color="auto"/>
              <w:right w:val="single" w:sz="4" w:space="0" w:color="auto"/>
            </w:tcBorders>
            <w:shd w:val="clear" w:color="auto" w:fill="auto"/>
            <w:vAlign w:val="center"/>
            <w:hideMark/>
          </w:tcPr>
          <w:p w14:paraId="249190A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Atención y Participación Ciudadana</w:t>
            </w:r>
          </w:p>
        </w:tc>
        <w:tc>
          <w:tcPr>
            <w:tcW w:w="0" w:type="auto"/>
            <w:tcBorders>
              <w:top w:val="nil"/>
              <w:left w:val="nil"/>
              <w:bottom w:val="single" w:sz="4" w:space="0" w:color="auto"/>
              <w:right w:val="single" w:sz="4" w:space="0" w:color="auto"/>
            </w:tcBorders>
            <w:shd w:val="clear" w:color="000000" w:fill="F1F1F1"/>
            <w:vAlign w:val="center"/>
            <w:hideMark/>
          </w:tcPr>
          <w:p w14:paraId="7F663A3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AP01</w:t>
            </w:r>
          </w:p>
        </w:tc>
        <w:tc>
          <w:tcPr>
            <w:tcW w:w="0" w:type="auto"/>
            <w:tcBorders>
              <w:top w:val="nil"/>
              <w:left w:val="nil"/>
              <w:bottom w:val="single" w:sz="4" w:space="0" w:color="auto"/>
              <w:right w:val="single" w:sz="4" w:space="0" w:color="auto"/>
            </w:tcBorders>
            <w:shd w:val="clear" w:color="auto" w:fill="auto"/>
            <w:vAlign w:val="center"/>
            <w:hideMark/>
          </w:tcPr>
          <w:p w14:paraId="0FD445F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Atención y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5D8DFE6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Jefatura de Oficina de la Presidencia Municipal</w:t>
            </w:r>
          </w:p>
        </w:tc>
      </w:tr>
      <w:tr w:rsidR="00C47BF8" w:rsidRPr="00C47BF8" w14:paraId="5F8EBC29" w14:textId="77777777" w:rsidTr="00C47BF8">
        <w:trPr>
          <w:trHeight w:val="300"/>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7C7052D4"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BQ</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26941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Prevención del Delito</w:t>
            </w:r>
          </w:p>
        </w:tc>
        <w:tc>
          <w:tcPr>
            <w:tcW w:w="0" w:type="auto"/>
            <w:tcBorders>
              <w:top w:val="nil"/>
              <w:left w:val="nil"/>
              <w:bottom w:val="single" w:sz="4" w:space="0" w:color="auto"/>
              <w:right w:val="single" w:sz="4" w:space="0" w:color="auto"/>
            </w:tcBorders>
            <w:shd w:val="clear" w:color="000000" w:fill="F1F1F1"/>
            <w:vAlign w:val="center"/>
            <w:hideMark/>
          </w:tcPr>
          <w:p w14:paraId="6F0C009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BQ01</w:t>
            </w:r>
          </w:p>
        </w:tc>
        <w:tc>
          <w:tcPr>
            <w:tcW w:w="0" w:type="auto"/>
            <w:tcBorders>
              <w:top w:val="nil"/>
              <w:left w:val="nil"/>
              <w:bottom w:val="single" w:sz="4" w:space="0" w:color="auto"/>
              <w:right w:val="single" w:sz="4" w:space="0" w:color="auto"/>
            </w:tcBorders>
            <w:shd w:val="clear" w:color="auto" w:fill="auto"/>
            <w:vAlign w:val="center"/>
            <w:hideMark/>
          </w:tcPr>
          <w:p w14:paraId="3A803AD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Vigilancia</w:t>
            </w:r>
          </w:p>
        </w:tc>
        <w:tc>
          <w:tcPr>
            <w:tcW w:w="0" w:type="auto"/>
            <w:tcBorders>
              <w:top w:val="nil"/>
              <w:left w:val="nil"/>
              <w:bottom w:val="single" w:sz="4" w:space="0" w:color="auto"/>
              <w:right w:val="single" w:sz="4" w:space="0" w:color="auto"/>
            </w:tcBorders>
            <w:shd w:val="clear" w:color="auto" w:fill="auto"/>
            <w:vAlign w:val="center"/>
            <w:hideMark/>
          </w:tcPr>
          <w:p w14:paraId="645D04D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Seguridad Pública</w:t>
            </w:r>
          </w:p>
        </w:tc>
      </w:tr>
      <w:tr w:rsidR="00C47BF8" w:rsidRPr="00C47BF8" w14:paraId="098D595D" w14:textId="77777777" w:rsidTr="00C47BF8">
        <w:trPr>
          <w:trHeight w:val="765"/>
        </w:trPr>
        <w:tc>
          <w:tcPr>
            <w:tcW w:w="0" w:type="auto"/>
            <w:vMerge/>
            <w:tcBorders>
              <w:top w:val="nil"/>
              <w:left w:val="single" w:sz="4" w:space="0" w:color="auto"/>
              <w:bottom w:val="single" w:sz="4" w:space="0" w:color="auto"/>
              <w:right w:val="single" w:sz="4" w:space="0" w:color="auto"/>
            </w:tcBorders>
            <w:vAlign w:val="center"/>
            <w:hideMark/>
          </w:tcPr>
          <w:p w14:paraId="01D562DD"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723E7653"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614E374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BQ02</w:t>
            </w:r>
          </w:p>
        </w:tc>
        <w:tc>
          <w:tcPr>
            <w:tcW w:w="0" w:type="auto"/>
            <w:tcBorders>
              <w:top w:val="nil"/>
              <w:left w:val="nil"/>
              <w:bottom w:val="single" w:sz="4" w:space="0" w:color="auto"/>
              <w:right w:val="single" w:sz="4" w:space="0" w:color="auto"/>
            </w:tcBorders>
            <w:shd w:val="clear" w:color="auto" w:fill="auto"/>
            <w:vAlign w:val="center"/>
            <w:hideMark/>
          </w:tcPr>
          <w:p w14:paraId="10AB899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Prevención y Aplicación a Menores Infractores</w:t>
            </w:r>
          </w:p>
        </w:tc>
        <w:tc>
          <w:tcPr>
            <w:tcW w:w="0" w:type="auto"/>
            <w:tcBorders>
              <w:top w:val="nil"/>
              <w:left w:val="nil"/>
              <w:bottom w:val="single" w:sz="4" w:space="0" w:color="auto"/>
              <w:right w:val="single" w:sz="4" w:space="0" w:color="auto"/>
            </w:tcBorders>
            <w:shd w:val="clear" w:color="auto" w:fill="auto"/>
            <w:vAlign w:val="center"/>
            <w:hideMark/>
          </w:tcPr>
          <w:p w14:paraId="1FC9534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Seguridad Pública</w:t>
            </w:r>
          </w:p>
        </w:tc>
      </w:tr>
      <w:tr w:rsidR="00C47BF8" w:rsidRPr="00C47BF8" w14:paraId="27FF309E"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0EA9F498"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29191A5A"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4314ABD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BQ03</w:t>
            </w:r>
          </w:p>
        </w:tc>
        <w:tc>
          <w:tcPr>
            <w:tcW w:w="0" w:type="auto"/>
            <w:tcBorders>
              <w:top w:val="nil"/>
              <w:left w:val="nil"/>
              <w:bottom w:val="single" w:sz="4" w:space="0" w:color="auto"/>
              <w:right w:val="single" w:sz="4" w:space="0" w:color="auto"/>
            </w:tcBorders>
            <w:shd w:val="clear" w:color="auto" w:fill="auto"/>
            <w:vAlign w:val="center"/>
            <w:hideMark/>
          </w:tcPr>
          <w:p w14:paraId="0B1112F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Bahía de Kino</w:t>
            </w:r>
          </w:p>
        </w:tc>
        <w:tc>
          <w:tcPr>
            <w:tcW w:w="0" w:type="auto"/>
            <w:tcBorders>
              <w:top w:val="nil"/>
              <w:left w:val="nil"/>
              <w:bottom w:val="single" w:sz="4" w:space="0" w:color="auto"/>
              <w:right w:val="single" w:sz="4" w:space="0" w:color="auto"/>
            </w:tcBorders>
            <w:shd w:val="clear" w:color="auto" w:fill="auto"/>
            <w:vAlign w:val="center"/>
            <w:hideMark/>
          </w:tcPr>
          <w:p w14:paraId="2911B95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Seguridad Pública</w:t>
            </w:r>
          </w:p>
        </w:tc>
      </w:tr>
      <w:tr w:rsidR="00C47BF8" w:rsidRPr="00C47BF8" w14:paraId="02AE8146"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03F8EF39"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7FFE1EAB"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52EB727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BQ04</w:t>
            </w:r>
          </w:p>
        </w:tc>
        <w:tc>
          <w:tcPr>
            <w:tcW w:w="0" w:type="auto"/>
            <w:tcBorders>
              <w:top w:val="nil"/>
              <w:left w:val="nil"/>
              <w:bottom w:val="single" w:sz="4" w:space="0" w:color="auto"/>
              <w:right w:val="single" w:sz="4" w:space="0" w:color="auto"/>
            </w:tcBorders>
            <w:shd w:val="clear" w:color="auto" w:fill="auto"/>
            <w:vAlign w:val="center"/>
            <w:hideMark/>
          </w:tcPr>
          <w:p w14:paraId="2D93323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Miguel Alemán</w:t>
            </w:r>
          </w:p>
        </w:tc>
        <w:tc>
          <w:tcPr>
            <w:tcW w:w="0" w:type="auto"/>
            <w:tcBorders>
              <w:top w:val="nil"/>
              <w:left w:val="nil"/>
              <w:bottom w:val="single" w:sz="4" w:space="0" w:color="auto"/>
              <w:right w:val="single" w:sz="4" w:space="0" w:color="auto"/>
            </w:tcBorders>
            <w:shd w:val="clear" w:color="auto" w:fill="auto"/>
            <w:vAlign w:val="center"/>
            <w:hideMark/>
          </w:tcPr>
          <w:p w14:paraId="02FB6DC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Seguridad Pública</w:t>
            </w:r>
          </w:p>
        </w:tc>
      </w:tr>
      <w:tr w:rsidR="00C47BF8" w:rsidRPr="00C47BF8" w14:paraId="2456DF01" w14:textId="77777777" w:rsidTr="00C47BF8">
        <w:trPr>
          <w:trHeight w:val="1275"/>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7BA20D15"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D1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DCC76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Desarrollo de la Función Pública y Combate a la Corrupción</w:t>
            </w:r>
          </w:p>
        </w:tc>
        <w:tc>
          <w:tcPr>
            <w:tcW w:w="0" w:type="auto"/>
            <w:tcBorders>
              <w:top w:val="nil"/>
              <w:left w:val="nil"/>
              <w:bottom w:val="single" w:sz="4" w:space="0" w:color="auto"/>
              <w:right w:val="single" w:sz="4" w:space="0" w:color="auto"/>
            </w:tcBorders>
            <w:shd w:val="clear" w:color="000000" w:fill="F1F1F1"/>
            <w:vAlign w:val="center"/>
            <w:hideMark/>
          </w:tcPr>
          <w:p w14:paraId="3AD97DA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D101</w:t>
            </w:r>
          </w:p>
        </w:tc>
        <w:tc>
          <w:tcPr>
            <w:tcW w:w="0" w:type="auto"/>
            <w:tcBorders>
              <w:top w:val="nil"/>
              <w:left w:val="nil"/>
              <w:bottom w:val="single" w:sz="4" w:space="0" w:color="auto"/>
              <w:right w:val="single" w:sz="4" w:space="0" w:color="auto"/>
            </w:tcBorders>
            <w:shd w:val="clear" w:color="auto" w:fill="auto"/>
            <w:vAlign w:val="center"/>
            <w:hideMark/>
          </w:tcPr>
          <w:p w14:paraId="44B71A7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Registro de Bienes Patrimoniales de Funcionarios e Investigación de Responsabilidades</w:t>
            </w:r>
          </w:p>
        </w:tc>
        <w:tc>
          <w:tcPr>
            <w:tcW w:w="0" w:type="auto"/>
            <w:tcBorders>
              <w:top w:val="nil"/>
              <w:left w:val="nil"/>
              <w:bottom w:val="single" w:sz="4" w:space="0" w:color="auto"/>
              <w:right w:val="single" w:sz="4" w:space="0" w:color="auto"/>
            </w:tcBorders>
            <w:shd w:val="clear" w:color="auto" w:fill="auto"/>
            <w:vAlign w:val="center"/>
            <w:hideMark/>
          </w:tcPr>
          <w:p w14:paraId="3F7FC93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Órgano de Control y Evaluación Gubernamental</w:t>
            </w:r>
          </w:p>
        </w:tc>
      </w:tr>
      <w:tr w:rsidR="00C47BF8" w:rsidRPr="00C47BF8" w14:paraId="2AFA3954"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33B600A8"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6843F7F5"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128C646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D102</w:t>
            </w:r>
          </w:p>
        </w:tc>
        <w:tc>
          <w:tcPr>
            <w:tcW w:w="0" w:type="auto"/>
            <w:tcBorders>
              <w:top w:val="nil"/>
              <w:left w:val="nil"/>
              <w:bottom w:val="single" w:sz="4" w:space="0" w:color="auto"/>
              <w:right w:val="single" w:sz="4" w:space="0" w:color="auto"/>
            </w:tcBorders>
            <w:shd w:val="clear" w:color="auto" w:fill="auto"/>
            <w:vAlign w:val="center"/>
            <w:hideMark/>
          </w:tcPr>
          <w:p w14:paraId="2EF544B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Contraloría Social</w:t>
            </w:r>
          </w:p>
        </w:tc>
        <w:tc>
          <w:tcPr>
            <w:tcW w:w="0" w:type="auto"/>
            <w:tcBorders>
              <w:top w:val="nil"/>
              <w:left w:val="nil"/>
              <w:bottom w:val="single" w:sz="4" w:space="0" w:color="auto"/>
              <w:right w:val="single" w:sz="4" w:space="0" w:color="auto"/>
            </w:tcBorders>
            <w:shd w:val="clear" w:color="auto" w:fill="auto"/>
            <w:vAlign w:val="center"/>
            <w:hideMark/>
          </w:tcPr>
          <w:p w14:paraId="125A3D9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Órgano de Control y Evaluación Gubernamental</w:t>
            </w:r>
          </w:p>
        </w:tc>
      </w:tr>
      <w:tr w:rsidR="00C47BF8" w:rsidRPr="00C47BF8" w14:paraId="378D9914"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5C761312"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38C6854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32F4230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D103</w:t>
            </w:r>
          </w:p>
        </w:tc>
        <w:tc>
          <w:tcPr>
            <w:tcW w:w="0" w:type="auto"/>
            <w:tcBorders>
              <w:top w:val="nil"/>
              <w:left w:val="nil"/>
              <w:bottom w:val="single" w:sz="4" w:space="0" w:color="auto"/>
              <w:right w:val="single" w:sz="4" w:space="0" w:color="auto"/>
            </w:tcBorders>
            <w:shd w:val="clear" w:color="auto" w:fill="auto"/>
            <w:vAlign w:val="center"/>
            <w:hideMark/>
          </w:tcPr>
          <w:p w14:paraId="5AEF9CE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Auditoría</w:t>
            </w:r>
          </w:p>
        </w:tc>
        <w:tc>
          <w:tcPr>
            <w:tcW w:w="0" w:type="auto"/>
            <w:tcBorders>
              <w:top w:val="nil"/>
              <w:left w:val="nil"/>
              <w:bottom w:val="single" w:sz="4" w:space="0" w:color="auto"/>
              <w:right w:val="single" w:sz="4" w:space="0" w:color="auto"/>
            </w:tcBorders>
            <w:shd w:val="clear" w:color="auto" w:fill="auto"/>
            <w:vAlign w:val="center"/>
            <w:hideMark/>
          </w:tcPr>
          <w:p w14:paraId="356324F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Órgano de Control y Evaluación Gubernamental</w:t>
            </w:r>
          </w:p>
        </w:tc>
      </w:tr>
      <w:tr w:rsidR="00C47BF8" w:rsidRPr="00C47BF8" w14:paraId="7715C916"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4E367872"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1AB781A3"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0CF503F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D104</w:t>
            </w:r>
          </w:p>
        </w:tc>
        <w:tc>
          <w:tcPr>
            <w:tcW w:w="0" w:type="auto"/>
            <w:tcBorders>
              <w:top w:val="nil"/>
              <w:left w:val="nil"/>
              <w:bottom w:val="single" w:sz="4" w:space="0" w:color="auto"/>
              <w:right w:val="single" w:sz="4" w:space="0" w:color="auto"/>
            </w:tcBorders>
            <w:shd w:val="clear" w:color="auto" w:fill="auto"/>
            <w:vAlign w:val="center"/>
            <w:hideMark/>
          </w:tcPr>
          <w:p w14:paraId="2EA6B61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Procesos Administrativos</w:t>
            </w:r>
          </w:p>
        </w:tc>
        <w:tc>
          <w:tcPr>
            <w:tcW w:w="0" w:type="auto"/>
            <w:tcBorders>
              <w:top w:val="nil"/>
              <w:left w:val="nil"/>
              <w:bottom w:val="single" w:sz="4" w:space="0" w:color="auto"/>
              <w:right w:val="single" w:sz="4" w:space="0" w:color="auto"/>
            </w:tcBorders>
            <w:shd w:val="clear" w:color="auto" w:fill="auto"/>
            <w:vAlign w:val="center"/>
            <w:hideMark/>
          </w:tcPr>
          <w:p w14:paraId="4CA528A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Órgano de Control y Evaluación Gubernamental</w:t>
            </w:r>
          </w:p>
        </w:tc>
      </w:tr>
      <w:tr w:rsidR="00C47BF8" w:rsidRPr="00C47BF8" w14:paraId="577A3B67"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19D04E33"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6754C215"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39A68B6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D105</w:t>
            </w:r>
          </w:p>
        </w:tc>
        <w:tc>
          <w:tcPr>
            <w:tcW w:w="0" w:type="auto"/>
            <w:tcBorders>
              <w:top w:val="nil"/>
              <w:left w:val="nil"/>
              <w:bottom w:val="single" w:sz="4" w:space="0" w:color="auto"/>
              <w:right w:val="single" w:sz="4" w:space="0" w:color="auto"/>
            </w:tcBorders>
            <w:shd w:val="clear" w:color="auto" w:fill="auto"/>
            <w:vAlign w:val="center"/>
            <w:hideMark/>
          </w:tcPr>
          <w:p w14:paraId="453DC35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Investigación de Responsabilidades</w:t>
            </w:r>
          </w:p>
        </w:tc>
        <w:tc>
          <w:tcPr>
            <w:tcW w:w="0" w:type="auto"/>
            <w:tcBorders>
              <w:top w:val="nil"/>
              <w:left w:val="nil"/>
              <w:bottom w:val="single" w:sz="4" w:space="0" w:color="auto"/>
              <w:right w:val="single" w:sz="4" w:space="0" w:color="auto"/>
            </w:tcBorders>
            <w:shd w:val="clear" w:color="auto" w:fill="auto"/>
            <w:vAlign w:val="center"/>
            <w:hideMark/>
          </w:tcPr>
          <w:p w14:paraId="6D7C5FF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Órgano de Control y Evaluación Gubernamental</w:t>
            </w:r>
          </w:p>
        </w:tc>
      </w:tr>
      <w:tr w:rsidR="00C47BF8" w:rsidRPr="00C47BF8" w14:paraId="79490CDF"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0745D2EF"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1CB9DF9C"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21C433C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D106</w:t>
            </w:r>
          </w:p>
        </w:tc>
        <w:tc>
          <w:tcPr>
            <w:tcW w:w="0" w:type="auto"/>
            <w:tcBorders>
              <w:top w:val="nil"/>
              <w:left w:val="nil"/>
              <w:bottom w:val="single" w:sz="4" w:space="0" w:color="auto"/>
              <w:right w:val="single" w:sz="4" w:space="0" w:color="auto"/>
            </w:tcBorders>
            <w:shd w:val="clear" w:color="auto" w:fill="auto"/>
            <w:vAlign w:val="center"/>
            <w:hideMark/>
          </w:tcPr>
          <w:p w14:paraId="7F02ED1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Resolución de Investigaciones</w:t>
            </w:r>
          </w:p>
        </w:tc>
        <w:tc>
          <w:tcPr>
            <w:tcW w:w="0" w:type="auto"/>
            <w:tcBorders>
              <w:top w:val="nil"/>
              <w:left w:val="nil"/>
              <w:bottom w:val="single" w:sz="4" w:space="0" w:color="auto"/>
              <w:right w:val="single" w:sz="4" w:space="0" w:color="auto"/>
            </w:tcBorders>
            <w:shd w:val="clear" w:color="auto" w:fill="auto"/>
            <w:vAlign w:val="center"/>
            <w:hideMark/>
          </w:tcPr>
          <w:p w14:paraId="2E4DC9F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Órgano de Control y Evaluación Gubernamental</w:t>
            </w:r>
          </w:p>
        </w:tc>
      </w:tr>
      <w:tr w:rsidR="00C47BF8" w:rsidRPr="00C47BF8" w14:paraId="20C7250E" w14:textId="77777777" w:rsidTr="00C47BF8">
        <w:trPr>
          <w:trHeight w:val="51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27FBD8D"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lastRenderedPageBreak/>
              <w:t>D8</w:t>
            </w:r>
          </w:p>
        </w:tc>
        <w:tc>
          <w:tcPr>
            <w:tcW w:w="0" w:type="auto"/>
            <w:tcBorders>
              <w:top w:val="nil"/>
              <w:left w:val="nil"/>
              <w:bottom w:val="single" w:sz="4" w:space="0" w:color="auto"/>
              <w:right w:val="single" w:sz="4" w:space="0" w:color="auto"/>
            </w:tcBorders>
            <w:shd w:val="clear" w:color="auto" w:fill="auto"/>
            <w:vAlign w:val="center"/>
            <w:hideMark/>
          </w:tcPr>
          <w:p w14:paraId="79978B7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Transparencia y Acceso a la Información Pública</w:t>
            </w:r>
          </w:p>
        </w:tc>
        <w:tc>
          <w:tcPr>
            <w:tcW w:w="0" w:type="auto"/>
            <w:tcBorders>
              <w:top w:val="nil"/>
              <w:left w:val="nil"/>
              <w:bottom w:val="single" w:sz="4" w:space="0" w:color="auto"/>
              <w:right w:val="single" w:sz="4" w:space="0" w:color="auto"/>
            </w:tcBorders>
            <w:shd w:val="clear" w:color="000000" w:fill="F1F1F1"/>
            <w:vAlign w:val="center"/>
            <w:hideMark/>
          </w:tcPr>
          <w:p w14:paraId="45CEF5E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D801</w:t>
            </w:r>
          </w:p>
        </w:tc>
        <w:tc>
          <w:tcPr>
            <w:tcW w:w="0" w:type="auto"/>
            <w:tcBorders>
              <w:top w:val="nil"/>
              <w:left w:val="nil"/>
              <w:bottom w:val="single" w:sz="4" w:space="0" w:color="auto"/>
              <w:right w:val="single" w:sz="4" w:space="0" w:color="auto"/>
            </w:tcBorders>
            <w:shd w:val="clear" w:color="auto" w:fill="auto"/>
            <w:vAlign w:val="center"/>
            <w:hideMark/>
          </w:tcPr>
          <w:p w14:paraId="2FBC986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Transparencia</w:t>
            </w:r>
          </w:p>
        </w:tc>
        <w:tc>
          <w:tcPr>
            <w:tcW w:w="0" w:type="auto"/>
            <w:tcBorders>
              <w:top w:val="nil"/>
              <w:left w:val="nil"/>
              <w:bottom w:val="single" w:sz="4" w:space="0" w:color="auto"/>
              <w:right w:val="single" w:sz="4" w:space="0" w:color="auto"/>
            </w:tcBorders>
            <w:shd w:val="clear" w:color="auto" w:fill="auto"/>
            <w:vAlign w:val="center"/>
            <w:hideMark/>
          </w:tcPr>
          <w:p w14:paraId="712E859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Jefatura de Oficina de la Presidencia Municipal</w:t>
            </w:r>
          </w:p>
        </w:tc>
      </w:tr>
      <w:tr w:rsidR="00C47BF8" w:rsidRPr="00C47BF8" w14:paraId="64717805" w14:textId="77777777" w:rsidTr="00C47BF8">
        <w:trPr>
          <w:trHeight w:val="300"/>
        </w:trPr>
        <w:tc>
          <w:tcPr>
            <w:tcW w:w="0" w:type="auto"/>
            <w:vMerge w:val="restart"/>
            <w:tcBorders>
              <w:top w:val="nil"/>
              <w:left w:val="single" w:sz="4" w:space="0" w:color="auto"/>
              <w:bottom w:val="single" w:sz="4" w:space="0" w:color="auto"/>
              <w:right w:val="single" w:sz="4" w:space="0" w:color="auto"/>
            </w:tcBorders>
            <w:shd w:val="clear" w:color="000000" w:fill="E7E6E6"/>
            <w:vAlign w:val="center"/>
            <w:hideMark/>
          </w:tcPr>
          <w:p w14:paraId="12E55D09"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DQ</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2ED8A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Hacienda Pública Municipal</w:t>
            </w:r>
          </w:p>
        </w:tc>
        <w:tc>
          <w:tcPr>
            <w:tcW w:w="0" w:type="auto"/>
            <w:tcBorders>
              <w:top w:val="nil"/>
              <w:left w:val="nil"/>
              <w:bottom w:val="single" w:sz="4" w:space="0" w:color="auto"/>
              <w:right w:val="single" w:sz="4" w:space="0" w:color="auto"/>
            </w:tcBorders>
            <w:shd w:val="clear" w:color="000000" w:fill="F1F1F1"/>
            <w:vAlign w:val="center"/>
            <w:hideMark/>
          </w:tcPr>
          <w:p w14:paraId="143AED0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DQ01</w:t>
            </w:r>
          </w:p>
        </w:tc>
        <w:tc>
          <w:tcPr>
            <w:tcW w:w="0" w:type="auto"/>
            <w:tcBorders>
              <w:top w:val="nil"/>
              <w:left w:val="nil"/>
              <w:bottom w:val="single" w:sz="4" w:space="0" w:color="auto"/>
              <w:right w:val="single" w:sz="4" w:space="0" w:color="auto"/>
            </w:tcBorders>
            <w:shd w:val="clear" w:color="auto" w:fill="auto"/>
            <w:vAlign w:val="center"/>
            <w:hideMark/>
          </w:tcPr>
          <w:p w14:paraId="33A3849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Planeación</w:t>
            </w:r>
          </w:p>
        </w:tc>
        <w:tc>
          <w:tcPr>
            <w:tcW w:w="0" w:type="auto"/>
            <w:tcBorders>
              <w:top w:val="nil"/>
              <w:left w:val="nil"/>
              <w:bottom w:val="single" w:sz="4" w:space="0" w:color="auto"/>
              <w:right w:val="single" w:sz="4" w:space="0" w:color="auto"/>
            </w:tcBorders>
            <w:shd w:val="clear" w:color="auto" w:fill="auto"/>
            <w:vAlign w:val="center"/>
            <w:hideMark/>
          </w:tcPr>
          <w:p w14:paraId="2321D83E"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Tesorería Municipal</w:t>
            </w:r>
          </w:p>
        </w:tc>
      </w:tr>
      <w:tr w:rsidR="00C47BF8" w:rsidRPr="00C47BF8" w14:paraId="73F7D26A" w14:textId="77777777" w:rsidTr="00C47BF8">
        <w:trPr>
          <w:trHeight w:val="510"/>
        </w:trPr>
        <w:tc>
          <w:tcPr>
            <w:tcW w:w="0" w:type="auto"/>
            <w:vMerge/>
            <w:tcBorders>
              <w:top w:val="nil"/>
              <w:left w:val="single" w:sz="4" w:space="0" w:color="auto"/>
              <w:bottom w:val="single" w:sz="4" w:space="0" w:color="auto"/>
              <w:right w:val="single" w:sz="4" w:space="0" w:color="auto"/>
            </w:tcBorders>
            <w:vAlign w:val="center"/>
            <w:hideMark/>
          </w:tcPr>
          <w:p w14:paraId="70164C2D"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22755DED"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0BA0FF1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DQ02</w:t>
            </w:r>
          </w:p>
        </w:tc>
        <w:tc>
          <w:tcPr>
            <w:tcW w:w="0" w:type="auto"/>
            <w:tcBorders>
              <w:top w:val="nil"/>
              <w:left w:val="nil"/>
              <w:bottom w:val="single" w:sz="4" w:space="0" w:color="auto"/>
              <w:right w:val="single" w:sz="4" w:space="0" w:color="auto"/>
            </w:tcBorders>
            <w:shd w:val="clear" w:color="auto" w:fill="auto"/>
            <w:vAlign w:val="center"/>
            <w:hideMark/>
          </w:tcPr>
          <w:p w14:paraId="3A665BA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Captación de Ingresos</w:t>
            </w:r>
          </w:p>
        </w:tc>
        <w:tc>
          <w:tcPr>
            <w:tcW w:w="0" w:type="auto"/>
            <w:tcBorders>
              <w:top w:val="nil"/>
              <w:left w:val="nil"/>
              <w:bottom w:val="single" w:sz="4" w:space="0" w:color="auto"/>
              <w:right w:val="single" w:sz="4" w:space="0" w:color="auto"/>
            </w:tcBorders>
            <w:shd w:val="clear" w:color="auto" w:fill="auto"/>
            <w:vAlign w:val="center"/>
            <w:hideMark/>
          </w:tcPr>
          <w:p w14:paraId="03D7417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Tesorería Municipal</w:t>
            </w:r>
          </w:p>
        </w:tc>
      </w:tr>
      <w:tr w:rsidR="00C47BF8" w:rsidRPr="00C47BF8" w14:paraId="39A875F7"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05501855"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6CC2370A"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71C6636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DQ03</w:t>
            </w:r>
          </w:p>
        </w:tc>
        <w:tc>
          <w:tcPr>
            <w:tcW w:w="0" w:type="auto"/>
            <w:tcBorders>
              <w:top w:val="nil"/>
              <w:left w:val="nil"/>
              <w:bottom w:val="single" w:sz="4" w:space="0" w:color="auto"/>
              <w:right w:val="single" w:sz="4" w:space="0" w:color="auto"/>
            </w:tcBorders>
            <w:shd w:val="clear" w:color="auto" w:fill="auto"/>
            <w:vAlign w:val="center"/>
            <w:hideMark/>
          </w:tcPr>
          <w:p w14:paraId="62DF7E0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Ejecución Fiscal</w:t>
            </w:r>
          </w:p>
        </w:tc>
        <w:tc>
          <w:tcPr>
            <w:tcW w:w="0" w:type="auto"/>
            <w:tcBorders>
              <w:top w:val="nil"/>
              <w:left w:val="nil"/>
              <w:bottom w:val="single" w:sz="4" w:space="0" w:color="auto"/>
              <w:right w:val="single" w:sz="4" w:space="0" w:color="auto"/>
            </w:tcBorders>
            <w:shd w:val="clear" w:color="auto" w:fill="auto"/>
            <w:vAlign w:val="center"/>
            <w:hideMark/>
          </w:tcPr>
          <w:p w14:paraId="32F344F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Tesorería Municipal</w:t>
            </w:r>
          </w:p>
        </w:tc>
      </w:tr>
      <w:tr w:rsidR="00C47BF8" w:rsidRPr="00C47BF8" w14:paraId="46B5E540"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0EC26936"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534B065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003F53F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DQ04</w:t>
            </w:r>
          </w:p>
        </w:tc>
        <w:tc>
          <w:tcPr>
            <w:tcW w:w="0" w:type="auto"/>
            <w:tcBorders>
              <w:top w:val="nil"/>
              <w:left w:val="nil"/>
              <w:bottom w:val="single" w:sz="4" w:space="0" w:color="auto"/>
              <w:right w:val="single" w:sz="4" w:space="0" w:color="auto"/>
            </w:tcBorders>
            <w:shd w:val="clear" w:color="auto" w:fill="auto"/>
            <w:vAlign w:val="center"/>
            <w:hideMark/>
          </w:tcPr>
          <w:p w14:paraId="1885A13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Cobranza</w:t>
            </w:r>
          </w:p>
        </w:tc>
        <w:tc>
          <w:tcPr>
            <w:tcW w:w="0" w:type="auto"/>
            <w:tcBorders>
              <w:top w:val="nil"/>
              <w:left w:val="nil"/>
              <w:bottom w:val="single" w:sz="4" w:space="0" w:color="auto"/>
              <w:right w:val="single" w:sz="4" w:space="0" w:color="auto"/>
            </w:tcBorders>
            <w:shd w:val="clear" w:color="auto" w:fill="auto"/>
            <w:vAlign w:val="center"/>
            <w:hideMark/>
          </w:tcPr>
          <w:p w14:paraId="5987B84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Tesorería Municipal</w:t>
            </w:r>
          </w:p>
        </w:tc>
      </w:tr>
      <w:tr w:rsidR="00C47BF8" w:rsidRPr="00C47BF8" w14:paraId="388A21A1" w14:textId="77777777" w:rsidTr="00C47BF8">
        <w:trPr>
          <w:trHeight w:val="300"/>
        </w:trPr>
        <w:tc>
          <w:tcPr>
            <w:tcW w:w="0" w:type="auto"/>
            <w:vMerge/>
            <w:tcBorders>
              <w:top w:val="nil"/>
              <w:left w:val="single" w:sz="4" w:space="0" w:color="auto"/>
              <w:bottom w:val="single" w:sz="4" w:space="0" w:color="auto"/>
              <w:right w:val="single" w:sz="4" w:space="0" w:color="auto"/>
            </w:tcBorders>
            <w:vAlign w:val="center"/>
            <w:hideMark/>
          </w:tcPr>
          <w:p w14:paraId="4B28A9A8"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720170F6"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3C5792E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DQ05</w:t>
            </w:r>
          </w:p>
        </w:tc>
        <w:tc>
          <w:tcPr>
            <w:tcW w:w="0" w:type="auto"/>
            <w:tcBorders>
              <w:top w:val="nil"/>
              <w:left w:val="nil"/>
              <w:bottom w:val="single" w:sz="4" w:space="0" w:color="auto"/>
              <w:right w:val="single" w:sz="4" w:space="0" w:color="auto"/>
            </w:tcBorders>
            <w:shd w:val="clear" w:color="auto" w:fill="auto"/>
            <w:vAlign w:val="center"/>
            <w:hideMark/>
          </w:tcPr>
          <w:p w14:paraId="06AB02A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Catastro</w:t>
            </w:r>
          </w:p>
        </w:tc>
        <w:tc>
          <w:tcPr>
            <w:tcW w:w="0" w:type="auto"/>
            <w:tcBorders>
              <w:top w:val="nil"/>
              <w:left w:val="nil"/>
              <w:bottom w:val="single" w:sz="4" w:space="0" w:color="auto"/>
              <w:right w:val="single" w:sz="4" w:space="0" w:color="auto"/>
            </w:tcBorders>
            <w:shd w:val="clear" w:color="auto" w:fill="auto"/>
            <w:vAlign w:val="center"/>
            <w:hideMark/>
          </w:tcPr>
          <w:p w14:paraId="69929C7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Tesorería Municipal</w:t>
            </w:r>
          </w:p>
        </w:tc>
      </w:tr>
      <w:tr w:rsidR="00C47BF8" w:rsidRPr="00C47BF8" w14:paraId="64EF7A18" w14:textId="77777777" w:rsidTr="00C47BF8">
        <w:trPr>
          <w:trHeight w:val="765"/>
        </w:trPr>
        <w:tc>
          <w:tcPr>
            <w:tcW w:w="0" w:type="auto"/>
            <w:vMerge/>
            <w:tcBorders>
              <w:top w:val="nil"/>
              <w:left w:val="single" w:sz="4" w:space="0" w:color="auto"/>
              <w:bottom w:val="single" w:sz="4" w:space="0" w:color="auto"/>
              <w:right w:val="single" w:sz="4" w:space="0" w:color="auto"/>
            </w:tcBorders>
            <w:vAlign w:val="center"/>
            <w:hideMark/>
          </w:tcPr>
          <w:p w14:paraId="2638FC80"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733B7A43"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4BCE4C4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DQ06</w:t>
            </w:r>
          </w:p>
        </w:tc>
        <w:tc>
          <w:tcPr>
            <w:tcW w:w="0" w:type="auto"/>
            <w:tcBorders>
              <w:top w:val="nil"/>
              <w:left w:val="nil"/>
              <w:bottom w:val="single" w:sz="4" w:space="0" w:color="auto"/>
              <w:right w:val="single" w:sz="4" w:space="0" w:color="auto"/>
            </w:tcBorders>
            <w:shd w:val="clear" w:color="auto" w:fill="auto"/>
            <w:vAlign w:val="center"/>
            <w:hideMark/>
          </w:tcPr>
          <w:p w14:paraId="44514E6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Administración de la Política de Egresos del Municipio</w:t>
            </w:r>
          </w:p>
        </w:tc>
        <w:tc>
          <w:tcPr>
            <w:tcW w:w="0" w:type="auto"/>
            <w:tcBorders>
              <w:top w:val="nil"/>
              <w:left w:val="nil"/>
              <w:bottom w:val="single" w:sz="4" w:space="0" w:color="auto"/>
              <w:right w:val="single" w:sz="4" w:space="0" w:color="auto"/>
            </w:tcBorders>
            <w:shd w:val="clear" w:color="auto" w:fill="auto"/>
            <w:vAlign w:val="center"/>
            <w:hideMark/>
          </w:tcPr>
          <w:p w14:paraId="7E38D27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Tesorería Municipal</w:t>
            </w:r>
          </w:p>
        </w:tc>
      </w:tr>
      <w:tr w:rsidR="00C47BF8" w:rsidRPr="00C47BF8" w14:paraId="102331C7" w14:textId="77777777" w:rsidTr="00C47BF8">
        <w:trPr>
          <w:trHeight w:val="765"/>
        </w:trPr>
        <w:tc>
          <w:tcPr>
            <w:tcW w:w="0" w:type="auto"/>
            <w:vMerge/>
            <w:tcBorders>
              <w:top w:val="nil"/>
              <w:left w:val="single" w:sz="4" w:space="0" w:color="auto"/>
              <w:bottom w:val="single" w:sz="4" w:space="0" w:color="auto"/>
              <w:right w:val="single" w:sz="4" w:space="0" w:color="auto"/>
            </w:tcBorders>
            <w:vAlign w:val="center"/>
            <w:hideMark/>
          </w:tcPr>
          <w:p w14:paraId="522BDA96"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776D8D99"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40DE100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DQ07</w:t>
            </w:r>
          </w:p>
        </w:tc>
        <w:tc>
          <w:tcPr>
            <w:tcW w:w="0" w:type="auto"/>
            <w:tcBorders>
              <w:top w:val="nil"/>
              <w:left w:val="nil"/>
              <w:bottom w:val="single" w:sz="4" w:space="0" w:color="auto"/>
              <w:right w:val="single" w:sz="4" w:space="0" w:color="auto"/>
            </w:tcBorders>
            <w:shd w:val="clear" w:color="auto" w:fill="auto"/>
            <w:vAlign w:val="center"/>
            <w:hideMark/>
          </w:tcPr>
          <w:p w14:paraId="2218E61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Contabilidad, Patrimonio y Rendición de Cuentas</w:t>
            </w:r>
          </w:p>
        </w:tc>
        <w:tc>
          <w:tcPr>
            <w:tcW w:w="0" w:type="auto"/>
            <w:tcBorders>
              <w:top w:val="nil"/>
              <w:left w:val="nil"/>
              <w:bottom w:val="single" w:sz="4" w:space="0" w:color="auto"/>
              <w:right w:val="single" w:sz="4" w:space="0" w:color="auto"/>
            </w:tcBorders>
            <w:shd w:val="clear" w:color="auto" w:fill="auto"/>
            <w:vAlign w:val="center"/>
            <w:hideMark/>
          </w:tcPr>
          <w:p w14:paraId="303F86C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Tesorería Municipal</w:t>
            </w:r>
          </w:p>
        </w:tc>
      </w:tr>
      <w:tr w:rsidR="00C47BF8" w:rsidRPr="00C47BF8" w14:paraId="4ACE2A64" w14:textId="77777777" w:rsidTr="00C47BF8">
        <w:trPr>
          <w:trHeight w:val="1785"/>
        </w:trPr>
        <w:tc>
          <w:tcPr>
            <w:tcW w:w="0" w:type="auto"/>
            <w:vMerge/>
            <w:tcBorders>
              <w:top w:val="nil"/>
              <w:left w:val="single" w:sz="4" w:space="0" w:color="auto"/>
              <w:bottom w:val="single" w:sz="4" w:space="0" w:color="auto"/>
              <w:right w:val="single" w:sz="4" w:space="0" w:color="auto"/>
            </w:tcBorders>
            <w:vAlign w:val="center"/>
            <w:hideMark/>
          </w:tcPr>
          <w:p w14:paraId="313967D3" w14:textId="77777777" w:rsidR="00C47BF8" w:rsidRPr="00C47BF8" w:rsidRDefault="00C47BF8" w:rsidP="00C47BF8">
            <w:pPr>
              <w:spacing w:after="0" w:line="240" w:lineRule="auto"/>
              <w:jc w:val="left"/>
              <w:rPr>
                <w:rFonts w:eastAsia="Times New Roman" w:cs="Arial"/>
                <w:b/>
                <w:bCs/>
                <w:color w:val="000000"/>
                <w:lang w:val="es-MX" w:eastAsia="es-MX" w:bidi="ar-SA"/>
              </w:rPr>
            </w:pPr>
          </w:p>
        </w:tc>
        <w:tc>
          <w:tcPr>
            <w:tcW w:w="0" w:type="auto"/>
            <w:vMerge/>
            <w:tcBorders>
              <w:top w:val="nil"/>
              <w:left w:val="single" w:sz="4" w:space="0" w:color="auto"/>
              <w:bottom w:val="single" w:sz="4" w:space="0" w:color="auto"/>
              <w:right w:val="single" w:sz="4" w:space="0" w:color="auto"/>
            </w:tcBorders>
            <w:vAlign w:val="center"/>
            <w:hideMark/>
          </w:tcPr>
          <w:p w14:paraId="0250DCE7" w14:textId="77777777" w:rsidR="00C47BF8" w:rsidRPr="00C47BF8" w:rsidRDefault="00C47BF8" w:rsidP="00C47BF8">
            <w:pPr>
              <w:spacing w:after="0" w:line="240" w:lineRule="auto"/>
              <w:jc w:val="left"/>
              <w:rPr>
                <w:rFonts w:eastAsia="Times New Roman" w:cs="Arial"/>
                <w:color w:val="000000"/>
                <w:lang w:val="es-MX" w:eastAsia="es-MX" w:bidi="ar-SA"/>
              </w:rPr>
            </w:pPr>
          </w:p>
        </w:tc>
        <w:tc>
          <w:tcPr>
            <w:tcW w:w="0" w:type="auto"/>
            <w:tcBorders>
              <w:top w:val="nil"/>
              <w:left w:val="nil"/>
              <w:bottom w:val="single" w:sz="4" w:space="0" w:color="auto"/>
              <w:right w:val="single" w:sz="4" w:space="0" w:color="auto"/>
            </w:tcBorders>
            <w:shd w:val="clear" w:color="000000" w:fill="F1F1F1"/>
            <w:vAlign w:val="center"/>
            <w:hideMark/>
          </w:tcPr>
          <w:p w14:paraId="733735D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DQ08</w:t>
            </w:r>
          </w:p>
        </w:tc>
        <w:tc>
          <w:tcPr>
            <w:tcW w:w="0" w:type="auto"/>
            <w:tcBorders>
              <w:top w:val="nil"/>
              <w:left w:val="nil"/>
              <w:bottom w:val="single" w:sz="4" w:space="0" w:color="auto"/>
              <w:right w:val="single" w:sz="4" w:space="0" w:color="auto"/>
            </w:tcBorders>
            <w:shd w:val="clear" w:color="auto" w:fill="auto"/>
            <w:vAlign w:val="center"/>
            <w:hideMark/>
          </w:tcPr>
          <w:p w14:paraId="2818CA6E"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Definición y Conducción de la Política de Planeación, Programación y Presupuestación del Gasto Publico</w:t>
            </w:r>
          </w:p>
        </w:tc>
        <w:tc>
          <w:tcPr>
            <w:tcW w:w="0" w:type="auto"/>
            <w:tcBorders>
              <w:top w:val="nil"/>
              <w:left w:val="nil"/>
              <w:bottom w:val="single" w:sz="4" w:space="0" w:color="auto"/>
              <w:right w:val="single" w:sz="4" w:space="0" w:color="auto"/>
            </w:tcBorders>
            <w:shd w:val="clear" w:color="auto" w:fill="auto"/>
            <w:vAlign w:val="center"/>
            <w:hideMark/>
          </w:tcPr>
          <w:p w14:paraId="5A1AA23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Tesorería Municipal</w:t>
            </w:r>
          </w:p>
        </w:tc>
      </w:tr>
      <w:tr w:rsidR="00C47BF8" w:rsidRPr="00C47BF8" w14:paraId="46B6FA71" w14:textId="77777777" w:rsidTr="00C47BF8">
        <w:trPr>
          <w:trHeight w:val="765"/>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623D1551"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LR</w:t>
            </w:r>
          </w:p>
        </w:tc>
        <w:tc>
          <w:tcPr>
            <w:tcW w:w="0" w:type="auto"/>
            <w:tcBorders>
              <w:top w:val="nil"/>
              <w:left w:val="nil"/>
              <w:bottom w:val="single" w:sz="4" w:space="0" w:color="auto"/>
              <w:right w:val="single" w:sz="4" w:space="0" w:color="auto"/>
            </w:tcBorders>
            <w:shd w:val="clear" w:color="auto" w:fill="auto"/>
            <w:vAlign w:val="center"/>
            <w:hideMark/>
          </w:tcPr>
          <w:p w14:paraId="5C67C03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Promoción y Fomento Económico y Turístico</w:t>
            </w:r>
          </w:p>
        </w:tc>
        <w:tc>
          <w:tcPr>
            <w:tcW w:w="0" w:type="auto"/>
            <w:tcBorders>
              <w:top w:val="nil"/>
              <w:left w:val="nil"/>
              <w:bottom w:val="single" w:sz="4" w:space="0" w:color="auto"/>
              <w:right w:val="single" w:sz="4" w:space="0" w:color="auto"/>
            </w:tcBorders>
            <w:shd w:val="clear" w:color="000000" w:fill="F1F1F1"/>
            <w:vAlign w:val="center"/>
            <w:hideMark/>
          </w:tcPr>
          <w:p w14:paraId="13458DCB" w14:textId="77777777" w:rsidR="00C47BF8" w:rsidRPr="00C47BF8" w:rsidRDefault="00C47BF8" w:rsidP="00C47BF8">
            <w:pPr>
              <w:spacing w:after="0" w:line="240" w:lineRule="auto"/>
              <w:jc w:val="center"/>
              <w:rPr>
                <w:rFonts w:eastAsia="Times New Roman" w:cs="Arial"/>
                <w:color w:val="000000"/>
                <w:lang w:val="es-MX" w:eastAsia="es-MX" w:bidi="ar-SA"/>
              </w:rPr>
            </w:pPr>
            <w:bookmarkStart w:id="27" w:name="RANGE!D68"/>
            <w:r w:rsidRPr="00C47BF8">
              <w:rPr>
                <w:rFonts w:eastAsia="Times New Roman" w:cs="Arial"/>
                <w:color w:val="000000"/>
                <w:lang w:val="es-MX" w:eastAsia="es-MX" w:bidi="ar-SA"/>
              </w:rPr>
              <w:t>LR01</w:t>
            </w:r>
            <w:bookmarkEnd w:id="27"/>
          </w:p>
        </w:tc>
        <w:tc>
          <w:tcPr>
            <w:tcW w:w="0" w:type="auto"/>
            <w:tcBorders>
              <w:top w:val="nil"/>
              <w:left w:val="nil"/>
              <w:bottom w:val="single" w:sz="4" w:space="0" w:color="auto"/>
              <w:right w:val="single" w:sz="4" w:space="0" w:color="auto"/>
            </w:tcBorders>
            <w:shd w:val="clear" w:color="auto" w:fill="auto"/>
            <w:vAlign w:val="center"/>
            <w:hideMark/>
          </w:tcPr>
          <w:p w14:paraId="6E5D64BB"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Fomento, Promoción y Desarrollo Económico</w:t>
            </w:r>
          </w:p>
        </w:tc>
        <w:tc>
          <w:tcPr>
            <w:tcW w:w="0" w:type="auto"/>
            <w:tcBorders>
              <w:top w:val="nil"/>
              <w:left w:val="nil"/>
              <w:bottom w:val="single" w:sz="4" w:space="0" w:color="auto"/>
              <w:right w:val="single" w:sz="4" w:space="0" w:color="auto"/>
            </w:tcBorders>
            <w:shd w:val="clear" w:color="auto" w:fill="auto"/>
            <w:vAlign w:val="center"/>
            <w:hideMark/>
          </w:tcPr>
          <w:p w14:paraId="0FEE5EC9"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Agencia Municipal de Desarrollo Económico</w:t>
            </w:r>
          </w:p>
        </w:tc>
      </w:tr>
      <w:tr w:rsidR="00C47BF8" w:rsidRPr="00C47BF8" w14:paraId="0EFB50DF" w14:textId="77777777" w:rsidTr="00C47BF8">
        <w:trPr>
          <w:trHeight w:val="102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74B2AE71"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UY</w:t>
            </w:r>
          </w:p>
        </w:tc>
        <w:tc>
          <w:tcPr>
            <w:tcW w:w="0" w:type="auto"/>
            <w:tcBorders>
              <w:top w:val="nil"/>
              <w:left w:val="nil"/>
              <w:bottom w:val="single" w:sz="4" w:space="0" w:color="auto"/>
              <w:right w:val="single" w:sz="4" w:space="0" w:color="auto"/>
            </w:tcBorders>
            <w:shd w:val="clear" w:color="auto" w:fill="auto"/>
            <w:vAlign w:val="center"/>
            <w:hideMark/>
          </w:tcPr>
          <w:p w14:paraId="05DB2CC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Coordinación Interinstitucional y Vinculación con Sectores</w:t>
            </w:r>
          </w:p>
        </w:tc>
        <w:tc>
          <w:tcPr>
            <w:tcW w:w="0" w:type="auto"/>
            <w:tcBorders>
              <w:top w:val="nil"/>
              <w:left w:val="nil"/>
              <w:bottom w:val="single" w:sz="4" w:space="0" w:color="auto"/>
              <w:right w:val="single" w:sz="4" w:space="0" w:color="auto"/>
            </w:tcBorders>
            <w:shd w:val="clear" w:color="000000" w:fill="F1F1F1"/>
            <w:vAlign w:val="center"/>
            <w:hideMark/>
          </w:tcPr>
          <w:p w14:paraId="4450736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UY01</w:t>
            </w:r>
          </w:p>
        </w:tc>
        <w:tc>
          <w:tcPr>
            <w:tcW w:w="0" w:type="auto"/>
            <w:tcBorders>
              <w:top w:val="nil"/>
              <w:left w:val="nil"/>
              <w:bottom w:val="single" w:sz="4" w:space="0" w:color="auto"/>
              <w:right w:val="single" w:sz="4" w:space="0" w:color="auto"/>
            </w:tcBorders>
            <w:shd w:val="clear" w:color="auto" w:fill="auto"/>
            <w:vAlign w:val="center"/>
            <w:hideMark/>
          </w:tcPr>
          <w:p w14:paraId="5D6906D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Coordinación Interinstitucional y Vinculación con Sectores</w:t>
            </w:r>
          </w:p>
        </w:tc>
        <w:tc>
          <w:tcPr>
            <w:tcW w:w="0" w:type="auto"/>
            <w:tcBorders>
              <w:top w:val="nil"/>
              <w:left w:val="nil"/>
              <w:bottom w:val="single" w:sz="4" w:space="0" w:color="auto"/>
              <w:right w:val="single" w:sz="4" w:space="0" w:color="auto"/>
            </w:tcBorders>
            <w:shd w:val="clear" w:color="auto" w:fill="auto"/>
            <w:vAlign w:val="center"/>
            <w:hideMark/>
          </w:tcPr>
          <w:p w14:paraId="21387C0A"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Participación Ciudadana</w:t>
            </w:r>
          </w:p>
        </w:tc>
      </w:tr>
      <w:tr w:rsidR="00C47BF8" w:rsidRPr="00C47BF8" w14:paraId="5164D696" w14:textId="77777777" w:rsidTr="00C47BF8">
        <w:trPr>
          <w:trHeight w:val="51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5A5A2831"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YY</w:t>
            </w:r>
          </w:p>
        </w:tc>
        <w:tc>
          <w:tcPr>
            <w:tcW w:w="0" w:type="auto"/>
            <w:tcBorders>
              <w:top w:val="nil"/>
              <w:left w:val="nil"/>
              <w:bottom w:val="single" w:sz="4" w:space="0" w:color="auto"/>
              <w:right w:val="single" w:sz="4" w:space="0" w:color="auto"/>
            </w:tcBorders>
            <w:shd w:val="clear" w:color="auto" w:fill="auto"/>
            <w:vAlign w:val="center"/>
            <w:hideMark/>
          </w:tcPr>
          <w:p w14:paraId="4FC4CDF2"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Prevención y Promoción de la Salud Animal</w:t>
            </w:r>
          </w:p>
        </w:tc>
        <w:tc>
          <w:tcPr>
            <w:tcW w:w="0" w:type="auto"/>
            <w:tcBorders>
              <w:top w:val="nil"/>
              <w:left w:val="nil"/>
              <w:bottom w:val="single" w:sz="4" w:space="0" w:color="auto"/>
              <w:right w:val="single" w:sz="4" w:space="0" w:color="auto"/>
            </w:tcBorders>
            <w:shd w:val="clear" w:color="000000" w:fill="F1F1F1"/>
            <w:vAlign w:val="center"/>
            <w:hideMark/>
          </w:tcPr>
          <w:p w14:paraId="4C1D973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YY01</w:t>
            </w:r>
          </w:p>
        </w:tc>
        <w:tc>
          <w:tcPr>
            <w:tcW w:w="0" w:type="auto"/>
            <w:tcBorders>
              <w:top w:val="nil"/>
              <w:left w:val="nil"/>
              <w:bottom w:val="single" w:sz="4" w:space="0" w:color="auto"/>
              <w:right w:val="single" w:sz="4" w:space="0" w:color="auto"/>
            </w:tcBorders>
            <w:shd w:val="clear" w:color="auto" w:fill="auto"/>
            <w:vAlign w:val="center"/>
            <w:hideMark/>
          </w:tcPr>
          <w:p w14:paraId="263E7B03"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 xml:space="preserve">  Salud</w:t>
            </w:r>
          </w:p>
        </w:tc>
        <w:tc>
          <w:tcPr>
            <w:tcW w:w="0" w:type="auto"/>
            <w:tcBorders>
              <w:top w:val="nil"/>
              <w:left w:val="nil"/>
              <w:bottom w:val="single" w:sz="4" w:space="0" w:color="auto"/>
              <w:right w:val="single" w:sz="4" w:space="0" w:color="auto"/>
            </w:tcBorders>
            <w:shd w:val="clear" w:color="auto" w:fill="auto"/>
            <w:vAlign w:val="center"/>
            <w:hideMark/>
          </w:tcPr>
          <w:p w14:paraId="4601E2C1"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Servicios Públicos Municipales</w:t>
            </w:r>
          </w:p>
        </w:tc>
      </w:tr>
      <w:tr w:rsidR="00C47BF8" w:rsidRPr="00C47BF8" w14:paraId="454553C4" w14:textId="77777777" w:rsidTr="00C47BF8">
        <w:trPr>
          <w:trHeight w:val="30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2489157B"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SP</w:t>
            </w:r>
          </w:p>
        </w:tc>
        <w:tc>
          <w:tcPr>
            <w:tcW w:w="0" w:type="auto"/>
            <w:tcBorders>
              <w:top w:val="nil"/>
              <w:left w:val="nil"/>
              <w:bottom w:val="single" w:sz="4" w:space="0" w:color="auto"/>
              <w:right w:val="single" w:sz="4" w:space="0" w:color="auto"/>
            </w:tcBorders>
            <w:shd w:val="clear" w:color="auto" w:fill="auto"/>
            <w:vAlign w:val="center"/>
            <w:hideMark/>
          </w:tcPr>
          <w:p w14:paraId="3A09D31F"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 xml:space="preserve">Salud Pública </w:t>
            </w:r>
          </w:p>
        </w:tc>
        <w:tc>
          <w:tcPr>
            <w:tcW w:w="0" w:type="auto"/>
            <w:tcBorders>
              <w:top w:val="nil"/>
              <w:left w:val="nil"/>
              <w:bottom w:val="single" w:sz="4" w:space="0" w:color="auto"/>
              <w:right w:val="single" w:sz="4" w:space="0" w:color="auto"/>
            </w:tcBorders>
            <w:shd w:val="clear" w:color="000000" w:fill="F1F1F1"/>
            <w:vAlign w:val="center"/>
            <w:hideMark/>
          </w:tcPr>
          <w:p w14:paraId="25F5120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SP01</w:t>
            </w:r>
          </w:p>
        </w:tc>
        <w:tc>
          <w:tcPr>
            <w:tcW w:w="0" w:type="auto"/>
            <w:tcBorders>
              <w:top w:val="nil"/>
              <w:left w:val="nil"/>
              <w:bottom w:val="single" w:sz="4" w:space="0" w:color="auto"/>
              <w:right w:val="single" w:sz="4" w:space="0" w:color="auto"/>
            </w:tcBorders>
            <w:shd w:val="clear" w:color="auto" w:fill="auto"/>
            <w:vAlign w:val="center"/>
            <w:hideMark/>
          </w:tcPr>
          <w:p w14:paraId="45C127C7"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Salud Pública</w:t>
            </w:r>
          </w:p>
        </w:tc>
        <w:tc>
          <w:tcPr>
            <w:tcW w:w="0" w:type="auto"/>
            <w:tcBorders>
              <w:top w:val="nil"/>
              <w:left w:val="nil"/>
              <w:bottom w:val="single" w:sz="4" w:space="0" w:color="auto"/>
              <w:right w:val="single" w:sz="4" w:space="0" w:color="auto"/>
            </w:tcBorders>
            <w:shd w:val="clear" w:color="auto" w:fill="auto"/>
            <w:vAlign w:val="center"/>
            <w:hideMark/>
          </w:tcPr>
          <w:p w14:paraId="1E1FCE98"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General de Salud Pública</w:t>
            </w:r>
          </w:p>
        </w:tc>
      </w:tr>
      <w:tr w:rsidR="00C47BF8" w:rsidRPr="00C47BF8" w14:paraId="3BF54FF6" w14:textId="77777777" w:rsidTr="00C47BF8">
        <w:trPr>
          <w:trHeight w:val="510"/>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FAB6909"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CG</w:t>
            </w:r>
          </w:p>
        </w:tc>
        <w:tc>
          <w:tcPr>
            <w:tcW w:w="0" w:type="auto"/>
            <w:tcBorders>
              <w:top w:val="nil"/>
              <w:left w:val="nil"/>
              <w:bottom w:val="single" w:sz="4" w:space="0" w:color="auto"/>
              <w:right w:val="single" w:sz="4" w:space="0" w:color="auto"/>
            </w:tcBorders>
            <w:shd w:val="clear" w:color="auto" w:fill="auto"/>
            <w:vAlign w:val="center"/>
            <w:hideMark/>
          </w:tcPr>
          <w:p w14:paraId="3DE9482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Coordinación y Gestión de Cabildo</w:t>
            </w:r>
          </w:p>
        </w:tc>
        <w:tc>
          <w:tcPr>
            <w:tcW w:w="0" w:type="auto"/>
            <w:tcBorders>
              <w:top w:val="nil"/>
              <w:left w:val="nil"/>
              <w:bottom w:val="single" w:sz="4" w:space="0" w:color="auto"/>
              <w:right w:val="single" w:sz="4" w:space="0" w:color="auto"/>
            </w:tcBorders>
            <w:shd w:val="clear" w:color="000000" w:fill="F1F1F1"/>
            <w:vAlign w:val="center"/>
            <w:hideMark/>
          </w:tcPr>
          <w:p w14:paraId="3981B76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CG01</w:t>
            </w:r>
          </w:p>
        </w:tc>
        <w:tc>
          <w:tcPr>
            <w:tcW w:w="0" w:type="auto"/>
            <w:tcBorders>
              <w:top w:val="nil"/>
              <w:left w:val="nil"/>
              <w:bottom w:val="single" w:sz="4" w:space="0" w:color="auto"/>
              <w:right w:val="single" w:sz="4" w:space="0" w:color="auto"/>
            </w:tcBorders>
            <w:shd w:val="clear" w:color="auto" w:fill="auto"/>
            <w:vAlign w:val="center"/>
            <w:hideMark/>
          </w:tcPr>
          <w:p w14:paraId="40654C2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Coordinación y Gestión de Cabildo</w:t>
            </w:r>
          </w:p>
        </w:tc>
        <w:tc>
          <w:tcPr>
            <w:tcW w:w="0" w:type="auto"/>
            <w:tcBorders>
              <w:top w:val="nil"/>
              <w:left w:val="nil"/>
              <w:bottom w:val="single" w:sz="4" w:space="0" w:color="auto"/>
              <w:right w:val="single" w:sz="4" w:space="0" w:color="auto"/>
            </w:tcBorders>
            <w:shd w:val="clear" w:color="auto" w:fill="auto"/>
            <w:vAlign w:val="center"/>
            <w:hideMark/>
          </w:tcPr>
          <w:p w14:paraId="092718F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H. Ayuntamiento</w:t>
            </w:r>
          </w:p>
        </w:tc>
      </w:tr>
      <w:tr w:rsidR="00C47BF8" w:rsidRPr="00C47BF8" w14:paraId="65285DE7" w14:textId="77777777" w:rsidTr="00C47BF8">
        <w:trPr>
          <w:trHeight w:val="495"/>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4D096BDB"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SN</w:t>
            </w:r>
          </w:p>
        </w:tc>
        <w:tc>
          <w:tcPr>
            <w:tcW w:w="0" w:type="auto"/>
            <w:tcBorders>
              <w:top w:val="nil"/>
              <w:left w:val="nil"/>
              <w:bottom w:val="single" w:sz="4" w:space="0" w:color="auto"/>
              <w:right w:val="single" w:sz="4" w:space="0" w:color="auto"/>
            </w:tcBorders>
            <w:shd w:val="clear" w:color="auto" w:fill="auto"/>
            <w:vAlign w:val="center"/>
            <w:hideMark/>
          </w:tcPr>
          <w:p w14:paraId="7D7B8214"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Supervisión Integral de Normatividad y Control Territorial</w:t>
            </w:r>
          </w:p>
        </w:tc>
        <w:tc>
          <w:tcPr>
            <w:tcW w:w="0" w:type="auto"/>
            <w:tcBorders>
              <w:top w:val="nil"/>
              <w:left w:val="nil"/>
              <w:bottom w:val="single" w:sz="4" w:space="0" w:color="auto"/>
              <w:right w:val="single" w:sz="4" w:space="0" w:color="auto"/>
            </w:tcBorders>
            <w:shd w:val="clear" w:color="000000" w:fill="F1F1F1"/>
            <w:vAlign w:val="center"/>
            <w:hideMark/>
          </w:tcPr>
          <w:p w14:paraId="063A2B16"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SN01</w:t>
            </w:r>
          </w:p>
        </w:tc>
        <w:tc>
          <w:tcPr>
            <w:tcW w:w="0" w:type="auto"/>
            <w:tcBorders>
              <w:top w:val="nil"/>
              <w:left w:val="nil"/>
              <w:bottom w:val="single" w:sz="4" w:space="0" w:color="auto"/>
              <w:right w:val="single" w:sz="4" w:space="0" w:color="auto"/>
            </w:tcBorders>
            <w:shd w:val="clear" w:color="auto" w:fill="auto"/>
            <w:vAlign w:val="center"/>
            <w:hideMark/>
          </w:tcPr>
          <w:p w14:paraId="00939B2D"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Supervisión Integral de Normatividad y Control Territorial</w:t>
            </w:r>
          </w:p>
        </w:tc>
        <w:tc>
          <w:tcPr>
            <w:tcW w:w="0" w:type="auto"/>
            <w:tcBorders>
              <w:top w:val="nil"/>
              <w:left w:val="nil"/>
              <w:bottom w:val="single" w:sz="4" w:space="0" w:color="auto"/>
              <w:right w:val="single" w:sz="4" w:space="0" w:color="auto"/>
            </w:tcBorders>
            <w:shd w:val="clear" w:color="auto" w:fill="auto"/>
            <w:vAlign w:val="center"/>
            <w:hideMark/>
          </w:tcPr>
          <w:p w14:paraId="39B4B8F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Dirección de inspección y Vigilancia</w:t>
            </w:r>
          </w:p>
        </w:tc>
      </w:tr>
      <w:tr w:rsidR="00C47BF8" w:rsidRPr="00C47BF8" w14:paraId="0D7AEB4B" w14:textId="77777777" w:rsidTr="00C47BF8">
        <w:trPr>
          <w:trHeight w:val="765"/>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58A7567C" w14:textId="77777777" w:rsidR="00C47BF8" w:rsidRPr="00C47BF8" w:rsidRDefault="00C47BF8" w:rsidP="00C47BF8">
            <w:pPr>
              <w:spacing w:after="0" w:line="240" w:lineRule="auto"/>
              <w:jc w:val="center"/>
              <w:rPr>
                <w:rFonts w:eastAsia="Times New Roman" w:cs="Arial"/>
                <w:b/>
                <w:bCs/>
                <w:color w:val="000000"/>
                <w:lang w:val="es-MX" w:eastAsia="es-MX" w:bidi="ar-SA"/>
              </w:rPr>
            </w:pPr>
            <w:r w:rsidRPr="00C47BF8">
              <w:rPr>
                <w:rFonts w:eastAsia="Times New Roman" w:cs="Arial"/>
                <w:b/>
                <w:bCs/>
                <w:color w:val="000000"/>
                <w:lang w:val="es-MX" w:eastAsia="es-MX" w:bidi="ar-SA"/>
              </w:rPr>
              <w:t>CI</w:t>
            </w:r>
          </w:p>
        </w:tc>
        <w:tc>
          <w:tcPr>
            <w:tcW w:w="0" w:type="auto"/>
            <w:tcBorders>
              <w:top w:val="nil"/>
              <w:left w:val="nil"/>
              <w:bottom w:val="single" w:sz="4" w:space="0" w:color="auto"/>
              <w:right w:val="single" w:sz="4" w:space="0" w:color="auto"/>
            </w:tcBorders>
            <w:shd w:val="clear" w:color="auto" w:fill="auto"/>
            <w:vAlign w:val="center"/>
            <w:hideMark/>
          </w:tcPr>
          <w:p w14:paraId="26ADBEA5"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Ciudad Inteligente, Innovación y Monitoreo Urbano.</w:t>
            </w:r>
          </w:p>
        </w:tc>
        <w:tc>
          <w:tcPr>
            <w:tcW w:w="0" w:type="auto"/>
            <w:tcBorders>
              <w:top w:val="nil"/>
              <w:left w:val="nil"/>
              <w:bottom w:val="single" w:sz="4" w:space="0" w:color="auto"/>
              <w:right w:val="single" w:sz="4" w:space="0" w:color="auto"/>
            </w:tcBorders>
            <w:shd w:val="clear" w:color="000000" w:fill="F1F1F1"/>
            <w:vAlign w:val="center"/>
            <w:hideMark/>
          </w:tcPr>
          <w:p w14:paraId="7277937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CI01</w:t>
            </w:r>
          </w:p>
        </w:tc>
        <w:tc>
          <w:tcPr>
            <w:tcW w:w="0" w:type="auto"/>
            <w:tcBorders>
              <w:top w:val="nil"/>
              <w:left w:val="nil"/>
              <w:bottom w:val="single" w:sz="4" w:space="0" w:color="auto"/>
              <w:right w:val="single" w:sz="4" w:space="0" w:color="auto"/>
            </w:tcBorders>
            <w:shd w:val="clear" w:color="auto" w:fill="auto"/>
            <w:vAlign w:val="center"/>
            <w:hideMark/>
          </w:tcPr>
          <w:p w14:paraId="7061EA30"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Ciudad Inteligente, Innovación y Monitoreo Urbano.</w:t>
            </w:r>
          </w:p>
        </w:tc>
        <w:tc>
          <w:tcPr>
            <w:tcW w:w="0" w:type="auto"/>
            <w:tcBorders>
              <w:top w:val="nil"/>
              <w:left w:val="nil"/>
              <w:bottom w:val="single" w:sz="4" w:space="0" w:color="auto"/>
              <w:right w:val="single" w:sz="4" w:space="0" w:color="auto"/>
            </w:tcBorders>
            <w:shd w:val="clear" w:color="auto" w:fill="auto"/>
            <w:vAlign w:val="center"/>
            <w:hideMark/>
          </w:tcPr>
          <w:p w14:paraId="7762343C" w14:textId="77777777" w:rsidR="00C47BF8" w:rsidRPr="00C47BF8" w:rsidRDefault="00C47BF8" w:rsidP="00C47BF8">
            <w:pPr>
              <w:spacing w:after="0" w:line="240" w:lineRule="auto"/>
              <w:jc w:val="center"/>
              <w:rPr>
                <w:rFonts w:eastAsia="Times New Roman" w:cs="Arial"/>
                <w:color w:val="000000"/>
                <w:lang w:val="es-MX" w:eastAsia="es-MX" w:bidi="ar-SA"/>
              </w:rPr>
            </w:pPr>
            <w:r w:rsidRPr="00C47BF8">
              <w:rPr>
                <w:rFonts w:eastAsia="Times New Roman" w:cs="Arial"/>
                <w:color w:val="000000"/>
                <w:lang w:val="es-MX" w:eastAsia="es-MX" w:bidi="ar-SA"/>
              </w:rPr>
              <w:t>Jefatura de Oficina de la Presidencia Municipal</w:t>
            </w:r>
          </w:p>
        </w:tc>
      </w:tr>
    </w:tbl>
    <w:p w14:paraId="59587EC4" w14:textId="77777777" w:rsidR="008511B6" w:rsidRDefault="008511B6" w:rsidP="00C47BF8">
      <w:pPr>
        <w:spacing w:before="100" w:beforeAutospacing="1" w:after="120" w:line="240" w:lineRule="auto"/>
        <w:rPr>
          <w:rFonts w:eastAsia="Times New Roman" w:cs="Arial"/>
          <w:b/>
          <w:bCs/>
          <w:lang w:val="es-MX" w:eastAsia="es-ES_tradnl" w:bidi="ar-SA"/>
        </w:rPr>
      </w:pPr>
    </w:p>
    <w:p w14:paraId="7ECD3278" w14:textId="6EAA15C7" w:rsidR="008511B6" w:rsidRPr="00626AB9" w:rsidRDefault="008511B6" w:rsidP="00626AB9">
      <w:pPr>
        <w:pStyle w:val="Ttulo1"/>
      </w:pPr>
      <w:bookmarkStart w:id="28" w:name="_Toc187396126"/>
      <w:r w:rsidRPr="00AB3140">
        <w:t>GLOSARIO</w:t>
      </w:r>
      <w:bookmarkEnd w:id="28"/>
    </w:p>
    <w:p w14:paraId="67C66B19" w14:textId="77777777" w:rsidR="008511B6" w:rsidRPr="00AB3140" w:rsidRDefault="008511B6" w:rsidP="00B205BA">
      <w:pPr>
        <w:spacing w:after="120" w:line="240" w:lineRule="auto"/>
        <w:rPr>
          <w:rFonts w:cs="Arial"/>
        </w:rPr>
      </w:pPr>
      <w:r w:rsidRPr="00AB3140">
        <w:rPr>
          <w:rFonts w:cs="Arial"/>
          <w:b/>
          <w:bCs/>
        </w:rPr>
        <w:t xml:space="preserve">Adaptación al cambio climático: </w:t>
      </w:r>
      <w:r w:rsidRPr="00AB3140">
        <w:rPr>
          <w:rFonts w:cs="Arial"/>
        </w:rPr>
        <w:t>Conjunto de acciones que preparan a una ciudad para hacer frente a los impactos del cambio climático. La adaptación puede definirse como “ajuste en los sistemas naturales o humanos en respuesta a estímulos climáticos reales o esperados o sus efectos, que modera el daño o aprovecha oportunidades beneficiosas”.</w:t>
      </w:r>
    </w:p>
    <w:p w14:paraId="3747DF9A" w14:textId="77777777" w:rsidR="008511B6" w:rsidRPr="00AB3140" w:rsidRDefault="008511B6" w:rsidP="00B205BA">
      <w:pPr>
        <w:spacing w:after="120" w:line="240" w:lineRule="auto"/>
        <w:rPr>
          <w:rFonts w:cs="Arial"/>
        </w:rPr>
      </w:pPr>
      <w:r w:rsidRPr="00AB3140">
        <w:rPr>
          <w:rFonts w:cs="Arial"/>
          <w:b/>
          <w:bCs/>
        </w:rPr>
        <w:t xml:space="preserve">Agenda de Largo Plazo: </w:t>
      </w:r>
      <w:r w:rsidRPr="00AB3140">
        <w:rPr>
          <w:rFonts w:cs="Arial"/>
        </w:rPr>
        <w:t>Documento que recopila las vertientes temáticas, los indicadores y metas proyectadas a 3, 6, 9 y 12 años de manera consecutiva, en beneficio de la población municipal.</w:t>
      </w:r>
    </w:p>
    <w:p w14:paraId="5B59DAFB" w14:textId="77777777" w:rsidR="008511B6" w:rsidRPr="00AB3140" w:rsidRDefault="008511B6" w:rsidP="00B205BA">
      <w:pPr>
        <w:spacing w:after="120" w:line="240" w:lineRule="auto"/>
        <w:rPr>
          <w:rFonts w:cs="Arial"/>
        </w:rPr>
      </w:pPr>
      <w:r w:rsidRPr="00AB3140">
        <w:rPr>
          <w:rFonts w:cs="Arial"/>
          <w:b/>
          <w:bCs/>
        </w:rPr>
        <w:t xml:space="preserve">Asentamiento informal: </w:t>
      </w:r>
      <w:r w:rsidRPr="00AB3140">
        <w:rPr>
          <w:rFonts w:cs="Arial"/>
        </w:rPr>
        <w:t>Condiciones de vida caracterizadas por la falta de acceso a servicios básicos como agua potable o saneamiento, energía, recolección de desechos y transporte; baja calidad estructural de los refugios; incumplimiento de las normas de planificación y construcción; superpoblación; ubicaciones peligrosas o ambientalmente sensibles; o tenencia insegura. Los asentamientos informales pueden surgir como resultado de la rápida urbanización. Los asentamientos pueden instalarse en terrenos públicos o privados y pueden aparecer de forma natural o a través de un intermediario que organiza un grupo para ocupar un terreno.</w:t>
      </w:r>
    </w:p>
    <w:p w14:paraId="2132A654" w14:textId="77777777" w:rsidR="008511B6" w:rsidRPr="00AB3140" w:rsidRDefault="008511B6" w:rsidP="00B205BA">
      <w:pPr>
        <w:spacing w:after="120" w:line="240" w:lineRule="auto"/>
        <w:rPr>
          <w:rFonts w:cs="Arial"/>
          <w:b/>
          <w:bCs/>
        </w:rPr>
      </w:pPr>
      <w:r w:rsidRPr="00AB3140">
        <w:rPr>
          <w:rFonts w:cs="Arial"/>
          <w:b/>
          <w:bCs/>
        </w:rPr>
        <w:t xml:space="preserve">Canasta Alimentaria: </w:t>
      </w:r>
      <w:r w:rsidRPr="00AB3140">
        <w:rPr>
          <w:rFonts w:cs="Arial"/>
        </w:rPr>
        <w:t>Conjunto de alimentos cuyo valor sirve para construir la línea de bienestar mínimo. Éstos se determinan de acuerdo con el patrón de consumo de un grupo de personas que satisfacen con ellos sus requerimientos de energía y nutrientes.</w:t>
      </w:r>
    </w:p>
    <w:p w14:paraId="2F23A182" w14:textId="77777777" w:rsidR="008511B6" w:rsidRPr="00AB3140" w:rsidRDefault="008511B6" w:rsidP="00B205BA">
      <w:pPr>
        <w:spacing w:after="120" w:line="240" w:lineRule="auto"/>
        <w:rPr>
          <w:rFonts w:cs="Arial"/>
        </w:rPr>
      </w:pPr>
      <w:r w:rsidRPr="00AB3140">
        <w:rPr>
          <w:rFonts w:cs="Arial"/>
          <w:b/>
          <w:bCs/>
        </w:rPr>
        <w:t>Catálogo de obras y acciones básicas del FAIS:</w:t>
      </w:r>
      <w:r w:rsidRPr="00AB3140">
        <w:rPr>
          <w:rFonts w:cs="Arial"/>
        </w:rPr>
        <w:t> Listado de proyectos de infraestructura social básica y acciones sociales básicas, relacionados con los rubros generales enunciados en la fracción I del apartado A del artículo 33 de la Ley de Coordinación Fiscal y conforme a lo señalado en los presentes Lineamientos, que se pueden llevar a cabo con recursos del FAIS, en sus dos componentes, FISE y FISMDF, identificando la incidencia de éstos en los indicadores de carencias sociales que defina el CONEVAL para la medición multidimensional de la pobreza y del rezago social. Se encuentra en el Manual de operación de la Matriz de Inversión para el Desarrollo Social.</w:t>
      </w:r>
    </w:p>
    <w:p w14:paraId="04F7CC86" w14:textId="77777777" w:rsidR="008511B6" w:rsidRPr="00AB3140" w:rsidRDefault="008511B6" w:rsidP="00B205BA">
      <w:pPr>
        <w:spacing w:after="120" w:line="240" w:lineRule="auto"/>
        <w:rPr>
          <w:rFonts w:cs="Arial"/>
        </w:rPr>
      </w:pPr>
      <w:r w:rsidRPr="00AB3140">
        <w:rPr>
          <w:rFonts w:cs="Arial"/>
          <w:b/>
          <w:bCs/>
        </w:rPr>
        <w:t xml:space="preserve">Ciudades inteligentes: </w:t>
      </w:r>
      <w:r w:rsidRPr="00AB3140">
        <w:rPr>
          <w:rFonts w:cs="Arial"/>
        </w:rPr>
        <w:t>Definidas por International Data Corporation (IDC) como un desarrollo que utiliza inversiones en tecnología en toda una ciudad, plataformas comunes que aumentan la eficiencia, datos compartidos entre sistemas e inversiones de TI vinculadas a misiones inteligentes.</w:t>
      </w:r>
    </w:p>
    <w:p w14:paraId="316DF16B" w14:textId="77777777" w:rsidR="008511B6" w:rsidRPr="00AB3140" w:rsidRDefault="008511B6" w:rsidP="00B205BA">
      <w:pPr>
        <w:spacing w:after="120" w:line="240" w:lineRule="auto"/>
        <w:rPr>
          <w:rFonts w:cs="Arial"/>
        </w:rPr>
      </w:pPr>
      <w:r w:rsidRPr="00AB3140">
        <w:rPr>
          <w:rFonts w:cs="Arial"/>
          <w:b/>
          <w:bCs/>
        </w:rPr>
        <w:t xml:space="preserve">Comité de Planeación Municipal: </w:t>
      </w:r>
      <w:r w:rsidRPr="00AB3140">
        <w:rPr>
          <w:rFonts w:cs="Arial"/>
        </w:rPr>
        <w:t>Órgano de Planeación. En base a la coordinación y concertación, promueve el desarrollo integral del municipio. Regula el Proceso de Planeación Democrática, en cuyo seno se definen los objetivos, metas, estrategias y líneas de acción para el desarrollo del municipio.</w:t>
      </w:r>
    </w:p>
    <w:p w14:paraId="61D36D50" w14:textId="77777777" w:rsidR="008511B6" w:rsidRPr="00AB3140" w:rsidRDefault="008511B6" w:rsidP="00B205BA">
      <w:pPr>
        <w:spacing w:after="120" w:line="240" w:lineRule="auto"/>
        <w:rPr>
          <w:rFonts w:cs="Arial"/>
        </w:rPr>
      </w:pPr>
      <w:r w:rsidRPr="00AB3140">
        <w:rPr>
          <w:rFonts w:cs="Arial"/>
          <w:b/>
          <w:bCs/>
        </w:rPr>
        <w:t xml:space="preserve">Competitividad: </w:t>
      </w:r>
      <w:r w:rsidRPr="00AB3140">
        <w:rPr>
          <w:rFonts w:cs="Arial"/>
        </w:rPr>
        <w:t>Capacidad para generar, atraer y retener talento e inversión que detonen la productividad y bienestar de sus habitantes.</w:t>
      </w:r>
    </w:p>
    <w:p w14:paraId="07156EEE" w14:textId="77777777" w:rsidR="008511B6" w:rsidRPr="00AB3140" w:rsidRDefault="008511B6" w:rsidP="00B205BA">
      <w:pPr>
        <w:spacing w:after="120" w:line="240" w:lineRule="auto"/>
        <w:rPr>
          <w:rFonts w:cs="Arial"/>
        </w:rPr>
      </w:pPr>
      <w:r w:rsidRPr="00AB3140">
        <w:rPr>
          <w:rFonts w:cs="Arial"/>
          <w:b/>
          <w:bCs/>
        </w:rPr>
        <w:t xml:space="preserve">Crecimiento: </w:t>
      </w:r>
      <w:r w:rsidRPr="00AB3140">
        <w:rPr>
          <w:rFonts w:cs="Arial"/>
        </w:rPr>
        <w:t>Evolución positiva de los estándares de vida de un territorio, habitualmente países, medidos en términos de la capacidad productiva de su economía y de su renta dentro de un período de tiempo concreto.</w:t>
      </w:r>
    </w:p>
    <w:p w14:paraId="5C4D6445" w14:textId="77777777" w:rsidR="008511B6" w:rsidRPr="00AB3140" w:rsidRDefault="008511B6" w:rsidP="00B205BA">
      <w:pPr>
        <w:spacing w:after="120" w:line="240" w:lineRule="auto"/>
        <w:rPr>
          <w:rFonts w:cs="Arial"/>
        </w:rPr>
      </w:pPr>
      <w:r w:rsidRPr="00AB3140">
        <w:rPr>
          <w:rFonts w:cs="Arial"/>
          <w:b/>
          <w:bCs/>
        </w:rPr>
        <w:t xml:space="preserve">Densidad de población: </w:t>
      </w:r>
      <w:r w:rsidRPr="00AB3140">
        <w:rPr>
          <w:rFonts w:cs="Arial"/>
        </w:rPr>
        <w:t>La relación entre la población y la superficie total de tierra de una ciudad o barrio.</w:t>
      </w:r>
    </w:p>
    <w:p w14:paraId="200C93AB" w14:textId="77777777" w:rsidR="008511B6" w:rsidRPr="00AB3140" w:rsidRDefault="008511B6" w:rsidP="00B205BA">
      <w:pPr>
        <w:spacing w:after="120" w:line="240" w:lineRule="auto"/>
        <w:rPr>
          <w:rFonts w:cs="Arial"/>
        </w:rPr>
      </w:pPr>
      <w:r w:rsidRPr="00AB3140">
        <w:rPr>
          <w:rFonts w:cs="Arial"/>
          <w:b/>
          <w:bCs/>
        </w:rPr>
        <w:lastRenderedPageBreak/>
        <w:t xml:space="preserve">Desarrollo: </w:t>
      </w:r>
      <w:r w:rsidRPr="00AB3140">
        <w:rPr>
          <w:rFonts w:cs="Arial"/>
        </w:rPr>
        <w:t>Capacidad de los ingresos de los países o regiones para crear riqueza a fin de mantener la prosperidad o bienestar económico y social de sus habitantes.</w:t>
      </w:r>
    </w:p>
    <w:p w14:paraId="1D89D07A" w14:textId="77777777" w:rsidR="008511B6" w:rsidRPr="00AB3140" w:rsidRDefault="008511B6" w:rsidP="00B205BA">
      <w:pPr>
        <w:spacing w:after="120" w:line="240" w:lineRule="auto"/>
        <w:rPr>
          <w:rFonts w:cs="Arial"/>
          <w:b/>
          <w:bCs/>
        </w:rPr>
      </w:pPr>
      <w:r w:rsidRPr="00AB3140">
        <w:rPr>
          <w:rFonts w:cs="Arial"/>
          <w:b/>
          <w:bCs/>
        </w:rPr>
        <w:t xml:space="preserve">Desarrollo Humano: </w:t>
      </w:r>
      <w:r w:rsidRPr="00AB3140">
        <w:rPr>
          <w:rFonts w:cs="Arial"/>
        </w:rPr>
        <w:t>Proceso continuo de ampliación de las capacidades y de las opciones de las personas para que puedan llevar a cabo el proyecto de vida que, por distintas razones, valoran.</w:t>
      </w:r>
    </w:p>
    <w:p w14:paraId="4B0FAB7E" w14:textId="77777777" w:rsidR="008511B6" w:rsidRPr="00AB3140" w:rsidRDefault="008511B6" w:rsidP="00B205BA">
      <w:pPr>
        <w:spacing w:after="120" w:line="240" w:lineRule="auto"/>
        <w:rPr>
          <w:rFonts w:cs="Arial"/>
          <w:b/>
          <w:bCs/>
        </w:rPr>
      </w:pPr>
      <w:r w:rsidRPr="00AB3140">
        <w:rPr>
          <w:rFonts w:cs="Arial"/>
          <w:b/>
          <w:bCs/>
        </w:rPr>
        <w:t xml:space="preserve">Desarrollo Social: </w:t>
      </w:r>
      <w:r w:rsidRPr="00AB3140">
        <w:rPr>
          <w:rFonts w:cs="Arial"/>
        </w:rPr>
        <w:t>Se refiere al desarrollo del capital humano y capital social en una sociedad. Implica una evolución o cambio positivo en las relaciones de individuos, grupos e instituciones en una sociedad.</w:t>
      </w:r>
    </w:p>
    <w:p w14:paraId="3332CC14" w14:textId="77777777" w:rsidR="008511B6" w:rsidRPr="00AB3140" w:rsidRDefault="008511B6" w:rsidP="00B205BA">
      <w:pPr>
        <w:spacing w:after="120" w:line="240" w:lineRule="auto"/>
        <w:rPr>
          <w:rFonts w:cs="Arial"/>
        </w:rPr>
      </w:pPr>
      <w:r w:rsidRPr="00AB3140">
        <w:rPr>
          <w:rFonts w:cs="Arial"/>
          <w:b/>
          <w:bCs/>
        </w:rPr>
        <w:t xml:space="preserve">Deuda Pública: </w:t>
      </w:r>
      <w:r w:rsidRPr="00AB3140">
        <w:rPr>
          <w:rFonts w:cs="Arial"/>
        </w:rPr>
        <w:t>Conjunto de obligaciones pendientes de pago que mantiene el sector público, a una determinada fecha, frente a sus acreedores.</w:t>
      </w:r>
    </w:p>
    <w:p w14:paraId="3ECBE3CC" w14:textId="77777777" w:rsidR="008511B6" w:rsidRPr="00AB3140" w:rsidRDefault="008511B6" w:rsidP="00B205BA">
      <w:pPr>
        <w:spacing w:after="120" w:line="240" w:lineRule="auto"/>
        <w:rPr>
          <w:rFonts w:cs="Arial"/>
          <w:b/>
          <w:bCs/>
        </w:rPr>
      </w:pPr>
      <w:r w:rsidRPr="00AB3140">
        <w:rPr>
          <w:rFonts w:cs="Arial"/>
          <w:b/>
          <w:bCs/>
        </w:rPr>
        <w:t xml:space="preserve">Electromovilidad: </w:t>
      </w:r>
      <w:r w:rsidRPr="00AB3140">
        <w:rPr>
          <w:rFonts w:cs="Arial"/>
        </w:rPr>
        <w:t>Uso de sistemas de propulsión eléctrica en medios de transporte, como bicicletas, motocicletas, trenes, aviones o vehículos. También se conoce como movilidad eléctrica o e-movilidad.</w:t>
      </w:r>
    </w:p>
    <w:p w14:paraId="2EEEDC5B" w14:textId="77777777" w:rsidR="008511B6" w:rsidRPr="00AB3140" w:rsidRDefault="008511B6" w:rsidP="00B205BA">
      <w:pPr>
        <w:spacing w:after="120" w:line="240" w:lineRule="auto"/>
        <w:rPr>
          <w:rFonts w:cs="Arial"/>
        </w:rPr>
      </w:pPr>
      <w:r w:rsidRPr="00AB3140">
        <w:rPr>
          <w:rFonts w:cs="Arial"/>
          <w:b/>
          <w:bCs/>
        </w:rPr>
        <w:t>Energías Limpias:</w:t>
      </w:r>
      <w:r w:rsidRPr="00AB3140">
        <w:rPr>
          <w:rFonts w:cs="Arial"/>
        </w:rPr>
        <w:t xml:space="preserve"> Aquellas fuentes de energía y procesos de generación de electricidad cuyas emisiones o residuos, cuando los haya, no rebasen los umbrales establecidos en las disposiciones reglamentarias que para tal efecto se expidan.</w:t>
      </w:r>
    </w:p>
    <w:p w14:paraId="1C886155" w14:textId="77777777" w:rsidR="008511B6" w:rsidRPr="00AB3140" w:rsidRDefault="008511B6" w:rsidP="00B205BA">
      <w:pPr>
        <w:spacing w:after="120" w:line="240" w:lineRule="auto"/>
        <w:rPr>
          <w:rFonts w:cs="Arial"/>
        </w:rPr>
      </w:pPr>
      <w:r w:rsidRPr="00AB3140">
        <w:rPr>
          <w:rFonts w:cs="Arial"/>
          <w:b/>
          <w:bCs/>
        </w:rPr>
        <w:t>FAISMUN:</w:t>
      </w:r>
      <w:r w:rsidRPr="00AB3140">
        <w:rPr>
          <w:rFonts w:cs="Arial"/>
        </w:rPr>
        <w:t xml:space="preserve"> Fondo de Aportaciones para la Infraestructura Social Municipal </w:t>
      </w:r>
    </w:p>
    <w:p w14:paraId="370ABE4A" w14:textId="77777777" w:rsidR="008511B6" w:rsidRPr="00AB3140" w:rsidRDefault="008511B6" w:rsidP="00B205BA">
      <w:pPr>
        <w:spacing w:after="120" w:line="240" w:lineRule="auto"/>
        <w:rPr>
          <w:rFonts w:cs="Arial"/>
        </w:rPr>
      </w:pPr>
      <w:r w:rsidRPr="00AB3140">
        <w:rPr>
          <w:rFonts w:cs="Arial"/>
          <w:b/>
          <w:bCs/>
        </w:rPr>
        <w:t xml:space="preserve">Fuente de energía: </w:t>
      </w:r>
      <w:r w:rsidRPr="00AB3140">
        <w:rPr>
          <w:rFonts w:cs="Arial"/>
        </w:rPr>
        <w:t>Una fuente de energía es un recurso natural, así como la tecnología asociada para explotarla y hacer un uso industrial y económico del mismo. La energía, en sí misma, nunca es un bien para el consumo final, sino un bien intermedio para satisfacer otras necesidades en la producción de bienes y servicios.</w:t>
      </w:r>
    </w:p>
    <w:p w14:paraId="3232F081" w14:textId="77777777" w:rsidR="008511B6" w:rsidRPr="00AB3140" w:rsidRDefault="008511B6" w:rsidP="00B205BA">
      <w:pPr>
        <w:spacing w:after="120" w:line="240" w:lineRule="auto"/>
        <w:rPr>
          <w:rFonts w:cs="Arial"/>
        </w:rPr>
      </w:pPr>
      <w:r w:rsidRPr="00AB3140">
        <w:rPr>
          <w:rFonts w:cs="Arial"/>
          <w:b/>
          <w:bCs/>
        </w:rPr>
        <w:t xml:space="preserve">Gobernanza: </w:t>
      </w:r>
      <w:r w:rsidRPr="00AB3140">
        <w:rPr>
          <w:rFonts w:cs="Arial"/>
        </w:rPr>
        <w:t>Forma de gobierno basada en la interrelación equilibrada del Estado, la sociedad civil y el mercado para lograr un desarrollo económico, social e institucional estable.</w:t>
      </w:r>
    </w:p>
    <w:p w14:paraId="6741539C" w14:textId="77777777" w:rsidR="008511B6" w:rsidRPr="00AB3140" w:rsidRDefault="008511B6" w:rsidP="00B205BA">
      <w:pPr>
        <w:spacing w:after="120" w:line="240" w:lineRule="auto"/>
        <w:rPr>
          <w:rFonts w:cs="Arial"/>
        </w:rPr>
      </w:pPr>
      <w:r w:rsidRPr="00AB3140">
        <w:rPr>
          <w:rFonts w:cs="Arial"/>
          <w:b/>
          <w:bCs/>
        </w:rPr>
        <w:t xml:space="preserve">Hacienda municipal: </w:t>
      </w:r>
      <w:r w:rsidRPr="00AB3140">
        <w:rPr>
          <w:rFonts w:cs="Arial"/>
        </w:rPr>
        <w:t>Rendimientos de los bienes que pertenezcan al gobierno municipal, así como de las contribuciones y otros ingresos que establezcan las leyes fiscales, los convenios y demás disposiciones normativas aplicables.</w:t>
      </w:r>
    </w:p>
    <w:p w14:paraId="50318434" w14:textId="77777777" w:rsidR="008511B6" w:rsidRPr="00AB3140" w:rsidRDefault="008511B6" w:rsidP="00B205BA">
      <w:pPr>
        <w:spacing w:after="120" w:line="240" w:lineRule="auto"/>
        <w:rPr>
          <w:rFonts w:cs="Arial"/>
        </w:rPr>
      </w:pPr>
      <w:r w:rsidRPr="00AB3140">
        <w:rPr>
          <w:rFonts w:cs="Arial"/>
          <w:b/>
          <w:bCs/>
        </w:rPr>
        <w:t xml:space="preserve">Indicador: </w:t>
      </w:r>
      <w:r w:rsidRPr="00AB3140">
        <w:rPr>
          <w:rFonts w:cs="Arial"/>
        </w:rPr>
        <w:t>Instrumento que provee información de una determinada condición o el logro de una cierta situación, actividad o resultado, y necesariamente debe representar una relación entre variables.</w:t>
      </w:r>
    </w:p>
    <w:p w14:paraId="16A99463" w14:textId="77777777" w:rsidR="008511B6" w:rsidRPr="00AB3140" w:rsidRDefault="008511B6" w:rsidP="00B205BA">
      <w:pPr>
        <w:spacing w:after="120" w:line="240" w:lineRule="auto"/>
        <w:rPr>
          <w:rFonts w:cs="Arial"/>
        </w:rPr>
      </w:pPr>
      <w:r w:rsidRPr="00AB3140">
        <w:rPr>
          <w:rFonts w:cs="Arial"/>
          <w:b/>
          <w:bCs/>
        </w:rPr>
        <w:t xml:space="preserve">Índice de la Tendencia Laboral de la Pobreza (ITLP): </w:t>
      </w:r>
      <w:r w:rsidRPr="00AB3140">
        <w:rPr>
          <w:rFonts w:cs="Arial"/>
        </w:rPr>
        <w:t>Índice que muestra trimestralmente la tendencia de la proporción de personas que no pueden adquirir la canasta alimentaria con el ingreso de su trabajo. Si el índice sube, significa que aumenta el porcentaje de personas que no pueden comprar una canasta alimentaria con el ingreso de su trabajo.</w:t>
      </w:r>
    </w:p>
    <w:p w14:paraId="02AE571C" w14:textId="77777777" w:rsidR="008511B6" w:rsidRPr="00AB3140" w:rsidRDefault="008511B6" w:rsidP="00B205BA">
      <w:pPr>
        <w:spacing w:after="120" w:line="240" w:lineRule="auto"/>
        <w:rPr>
          <w:rFonts w:cs="Arial"/>
        </w:rPr>
      </w:pPr>
      <w:r w:rsidRPr="00AB3140">
        <w:rPr>
          <w:rFonts w:cs="Arial"/>
          <w:b/>
          <w:bCs/>
        </w:rPr>
        <w:t>Índice de Rezago Social:</w:t>
      </w:r>
      <w:r w:rsidRPr="00AB3140">
        <w:rPr>
          <w:rFonts w:cs="Arial"/>
        </w:rPr>
        <w:t> es una medida ponderada que resume cuatro indicadores de carencias sociales (educación, salud, servicios básicos y calidad y espacios en la vivienda) en un solo índice que tiene como finalidad ordenar a las unidades de observación según sus carencias sociales.</w:t>
      </w:r>
    </w:p>
    <w:p w14:paraId="75508909" w14:textId="77777777" w:rsidR="008511B6" w:rsidRPr="00AB3140" w:rsidRDefault="008511B6" w:rsidP="00B205BA">
      <w:pPr>
        <w:spacing w:after="120" w:line="240" w:lineRule="auto"/>
        <w:rPr>
          <w:rFonts w:cs="Arial"/>
        </w:rPr>
      </w:pPr>
      <w:r w:rsidRPr="00AB3140">
        <w:rPr>
          <w:rFonts w:cs="Arial"/>
          <w:b/>
          <w:bCs/>
        </w:rPr>
        <w:t xml:space="preserve">INEGI: </w:t>
      </w:r>
      <w:r w:rsidRPr="00AB3140">
        <w:rPr>
          <w:rFonts w:cs="Arial"/>
        </w:rPr>
        <w:t>Instituto Nacional de Estadística y Geografía. Organismo público autónomo responsable de normar y coordinar el Sistema Nacional de Información Estadística y Geográfica, así como de captar y difundir información de México en cuanto al territorio, los recursos, la población y economía, que permita dar a conocer las características de nuestro país y ayudar a la toma de decisiones.</w:t>
      </w:r>
    </w:p>
    <w:p w14:paraId="2DA6237F" w14:textId="77777777" w:rsidR="008511B6" w:rsidRPr="00AB3140" w:rsidRDefault="008511B6" w:rsidP="00B205BA">
      <w:pPr>
        <w:spacing w:after="120" w:line="240" w:lineRule="auto"/>
        <w:rPr>
          <w:rFonts w:cs="Arial"/>
        </w:rPr>
      </w:pPr>
      <w:r w:rsidRPr="00AB3140">
        <w:rPr>
          <w:rFonts w:cs="Arial"/>
          <w:b/>
          <w:bCs/>
        </w:rPr>
        <w:lastRenderedPageBreak/>
        <w:t>Informe Anual de Pobreza y Rezago Social:</w:t>
      </w:r>
      <w:r w:rsidRPr="00AB3140">
        <w:rPr>
          <w:rFonts w:cs="Arial"/>
        </w:rPr>
        <w:t> Informe que elabora BIENESTAR, a través de la DGPA, en el que se informa sobre la situación de pobreza y rezago social, con base en los Insumos generados por la DGDR siguiendo los criterios establecidos por el CONEVAL, para la definición, identificación y medición de la pobreza en las entidades federativas, municipios y demarcaciones territoriales, que deberá publicarse en el Diario Oficial de la Federación a más tardar el último día hábil de enero del ejercicio fiscal correspondiente.</w:t>
      </w:r>
    </w:p>
    <w:p w14:paraId="59AC880A" w14:textId="77777777" w:rsidR="008511B6" w:rsidRPr="00AB3140" w:rsidRDefault="008511B6" w:rsidP="00B205BA">
      <w:pPr>
        <w:spacing w:after="120" w:line="240" w:lineRule="auto"/>
        <w:rPr>
          <w:rFonts w:cs="Arial"/>
        </w:rPr>
      </w:pPr>
      <w:r w:rsidRPr="00AB3140">
        <w:rPr>
          <w:rFonts w:cs="Arial"/>
          <w:b/>
          <w:bCs/>
        </w:rPr>
        <w:t>Infraestructura Social Básica:</w:t>
      </w:r>
      <w:r w:rsidRPr="00AB3140">
        <w:rPr>
          <w:rFonts w:cs="Arial"/>
        </w:rPr>
        <w:t> Obras de infraestructura relacionadas con los rubros de gasto señalados en el artículo 33 de la LCF para el FISE y el FISMDF que se desagregan en el catálogo del FAIS descrito en el Manual de operación MIDS.</w:t>
      </w:r>
    </w:p>
    <w:p w14:paraId="4AEBDDB8" w14:textId="77777777" w:rsidR="008511B6" w:rsidRPr="00AB3140" w:rsidRDefault="008511B6" w:rsidP="00B205BA">
      <w:pPr>
        <w:spacing w:after="120" w:line="240" w:lineRule="auto"/>
        <w:rPr>
          <w:rFonts w:cs="Arial"/>
        </w:rPr>
      </w:pPr>
      <w:r w:rsidRPr="00AB3140">
        <w:rPr>
          <w:rFonts w:cs="Arial"/>
          <w:b/>
          <w:bCs/>
        </w:rPr>
        <w:t xml:space="preserve">Infraestructura verde: </w:t>
      </w:r>
      <w:r w:rsidRPr="00AB3140">
        <w:rPr>
          <w:rFonts w:cs="Arial"/>
        </w:rPr>
        <w:t>A veces llamada “infraestructura verde de aguas pluviales”, es un enfoque para manejar los impactos del clima húmedo, utilizando sistemas de plantas y suelos que protegen, restauran o imitan el ciclo natural del agua y brindan muchos otros beneficios para la comunidad, como la seguridad de la comunidad y mejoras a la salud y el bienestar.</w:t>
      </w:r>
    </w:p>
    <w:p w14:paraId="55A5BFDF" w14:textId="77777777" w:rsidR="008511B6" w:rsidRPr="00AB3140" w:rsidRDefault="008511B6" w:rsidP="00B205BA">
      <w:pPr>
        <w:spacing w:after="120" w:line="240" w:lineRule="auto"/>
        <w:rPr>
          <w:rFonts w:cs="Arial"/>
        </w:rPr>
      </w:pPr>
      <w:r w:rsidRPr="00AB3140">
        <w:rPr>
          <w:rFonts w:cs="Arial"/>
          <w:b/>
          <w:bCs/>
        </w:rPr>
        <w:t xml:space="preserve">Ingresos: </w:t>
      </w:r>
      <w:r w:rsidRPr="00AB3140">
        <w:rPr>
          <w:rFonts w:cs="Arial"/>
        </w:rPr>
        <w:t>Recursos que capta el sector público para realizar sus actividades. Desde un punto de vista cuantitativo, los impuestos y los servicios (incluidas las cotizaciones sociales) constituyen, con mucha diferencia, el principal componente de los ingresos públicos.</w:t>
      </w:r>
    </w:p>
    <w:p w14:paraId="7A0BA767" w14:textId="77777777" w:rsidR="008511B6" w:rsidRPr="00AB3140" w:rsidRDefault="008511B6" w:rsidP="00B205BA">
      <w:pPr>
        <w:spacing w:after="120" w:line="240" w:lineRule="auto"/>
        <w:rPr>
          <w:rFonts w:cs="Arial"/>
        </w:rPr>
      </w:pPr>
      <w:r w:rsidRPr="00AB3140">
        <w:rPr>
          <w:rFonts w:cs="Arial"/>
          <w:b/>
          <w:bCs/>
        </w:rPr>
        <w:t xml:space="preserve">Medio ambiente: </w:t>
      </w:r>
      <w:r w:rsidRPr="00AB3140">
        <w:rPr>
          <w:rFonts w:cs="Arial"/>
        </w:rPr>
        <w:t>Espacio en el que se desarrolla la vida de los distintos organismos favoreciendo su interacción. En él se encuentran tanto seres vivos como elementos sin vida, y otros creados por la mano del hombre.</w:t>
      </w:r>
    </w:p>
    <w:p w14:paraId="2C221B99" w14:textId="77777777" w:rsidR="008511B6" w:rsidRPr="00AB3140" w:rsidRDefault="008511B6" w:rsidP="00B205BA">
      <w:pPr>
        <w:spacing w:after="120" w:line="240" w:lineRule="auto"/>
        <w:rPr>
          <w:rFonts w:cs="Arial"/>
        </w:rPr>
      </w:pPr>
      <w:r w:rsidRPr="00AB3140">
        <w:rPr>
          <w:rFonts w:cs="Arial"/>
          <w:b/>
          <w:bCs/>
        </w:rPr>
        <w:t xml:space="preserve">Micro movilidad: </w:t>
      </w:r>
      <w:r w:rsidRPr="00AB3140">
        <w:rPr>
          <w:rFonts w:cs="Arial"/>
        </w:rPr>
        <w:t>Dispositivos de transporte pequeños y livianos, como bicicletas, bicicletas eléctricas, patinetas y patinetas eléctricas, bicicletas compartidas y bicicletas sin muelle, que permiten viajes de corta distancia. A veces se utiliza para conectarse a otros medios de transporte. La micro movilidad se destaca por crear conectividad con el transporte público, reducir la dependencia de los automóviles privados, hacer un uso eficiente del espacio público existente y reducir las emisiones de GEI.</w:t>
      </w:r>
    </w:p>
    <w:p w14:paraId="338975C1" w14:textId="77777777" w:rsidR="008511B6" w:rsidRPr="00AB3140" w:rsidRDefault="008511B6" w:rsidP="00B205BA">
      <w:pPr>
        <w:spacing w:after="120" w:line="240" w:lineRule="auto"/>
        <w:rPr>
          <w:rFonts w:cs="Arial"/>
        </w:rPr>
      </w:pPr>
      <w:r w:rsidRPr="00AB3140">
        <w:rPr>
          <w:rFonts w:cs="Arial"/>
          <w:b/>
          <w:bCs/>
        </w:rPr>
        <w:t xml:space="preserve">Mitigación del cambio climático: </w:t>
      </w:r>
      <w:r w:rsidRPr="00AB3140">
        <w:rPr>
          <w:rFonts w:cs="Arial"/>
        </w:rPr>
        <w:t>Conjunto de acciones que tienen como objetivo frenar los impactos del cambio climático mediante la reducción de las emisiones de gases de efecto invernadero.</w:t>
      </w:r>
    </w:p>
    <w:p w14:paraId="3B77374B" w14:textId="77777777" w:rsidR="008511B6" w:rsidRPr="00AB3140" w:rsidRDefault="008511B6" w:rsidP="00B205BA">
      <w:pPr>
        <w:spacing w:after="120" w:line="240" w:lineRule="auto"/>
        <w:rPr>
          <w:rFonts w:cs="Arial"/>
          <w:b/>
          <w:bCs/>
        </w:rPr>
      </w:pPr>
      <w:r w:rsidRPr="00AB3140">
        <w:rPr>
          <w:rFonts w:cs="Arial"/>
          <w:b/>
          <w:bCs/>
        </w:rPr>
        <w:t>Movilidad Social: </w:t>
      </w:r>
      <w:r w:rsidRPr="00AB3140">
        <w:rPr>
          <w:rFonts w:cs="Arial"/>
        </w:rPr>
        <w:t>Cambio en la posición socioeconómica de las personas.</w:t>
      </w:r>
    </w:p>
    <w:p w14:paraId="67910B57" w14:textId="77777777" w:rsidR="008511B6" w:rsidRPr="00AB3140" w:rsidRDefault="008511B6" w:rsidP="00B205BA">
      <w:pPr>
        <w:spacing w:after="120" w:line="240" w:lineRule="auto"/>
        <w:rPr>
          <w:rFonts w:cs="Arial"/>
        </w:rPr>
      </w:pPr>
      <w:r w:rsidRPr="00AB3140">
        <w:rPr>
          <w:rFonts w:cs="Arial"/>
          <w:b/>
          <w:bCs/>
        </w:rPr>
        <w:t xml:space="preserve">Objetivos de Desarrollo Sostenible: </w:t>
      </w:r>
      <w:r w:rsidRPr="00AB3140">
        <w:rPr>
          <w:rFonts w:cs="Arial"/>
        </w:rPr>
        <w:t>También conocidos por sus siglas ODS, son una iniciativa impulsada por Naciones Unidas para dar continuidad a la Agenda de Desarrollo tras los Objetivos de Desarrollo del Milenio (ODM). Son 17 objetivos y 169 metas, propuestos como continuación de los ODM, incluyendo nuevas esferas como el cambio climático, la desigualdad económica, la innovación, el consumo sostenible, la paz y la justicia, entre otras prioridades.</w:t>
      </w:r>
    </w:p>
    <w:p w14:paraId="426CF34E" w14:textId="77777777" w:rsidR="008511B6" w:rsidRPr="007503ED" w:rsidRDefault="008511B6" w:rsidP="00B205BA">
      <w:pPr>
        <w:spacing w:after="120" w:line="240" w:lineRule="auto"/>
        <w:rPr>
          <w:rFonts w:cs="Arial"/>
          <w:highlight w:val="yellow"/>
        </w:rPr>
      </w:pPr>
      <w:r w:rsidRPr="00AB3140">
        <w:rPr>
          <w:rFonts w:cs="Arial"/>
          <w:b/>
          <w:bCs/>
        </w:rPr>
        <w:t xml:space="preserve">Participación ciudadana: </w:t>
      </w:r>
      <w:r w:rsidRPr="00AB3140">
        <w:rPr>
          <w:rFonts w:cs="Arial"/>
        </w:rPr>
        <w:t xml:space="preserve">Intervención de la ciudadanía en la toma de decisiones respecto </w:t>
      </w:r>
      <w:r w:rsidRPr="00F15563">
        <w:rPr>
          <w:rFonts w:cs="Arial"/>
        </w:rPr>
        <w:t>al manejo de los recursos y las acciones que tienen un impacto en el desarrollo de sus comunidades.</w:t>
      </w:r>
    </w:p>
    <w:p w14:paraId="797193C7" w14:textId="77777777" w:rsidR="008511B6" w:rsidRPr="00AB3140" w:rsidRDefault="008511B6" w:rsidP="00B205BA">
      <w:pPr>
        <w:spacing w:after="120" w:line="240" w:lineRule="auto"/>
        <w:rPr>
          <w:rFonts w:cs="Arial"/>
        </w:rPr>
      </w:pPr>
      <w:r w:rsidRPr="00AB3140">
        <w:rPr>
          <w:rFonts w:cs="Arial"/>
          <w:b/>
          <w:bCs/>
        </w:rPr>
        <w:t xml:space="preserve">Patrimonio cultural: </w:t>
      </w:r>
      <w:r w:rsidRPr="00AB3140">
        <w:rPr>
          <w:rFonts w:cs="Arial"/>
        </w:rPr>
        <w:t>Definido por la UNESCO como “el legado de bienes tangibles e intangibles de un grupo o sociedad que se heredan de generaciones pasadas, se mantienen en el presente y se otorgan en beneficio de las generaciones futuras”. Esta definición incluye objetos, sitios y edificios, así como el patrimonio cultural inmaterial, que puede garantizar la diversidad cultural de las generaciones futuras.</w:t>
      </w:r>
    </w:p>
    <w:p w14:paraId="34F255DE" w14:textId="77777777" w:rsidR="008511B6" w:rsidRPr="00AB3140" w:rsidRDefault="008511B6" w:rsidP="00B205BA">
      <w:pPr>
        <w:spacing w:after="120" w:line="240" w:lineRule="auto"/>
        <w:rPr>
          <w:rFonts w:cs="Arial"/>
        </w:rPr>
      </w:pPr>
      <w:r w:rsidRPr="00AB3140">
        <w:rPr>
          <w:rFonts w:cs="Arial"/>
          <w:b/>
          <w:bCs/>
        </w:rPr>
        <w:lastRenderedPageBreak/>
        <w:t xml:space="preserve">Plan Municipal de Desarrollo: </w:t>
      </w:r>
      <w:r w:rsidRPr="00AB3140">
        <w:rPr>
          <w:rFonts w:cs="Arial"/>
        </w:rPr>
        <w:t>Documento que contiene los objetivos, retos, estrategias y líneas de acción en el que se definen las principales políticas de la acción gubernamental.</w:t>
      </w:r>
    </w:p>
    <w:p w14:paraId="4FD4FE5D" w14:textId="77777777" w:rsidR="008511B6" w:rsidRPr="00AB3140" w:rsidRDefault="008511B6" w:rsidP="00B205BA">
      <w:pPr>
        <w:spacing w:after="120" w:line="240" w:lineRule="auto"/>
        <w:rPr>
          <w:rFonts w:cs="Arial"/>
        </w:rPr>
      </w:pPr>
      <w:r w:rsidRPr="00AB3140">
        <w:rPr>
          <w:rFonts w:cs="Arial"/>
          <w:b/>
          <w:bCs/>
        </w:rPr>
        <w:t>Pobreza: </w:t>
      </w:r>
      <w:r w:rsidRPr="00AB3140">
        <w:rPr>
          <w:rFonts w:cs="Arial"/>
        </w:rPr>
        <w:t>Una persona se encuentra en situación de pobreza cuando tiene al menos una carencia social (en los seis indicadores de rezago educativo, acceso a servicios de salud, acceso a la seguridad social, calidad y espacios de la vivienda, servicios básicos en la vivienda y acceso a la alimentación) y su ingreso es insuficiente para adquirir los bienes y servicios que requiere para satisfacer sus necesidades alimentarias y no alimentarias.</w:t>
      </w:r>
    </w:p>
    <w:p w14:paraId="392F1206" w14:textId="77777777" w:rsidR="008511B6" w:rsidRPr="00AB3140" w:rsidRDefault="008511B6" w:rsidP="00B205BA">
      <w:pPr>
        <w:spacing w:after="120" w:line="240" w:lineRule="auto"/>
        <w:rPr>
          <w:rFonts w:cs="Arial"/>
        </w:rPr>
      </w:pPr>
      <w:r w:rsidRPr="00AB3140">
        <w:rPr>
          <w:rFonts w:cs="Arial"/>
          <w:b/>
          <w:bCs/>
        </w:rPr>
        <w:t>Pobreza Extrema: </w:t>
      </w:r>
      <w:r w:rsidRPr="00AB3140">
        <w:rPr>
          <w:rFonts w:cs="Arial"/>
        </w:rPr>
        <w:t>Una persona se encuentra en situación de pobreza extrema cuando tiene tres o más carencias, de seis posibles, dentro del Índice de Privación Social y que, además, se encuentra por debajo de la línea de bienestar mínimo. Las personas en esta situación disponen de un ingreso tan bajo que, aun si lo dedicase por completo a la adquisición de alimentos, no podría adquirir los nutrientes necesarios para tener una vida sana.</w:t>
      </w:r>
    </w:p>
    <w:p w14:paraId="5DD33AA8" w14:textId="77777777" w:rsidR="008511B6" w:rsidRPr="00AB3140" w:rsidRDefault="008511B6" w:rsidP="00B205BA">
      <w:pPr>
        <w:spacing w:after="120" w:line="240" w:lineRule="auto"/>
        <w:rPr>
          <w:rFonts w:cs="Arial"/>
          <w:b/>
          <w:bCs/>
        </w:rPr>
      </w:pPr>
      <w:r w:rsidRPr="00AB3140">
        <w:rPr>
          <w:rFonts w:cs="Arial"/>
          <w:b/>
          <w:bCs/>
        </w:rPr>
        <w:t xml:space="preserve">Presupuesto: </w:t>
      </w:r>
      <w:r w:rsidRPr="00AB3140">
        <w:rPr>
          <w:rFonts w:cs="Arial"/>
        </w:rPr>
        <w:t>Instrumento de desarrollo anual de las instituciones, cuyos planes y programas se formulan por el plazo de un año.</w:t>
      </w:r>
    </w:p>
    <w:p w14:paraId="0B7E2E01" w14:textId="77777777" w:rsidR="008511B6" w:rsidRPr="00AB3140" w:rsidRDefault="008511B6" w:rsidP="00B205BA">
      <w:pPr>
        <w:spacing w:after="120" w:line="240" w:lineRule="auto"/>
        <w:rPr>
          <w:rFonts w:cs="Arial"/>
          <w:b/>
          <w:bCs/>
        </w:rPr>
      </w:pPr>
      <w:r w:rsidRPr="00AB3140">
        <w:rPr>
          <w:rFonts w:cs="Arial"/>
          <w:b/>
          <w:bCs/>
        </w:rPr>
        <w:t xml:space="preserve">Presupuesto participativo: </w:t>
      </w:r>
      <w:r w:rsidRPr="00AB3140">
        <w:rPr>
          <w:rFonts w:cs="Arial"/>
        </w:rPr>
        <w:t>Proceso deliberativo en el que los miembros de la comunidad deciden cómo gastar parte de un presupuesto público.</w:t>
      </w:r>
    </w:p>
    <w:p w14:paraId="02B79038" w14:textId="77777777" w:rsidR="008511B6" w:rsidRPr="00AB3140" w:rsidRDefault="008511B6" w:rsidP="00B205BA">
      <w:pPr>
        <w:spacing w:after="120" w:line="240" w:lineRule="auto"/>
        <w:rPr>
          <w:rFonts w:cs="Arial"/>
        </w:rPr>
      </w:pPr>
      <w:r w:rsidRPr="00AB3140">
        <w:rPr>
          <w:rFonts w:cs="Arial"/>
          <w:b/>
          <w:bCs/>
        </w:rPr>
        <w:t xml:space="preserve">Presupuesto de Egreso: </w:t>
      </w:r>
      <w:r w:rsidRPr="00AB3140">
        <w:rPr>
          <w:rFonts w:cs="Arial"/>
        </w:rPr>
        <w:t>Documento que concentra las partidas en las que el gobierno podrá gastar para satisfacer las necesidades colectivas, pero también es un instrumento que orienta la actividad económica del país o región.</w:t>
      </w:r>
    </w:p>
    <w:p w14:paraId="57245C21" w14:textId="77777777" w:rsidR="008511B6" w:rsidRPr="00AB3140" w:rsidRDefault="008511B6" w:rsidP="00B205BA">
      <w:pPr>
        <w:spacing w:after="120" w:line="240" w:lineRule="auto"/>
        <w:rPr>
          <w:rFonts w:cs="Arial"/>
        </w:rPr>
      </w:pPr>
      <w:r>
        <w:rPr>
          <w:rFonts w:cs="Arial"/>
          <w:b/>
          <w:bCs/>
        </w:rPr>
        <w:t xml:space="preserve">PTAR: </w:t>
      </w:r>
      <w:r w:rsidRPr="00AB3140">
        <w:rPr>
          <w:rFonts w:cs="Arial"/>
        </w:rPr>
        <w:t xml:space="preserve">Planta Tratadora de Aguas Residuales. </w:t>
      </w:r>
    </w:p>
    <w:p w14:paraId="28EF4924" w14:textId="77777777" w:rsidR="008511B6" w:rsidRPr="00AB3140" w:rsidRDefault="008511B6" w:rsidP="00B205BA">
      <w:pPr>
        <w:spacing w:after="120" w:line="240" w:lineRule="auto"/>
        <w:rPr>
          <w:rFonts w:cs="Arial"/>
        </w:rPr>
      </w:pPr>
      <w:r w:rsidRPr="00AB3140">
        <w:rPr>
          <w:rFonts w:cs="Arial"/>
          <w:b/>
          <w:bCs/>
        </w:rPr>
        <w:t>Recursos del FAIS: </w:t>
      </w:r>
      <w:r w:rsidRPr="00AB3140">
        <w:rPr>
          <w:rFonts w:cs="Arial"/>
        </w:rPr>
        <w:t>Aportaciones Federales transferidas a los gobiernos locales y entidades federativas condicionando su gasto a la consecución y cumplimiento de los objetivos que para cada tipo de aportación establece el artículo 33 de la LCF. Se dividen en dos componentes: FISE (aportaciones federales para las entidades federativas y Ciudad de México) y FISMDF (aportaciones federales para los municipios y demarcaciones territoriales de la Ciudad de México.)</w:t>
      </w:r>
    </w:p>
    <w:p w14:paraId="7ED5AAD0" w14:textId="77777777" w:rsidR="008511B6" w:rsidRPr="00AB3140" w:rsidRDefault="008511B6" w:rsidP="00B205BA">
      <w:pPr>
        <w:spacing w:after="120" w:line="240" w:lineRule="auto"/>
        <w:rPr>
          <w:rFonts w:cs="Arial"/>
        </w:rPr>
      </w:pPr>
      <w:r w:rsidRPr="00AB3140">
        <w:rPr>
          <w:rFonts w:cs="Arial"/>
          <w:b/>
          <w:bCs/>
        </w:rPr>
        <w:t xml:space="preserve">Rezago Habitacional: </w:t>
      </w:r>
      <w:r w:rsidRPr="00AB3140">
        <w:rPr>
          <w:rFonts w:cs="Arial"/>
        </w:rPr>
        <w:t>El número de viviendas que cuentan con materiales precarios en pisos, techos y muros, que no tienen excusado o cuyos residentes habitan en hacinamiento.</w:t>
      </w:r>
    </w:p>
    <w:p w14:paraId="32804E17" w14:textId="77777777" w:rsidR="008511B6" w:rsidRPr="00AB3140" w:rsidRDefault="008511B6" w:rsidP="00B205BA">
      <w:pPr>
        <w:spacing w:after="120" w:line="240" w:lineRule="auto"/>
        <w:rPr>
          <w:rFonts w:cs="Arial"/>
        </w:rPr>
      </w:pPr>
      <w:r w:rsidRPr="00AB3140">
        <w:rPr>
          <w:rFonts w:cs="Arial"/>
          <w:b/>
          <w:bCs/>
        </w:rPr>
        <w:t>SIDS:</w:t>
      </w:r>
      <w:r w:rsidRPr="00AB3140">
        <w:rPr>
          <w:rFonts w:cs="Arial"/>
        </w:rPr>
        <w:t xml:space="preserve"> Sistema de Información de Derechos Sociales</w:t>
      </w:r>
    </w:p>
    <w:p w14:paraId="7F409321" w14:textId="77777777" w:rsidR="008511B6" w:rsidRPr="00AB3140" w:rsidRDefault="008511B6" w:rsidP="00B205BA">
      <w:pPr>
        <w:spacing w:after="120" w:line="240" w:lineRule="auto"/>
        <w:rPr>
          <w:rFonts w:cs="Arial"/>
          <w:b/>
          <w:bCs/>
        </w:rPr>
      </w:pPr>
      <w:r w:rsidRPr="00AB3140">
        <w:rPr>
          <w:rFonts w:cs="Arial"/>
          <w:b/>
          <w:bCs/>
        </w:rPr>
        <w:t xml:space="preserve">Tenencia de la tierra: </w:t>
      </w:r>
      <w:r w:rsidRPr="00AB3140">
        <w:rPr>
          <w:rFonts w:cs="Arial"/>
        </w:rPr>
        <w:t>Derechos, responsabilidades y limitaciones que tienen las personas o comunidades como propietarios de la tierra.</w:t>
      </w:r>
    </w:p>
    <w:p w14:paraId="6B5963D4" w14:textId="77777777" w:rsidR="008511B6" w:rsidRPr="00AB3140" w:rsidRDefault="008511B6" w:rsidP="00B205BA">
      <w:pPr>
        <w:spacing w:after="120" w:line="240" w:lineRule="auto"/>
        <w:rPr>
          <w:rFonts w:cs="Arial"/>
        </w:rPr>
      </w:pPr>
      <w:r w:rsidRPr="00AB3140">
        <w:rPr>
          <w:rFonts w:cs="Arial"/>
          <w:b/>
          <w:bCs/>
        </w:rPr>
        <w:t xml:space="preserve">Territorio: </w:t>
      </w:r>
      <w:r w:rsidRPr="00AB3140">
        <w:rPr>
          <w:rFonts w:cs="Arial"/>
        </w:rPr>
        <w:t>Extensión de tierra que pertenece a un Estado, provincia u otro tipo de división política.</w:t>
      </w:r>
    </w:p>
    <w:p w14:paraId="5F57AC2F" w14:textId="77777777" w:rsidR="008511B6" w:rsidRPr="00AB3140" w:rsidRDefault="008511B6" w:rsidP="00B205BA">
      <w:pPr>
        <w:spacing w:after="120" w:line="240" w:lineRule="auto"/>
        <w:rPr>
          <w:rFonts w:cs="Arial"/>
          <w:b/>
          <w:bCs/>
        </w:rPr>
      </w:pPr>
      <w:r w:rsidRPr="00AB3140">
        <w:rPr>
          <w:rFonts w:cs="Arial"/>
          <w:b/>
          <w:bCs/>
        </w:rPr>
        <w:t xml:space="preserve">Titulación de la tierra: </w:t>
      </w:r>
      <w:r w:rsidRPr="00AB3140">
        <w:rPr>
          <w:rFonts w:cs="Arial"/>
        </w:rPr>
        <w:t>A veces llamada regularización de la tenencia de la tierra, es un proceso mediante el cual la tenencia informal se integra en un sistema reconocido por las autoridades.</w:t>
      </w:r>
    </w:p>
    <w:p w14:paraId="095B91BA" w14:textId="44D74F69" w:rsidR="008511B6" w:rsidRPr="00F15563" w:rsidRDefault="008511B6" w:rsidP="00F15563">
      <w:pPr>
        <w:spacing w:after="120" w:line="240" w:lineRule="auto"/>
        <w:rPr>
          <w:rFonts w:cs="Arial"/>
        </w:rPr>
      </w:pPr>
      <w:r w:rsidRPr="00AB3140">
        <w:rPr>
          <w:rFonts w:cs="Arial"/>
          <w:b/>
          <w:bCs/>
        </w:rPr>
        <w:t xml:space="preserve">Transparencia: </w:t>
      </w:r>
      <w:r w:rsidRPr="00AB3140">
        <w:rPr>
          <w:rFonts w:cs="Arial"/>
        </w:rPr>
        <w:t>Cualidad de la actividad pública que consiste en la apertura del sector público a la divulgación de información acerca de su gestión</w:t>
      </w:r>
      <w:r w:rsidR="00F15563">
        <w:rPr>
          <w:rFonts w:cs="Arial"/>
        </w:rPr>
        <w:t>.</w:t>
      </w:r>
    </w:p>
    <w:p w14:paraId="7F4B0715" w14:textId="77777777" w:rsidR="008511B6" w:rsidRDefault="008511B6" w:rsidP="00B205BA">
      <w:pPr>
        <w:spacing w:before="100" w:beforeAutospacing="1" w:after="120" w:line="240" w:lineRule="auto"/>
        <w:rPr>
          <w:rFonts w:eastAsia="Times New Roman" w:cs="Arial"/>
          <w:b/>
          <w:bCs/>
          <w:sz w:val="24"/>
          <w:szCs w:val="24"/>
          <w:lang w:eastAsia="es-ES_tradnl" w:bidi="ar-SA"/>
        </w:rPr>
      </w:pPr>
    </w:p>
    <w:p w14:paraId="640E6331"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131FBF90" w14:textId="3F94ACEF" w:rsidR="00AC3B12" w:rsidRDefault="0062376D" w:rsidP="00AC3B12">
      <w:pPr>
        <w:pStyle w:val="Ttulo2"/>
      </w:pPr>
      <w:bookmarkStart w:id="29" w:name="_Toc187396127"/>
      <w:r w:rsidRPr="00CE000C">
        <w:lastRenderedPageBreak/>
        <w:t>REFERENCIAS</w:t>
      </w:r>
      <w:bookmarkEnd w:id="29"/>
    </w:p>
    <w:p w14:paraId="4404A41F" w14:textId="77777777" w:rsidR="00AC3B12" w:rsidRPr="00CE000C" w:rsidRDefault="00AC3B12" w:rsidP="00AC3B12">
      <w:pPr>
        <w:spacing w:after="0"/>
        <w:rPr>
          <w:rFonts w:cs="Arial"/>
          <w:b/>
          <w:bCs/>
        </w:rPr>
      </w:pPr>
    </w:p>
    <w:p w14:paraId="01190492" w14:textId="77777777" w:rsidR="00AC3B12" w:rsidRPr="005577DD" w:rsidRDefault="00AC3B12" w:rsidP="00AC3B12">
      <w:pPr>
        <w:spacing w:after="0"/>
        <w:ind w:left="567" w:hanging="567"/>
        <w:jc w:val="left"/>
        <w:rPr>
          <w:rFonts w:cs="Arial"/>
        </w:rPr>
      </w:pPr>
      <w:bookmarkStart w:id="30" w:name="_Hlk183644854"/>
      <w:r w:rsidRPr="005577DD">
        <w:rPr>
          <w:rFonts w:cs="Arial"/>
        </w:rPr>
        <w:t xml:space="preserve">Asamblea General de las Naciones Unidas. (20 de septiembre de 2024). </w:t>
      </w:r>
      <w:r w:rsidRPr="00B83016">
        <w:rPr>
          <w:rFonts w:cs="Arial"/>
          <w:i/>
          <w:iCs/>
        </w:rPr>
        <w:t>Proyecto de Resolución A/79/L.2. El Pacto para el Futuro</w:t>
      </w:r>
      <w:r w:rsidRPr="005577DD">
        <w:rPr>
          <w:rFonts w:cs="Arial"/>
        </w:rPr>
        <w:t>. https://documents.un.org/doc/undoc/ltd/n24/252/92/pdf/n2425292.pdf</w:t>
      </w:r>
    </w:p>
    <w:p w14:paraId="37D0F735" w14:textId="77777777" w:rsidR="00AC3B12" w:rsidRPr="005577DD" w:rsidRDefault="00AC3B12" w:rsidP="00AC3B12">
      <w:pPr>
        <w:spacing w:after="0"/>
        <w:ind w:left="567" w:hanging="567"/>
        <w:jc w:val="left"/>
        <w:rPr>
          <w:rFonts w:cs="Arial"/>
        </w:rPr>
      </w:pPr>
      <w:r w:rsidRPr="005577DD">
        <w:rPr>
          <w:rFonts w:cs="Arial"/>
        </w:rPr>
        <w:t xml:space="preserve">Ayuntamiento de Hermosillo. (2022). </w:t>
      </w:r>
      <w:r w:rsidRPr="00B83016">
        <w:rPr>
          <w:rFonts w:cs="Arial"/>
          <w:i/>
          <w:iCs/>
        </w:rPr>
        <w:t>Plan Municipal de Desarrollo Hermosillo 2022-2024</w:t>
      </w:r>
      <w:r w:rsidRPr="005577DD">
        <w:rPr>
          <w:rFonts w:cs="Arial"/>
        </w:rPr>
        <w:t>. https://www.hermosillo.gob.mx/descargas/PMD_2022WEB.pdf</w:t>
      </w:r>
    </w:p>
    <w:p w14:paraId="66A87F80" w14:textId="77777777" w:rsidR="00AC3B12" w:rsidRPr="005577DD" w:rsidRDefault="00AC3B12" w:rsidP="00AC3B12">
      <w:pPr>
        <w:spacing w:after="0"/>
        <w:ind w:left="567" w:hanging="567"/>
        <w:jc w:val="left"/>
        <w:rPr>
          <w:rFonts w:cs="Arial"/>
        </w:rPr>
      </w:pPr>
      <w:r w:rsidRPr="005577DD">
        <w:rPr>
          <w:rFonts w:cs="Arial"/>
        </w:rPr>
        <w:t xml:space="preserve">Ayuntamiento de Hermosillo-Banco Interamericano de Desarrollo-Banco de Desarrollo de América del Norte. (2018). </w:t>
      </w:r>
      <w:r w:rsidRPr="00B83016">
        <w:rPr>
          <w:rFonts w:cs="Arial"/>
          <w:i/>
          <w:iCs/>
        </w:rPr>
        <w:t>Hermosillo a Escala Humana. Ciudad diversificada, innovadora y sostenible</w:t>
      </w:r>
      <w:r w:rsidRPr="005577DD">
        <w:rPr>
          <w:rFonts w:cs="Arial"/>
        </w:rPr>
        <w:t>. https://www.nadb.org/uploads/files/3_hermosillo_a_escala_humana_ciudad_diversificada_innovadora_y_sostenible_2018.pdf</w:t>
      </w:r>
    </w:p>
    <w:p w14:paraId="69302F3C" w14:textId="77777777" w:rsidR="00AC3B12" w:rsidRPr="005577DD" w:rsidRDefault="00AC3B12" w:rsidP="00AC3B12">
      <w:pPr>
        <w:spacing w:after="0"/>
        <w:ind w:left="567" w:hanging="567"/>
        <w:jc w:val="left"/>
        <w:rPr>
          <w:rFonts w:cs="Arial"/>
        </w:rPr>
      </w:pPr>
      <w:r w:rsidRPr="005577DD">
        <w:rPr>
          <w:rFonts w:cs="Arial"/>
        </w:rPr>
        <w:t xml:space="preserve">Ayuntamiento de Hermosillo. (2022). </w:t>
      </w:r>
      <w:r w:rsidRPr="00B83016">
        <w:rPr>
          <w:rFonts w:cs="Arial"/>
          <w:i/>
          <w:iCs/>
        </w:rPr>
        <w:t>Agenda de Largo Plazo del Municipio de Hermosillo 2022-2033. Comité Técnico Especializado del COPLAM</w:t>
      </w:r>
      <w:r w:rsidRPr="005577DD">
        <w:rPr>
          <w:rFonts w:cs="Arial"/>
        </w:rPr>
        <w:t>. https://www.hermosillo.gob.mx/descargas/Agenda%20Municipal%20de%20Largo%20Plazo%202022-2033.pdf</w:t>
      </w:r>
    </w:p>
    <w:p w14:paraId="7890F38D" w14:textId="77777777" w:rsidR="00AC3B12" w:rsidRPr="005577DD" w:rsidRDefault="00AC3B12" w:rsidP="00AC3B12">
      <w:pPr>
        <w:spacing w:after="0"/>
        <w:ind w:left="567" w:hanging="567"/>
        <w:jc w:val="left"/>
        <w:rPr>
          <w:rFonts w:cs="Arial"/>
        </w:rPr>
      </w:pPr>
      <w:r w:rsidRPr="005577DD">
        <w:rPr>
          <w:rFonts w:cs="Arial"/>
        </w:rPr>
        <w:t xml:space="preserve">Banco Mundial. (11 de junio de 2024). </w:t>
      </w:r>
      <w:r w:rsidRPr="00B83016">
        <w:rPr>
          <w:rFonts w:cs="Arial"/>
          <w:i/>
          <w:iCs/>
        </w:rPr>
        <w:t>El crecimiento mundial se estabiliza por primera vez en tres años</w:t>
      </w:r>
      <w:r w:rsidRPr="005577DD">
        <w:rPr>
          <w:rFonts w:cs="Arial"/>
        </w:rPr>
        <w:t>. https://www.bancomundial.org/es/news/press-release/2024/06/11/global-economic-prospects-june-2024-press-release</w:t>
      </w:r>
    </w:p>
    <w:p w14:paraId="6BDC517F" w14:textId="77777777" w:rsidR="00AC3B12" w:rsidRPr="005577DD" w:rsidRDefault="00AC3B12" w:rsidP="00AC3B12">
      <w:pPr>
        <w:spacing w:after="0"/>
        <w:ind w:left="567" w:hanging="567"/>
        <w:jc w:val="left"/>
        <w:rPr>
          <w:rFonts w:cs="Arial"/>
        </w:rPr>
      </w:pPr>
      <w:r w:rsidRPr="005577DD">
        <w:rPr>
          <w:rFonts w:cs="Arial"/>
        </w:rPr>
        <w:t xml:space="preserve">Banco Mundial. (9 de octubre de 2024). </w:t>
      </w:r>
      <w:r w:rsidRPr="00B83016">
        <w:rPr>
          <w:rFonts w:cs="Arial"/>
          <w:i/>
          <w:iCs/>
        </w:rPr>
        <w:t>México: panorama general.</w:t>
      </w:r>
      <w:r w:rsidRPr="005577DD">
        <w:rPr>
          <w:rFonts w:cs="Arial"/>
        </w:rPr>
        <w:t xml:space="preserve"> https://www.bancomundial.org/es/country/mexico/overview</w:t>
      </w:r>
    </w:p>
    <w:p w14:paraId="7E2F56EA" w14:textId="77777777" w:rsidR="00AC3B12" w:rsidRPr="005577DD" w:rsidRDefault="00AC3B12" w:rsidP="00AC3B12">
      <w:pPr>
        <w:spacing w:after="0"/>
        <w:ind w:left="567" w:hanging="567"/>
        <w:jc w:val="left"/>
        <w:rPr>
          <w:rFonts w:cs="Arial"/>
        </w:rPr>
      </w:pPr>
      <w:r w:rsidRPr="005577DD">
        <w:rPr>
          <w:rFonts w:cs="Arial"/>
        </w:rPr>
        <w:t xml:space="preserve">Comisión Nacional de Vivienda. (2021). </w:t>
      </w:r>
      <w:r w:rsidRPr="00B83016">
        <w:rPr>
          <w:rFonts w:cs="Arial"/>
          <w:i/>
          <w:iCs/>
        </w:rPr>
        <w:t>Rezago Habitacional 2020. Encuesta Nacional de Ingreso y Gasto en Hogares</w:t>
      </w:r>
      <w:r w:rsidRPr="005577DD">
        <w:rPr>
          <w:rFonts w:cs="Arial"/>
        </w:rPr>
        <w:t>. https://siesco.conavi.gob.mx/doc/analisis/2021/Censo_Rezago_ENIGH_2020.pdf</w:t>
      </w:r>
    </w:p>
    <w:p w14:paraId="792650DB" w14:textId="77777777" w:rsidR="00AC3B12" w:rsidRPr="005577DD" w:rsidRDefault="00AC3B12" w:rsidP="00AC3B12">
      <w:pPr>
        <w:spacing w:after="0"/>
        <w:ind w:left="567" w:hanging="567"/>
        <w:jc w:val="left"/>
        <w:rPr>
          <w:rFonts w:cs="Arial"/>
        </w:rPr>
      </w:pPr>
      <w:r w:rsidRPr="005577DD">
        <w:rPr>
          <w:rFonts w:cs="Arial"/>
        </w:rPr>
        <w:t xml:space="preserve">Comisión Nacional de Vivienda. (2024). </w:t>
      </w:r>
      <w:r w:rsidRPr="00B83016">
        <w:rPr>
          <w:rFonts w:cs="Arial"/>
          <w:i/>
          <w:iCs/>
        </w:rPr>
        <w:t>Perfil Municipal del Rezago Habitacional. Sonora. Censo de Población y Vivienda 2020</w:t>
      </w:r>
      <w:r w:rsidRPr="005577DD">
        <w:rPr>
          <w:rFonts w:cs="Arial"/>
        </w:rPr>
        <w:t>. https://siesco.conavi.gob.mx/img/siesco/RezagoHabitacional/Infografias/Estatal/26.pdf</w:t>
      </w:r>
    </w:p>
    <w:p w14:paraId="4DF8D985" w14:textId="77777777" w:rsidR="00AC3B12" w:rsidRPr="005577DD" w:rsidRDefault="00AC3B12" w:rsidP="00AC3B12">
      <w:pPr>
        <w:spacing w:after="0"/>
        <w:ind w:left="567" w:hanging="567"/>
        <w:jc w:val="left"/>
        <w:rPr>
          <w:rFonts w:cs="Arial"/>
        </w:rPr>
      </w:pPr>
      <w:r w:rsidRPr="005577DD">
        <w:rPr>
          <w:rFonts w:cs="Arial"/>
        </w:rPr>
        <w:t xml:space="preserve">Consejo Nacional de Evaluación de la Política de Desarrollo Social. </w:t>
      </w:r>
      <w:r w:rsidRPr="00B83016">
        <w:rPr>
          <w:rFonts w:cs="Arial"/>
          <w:i/>
          <w:iCs/>
        </w:rPr>
        <w:t>Desigualdades para grupos de población</w:t>
      </w:r>
      <w:r w:rsidRPr="005577DD">
        <w:rPr>
          <w:rFonts w:cs="Arial"/>
        </w:rPr>
        <w:t>. CONEVAL. https://sistemas.coneval.org.mx/SIDS/Serie2016-2022/Acceso-grupos-poblacion</w:t>
      </w:r>
    </w:p>
    <w:p w14:paraId="5EBD95D0" w14:textId="77777777" w:rsidR="00AC3B12" w:rsidRPr="005577DD" w:rsidRDefault="00AC3B12" w:rsidP="00AC3B12">
      <w:pPr>
        <w:spacing w:after="0"/>
        <w:ind w:left="567" w:hanging="567"/>
        <w:jc w:val="left"/>
        <w:rPr>
          <w:rFonts w:cs="Arial"/>
        </w:rPr>
      </w:pPr>
      <w:r w:rsidRPr="005577DD">
        <w:rPr>
          <w:rFonts w:cs="Arial"/>
        </w:rPr>
        <w:t xml:space="preserve">Consejo Nacional de Evaluación de la Política de Desarrollo Social. </w:t>
      </w:r>
      <w:r w:rsidRPr="00B83016">
        <w:rPr>
          <w:rFonts w:cs="Arial"/>
          <w:i/>
          <w:iCs/>
        </w:rPr>
        <w:t xml:space="preserve">Informe de Pobreza y Evaluación 2020. </w:t>
      </w:r>
      <w:r w:rsidRPr="005577DD">
        <w:rPr>
          <w:rFonts w:cs="Arial"/>
        </w:rPr>
        <w:t xml:space="preserve">CONEVAL. </w:t>
      </w:r>
      <w:r w:rsidRPr="005577DD">
        <w:rPr>
          <w:rFonts w:cs="Arial"/>
        </w:rPr>
        <w:lastRenderedPageBreak/>
        <w:t>https://www.coneval.org.mx/coordinacion/entidades/Documents/Informes_de_pobreza_y_evaluacion_2020_Documentos/Informe_Sonora_2020.pdf</w:t>
      </w:r>
    </w:p>
    <w:p w14:paraId="2A2925E1" w14:textId="77777777" w:rsidR="00AC3B12" w:rsidRPr="005577DD" w:rsidRDefault="00AC3B12" w:rsidP="00AC3B12">
      <w:pPr>
        <w:spacing w:after="0"/>
        <w:ind w:left="567" w:hanging="567"/>
        <w:jc w:val="left"/>
        <w:rPr>
          <w:rFonts w:cs="Arial"/>
        </w:rPr>
      </w:pPr>
      <w:r w:rsidRPr="005577DD">
        <w:rPr>
          <w:rFonts w:cs="Arial"/>
        </w:rPr>
        <w:t xml:space="preserve">Consejo Nacional de Evaluación de la Política de Desarrollo Social. </w:t>
      </w:r>
      <w:r w:rsidRPr="00B83016">
        <w:rPr>
          <w:rFonts w:cs="Arial"/>
          <w:i/>
          <w:iCs/>
        </w:rPr>
        <w:t xml:space="preserve">Sistema de Información de Derechos Sociales. </w:t>
      </w:r>
      <w:r w:rsidRPr="005577DD">
        <w:rPr>
          <w:rFonts w:cs="Arial"/>
        </w:rPr>
        <w:t>CONEVAL. https://sistemas.coneval.org.mx/SIDS/Serie2016-2022</w:t>
      </w:r>
      <w:r w:rsidRPr="005577DD" w:rsidDel="006A1764">
        <w:rPr>
          <w:rFonts w:cs="Arial"/>
        </w:rPr>
        <w:t xml:space="preserve"> </w:t>
      </w:r>
    </w:p>
    <w:p w14:paraId="079EF000" w14:textId="77777777" w:rsidR="00AC3B12" w:rsidRPr="005577DD" w:rsidRDefault="00AC3B12" w:rsidP="00AC3B12">
      <w:pPr>
        <w:spacing w:after="0"/>
        <w:ind w:left="567" w:hanging="567"/>
        <w:jc w:val="left"/>
        <w:rPr>
          <w:rFonts w:cs="Arial"/>
        </w:rPr>
      </w:pPr>
      <w:r w:rsidRPr="005577DD">
        <w:rPr>
          <w:rFonts w:cs="Arial"/>
        </w:rPr>
        <w:t xml:space="preserve">Consejo Nacional de Población. (2023). </w:t>
      </w:r>
      <w:r w:rsidRPr="00B83016">
        <w:rPr>
          <w:rFonts w:cs="Arial"/>
          <w:i/>
          <w:iCs/>
        </w:rPr>
        <w:t>Proyecciones de la población de los municipios de México 2015-2030</w:t>
      </w:r>
      <w:r w:rsidRPr="005577DD">
        <w:rPr>
          <w:rFonts w:cs="Arial"/>
        </w:rPr>
        <w:t xml:space="preserve">. CONAPO/SEGOB. </w:t>
      </w:r>
      <w:r w:rsidRPr="00B83016">
        <w:rPr>
          <w:rFonts w:cs="Arial"/>
        </w:rPr>
        <w:t>https://www.gob.mx/segob/prensa/presenta-secretaria-general-del-consejo-nacional-de-poblacion-proyecciones-de-poblacion-de-los-municipios-de-mexico-2015-2030</w:t>
      </w:r>
    </w:p>
    <w:p w14:paraId="7769D982" w14:textId="77777777" w:rsidR="00AC3B12" w:rsidRPr="005577DD" w:rsidRDefault="00AC3B12" w:rsidP="00AC3B12">
      <w:pPr>
        <w:spacing w:after="0"/>
        <w:ind w:left="567" w:hanging="567"/>
        <w:jc w:val="left"/>
        <w:rPr>
          <w:rFonts w:cs="Arial"/>
        </w:rPr>
      </w:pPr>
      <w:r w:rsidRPr="005577DD">
        <w:rPr>
          <w:rFonts w:cs="Arial"/>
        </w:rPr>
        <w:t xml:space="preserve">Decreto por el que se formula la Declaratoria de las Zonas de Atención Prioritaria para el año 2024. Publicado en el </w:t>
      </w:r>
      <w:r w:rsidRPr="00B83016">
        <w:rPr>
          <w:rFonts w:cs="Arial"/>
          <w:i/>
          <w:iCs/>
        </w:rPr>
        <w:t>Diario Oficial de la Federación</w:t>
      </w:r>
      <w:r w:rsidRPr="005577DD">
        <w:rPr>
          <w:rFonts w:cs="Arial"/>
        </w:rPr>
        <w:t xml:space="preserve"> el 25 de noviembre de 2023. https://dof.gob.mx/nota_detalle.php?codigo=5709509&amp;fecha=25/11/2023</w:t>
      </w:r>
    </w:p>
    <w:p w14:paraId="32CA4232" w14:textId="77777777" w:rsidR="00AC3B12" w:rsidRPr="005577DD" w:rsidRDefault="00AC3B12" w:rsidP="00AC3B12">
      <w:pPr>
        <w:spacing w:after="0"/>
        <w:ind w:left="567" w:hanging="567"/>
        <w:jc w:val="left"/>
        <w:rPr>
          <w:rFonts w:cs="Arial"/>
        </w:rPr>
      </w:pPr>
      <w:r w:rsidRPr="005577DD">
        <w:rPr>
          <w:rFonts w:cs="Arial"/>
        </w:rPr>
        <w:t>Hermosillo ¿Cómo vamos?</w:t>
      </w:r>
      <w:r>
        <w:rPr>
          <w:rFonts w:cs="Arial"/>
        </w:rPr>
        <w:t xml:space="preserve"> </w:t>
      </w:r>
      <w:r w:rsidRPr="005577DD">
        <w:rPr>
          <w:rFonts w:cs="Arial"/>
        </w:rPr>
        <w:t xml:space="preserve">(9 de noviembre de 2023). </w:t>
      </w:r>
      <w:r w:rsidRPr="00FA5F66">
        <w:rPr>
          <w:rFonts w:cs="Arial"/>
          <w:i/>
          <w:iCs/>
        </w:rPr>
        <w:t>El nearshoring y Hermosillo.</w:t>
      </w:r>
      <w:r w:rsidRPr="005577DD">
        <w:rPr>
          <w:rFonts w:cs="Arial"/>
        </w:rPr>
        <w:t xml:space="preserve"> https://hermosillocomovamos.org/2023/11/09/el-nearshoring-y-hermosillo/</w:t>
      </w:r>
    </w:p>
    <w:p w14:paraId="145A3648" w14:textId="77777777" w:rsidR="00AC3B12" w:rsidRPr="005577DD" w:rsidRDefault="00AC3B12" w:rsidP="00AC3B12">
      <w:pPr>
        <w:spacing w:after="0"/>
        <w:ind w:left="567" w:hanging="567"/>
        <w:jc w:val="left"/>
        <w:rPr>
          <w:rFonts w:cs="Arial"/>
        </w:rPr>
      </w:pPr>
      <w:r w:rsidRPr="005577DD">
        <w:rPr>
          <w:rFonts w:cs="Arial"/>
        </w:rPr>
        <w:t xml:space="preserve">Hermosillo ¿Cómo Vamos? (2023). </w:t>
      </w:r>
      <w:r w:rsidRPr="00FA5F66">
        <w:rPr>
          <w:rFonts w:cs="Arial"/>
          <w:i/>
          <w:iCs/>
        </w:rPr>
        <w:t>Informe de Indicadores 2023. Observatorio para la Competitividad y el Desarrollo de Sonora A.C.</w:t>
      </w:r>
      <w:r w:rsidRPr="005577DD">
        <w:rPr>
          <w:rFonts w:cs="Arial"/>
        </w:rPr>
        <w:t xml:space="preserve"> https://drive.google.com/drive/folders/1ARxluw90E8TxCLWSci6arfAlxbJ4JD-d</w:t>
      </w:r>
    </w:p>
    <w:p w14:paraId="63E131E2" w14:textId="77777777" w:rsidR="00AC3B12" w:rsidRPr="005577DD" w:rsidRDefault="00AC3B12" w:rsidP="00AC3B12">
      <w:pPr>
        <w:spacing w:after="0"/>
        <w:ind w:left="567" w:hanging="567"/>
        <w:jc w:val="left"/>
        <w:rPr>
          <w:rFonts w:cs="Arial"/>
        </w:rPr>
      </w:pPr>
      <w:r w:rsidRPr="005577DD">
        <w:rPr>
          <w:rFonts w:cs="Arial"/>
        </w:rPr>
        <w:t xml:space="preserve">Iniciativa de Ley de Ingresos y Presupuesto de Ingresos del Estado de Sonora para el Ejercicio Fiscal del año 2024. Parte expositiva. Contexto y perspectiva económica. Contexto local. Publicada en </w:t>
      </w:r>
      <w:r w:rsidRPr="00FA5F66">
        <w:rPr>
          <w:rFonts w:cs="Arial"/>
          <w:i/>
          <w:iCs/>
        </w:rPr>
        <w:t>La Gaceta Parlamentaria</w:t>
      </w:r>
      <w:r w:rsidRPr="005577DD">
        <w:rPr>
          <w:rFonts w:cs="Arial"/>
        </w:rPr>
        <w:t xml:space="preserve"> núm. 1777. (12 de diciembre de 2023). https://congresoson.gob.mx/gaceta/?id=3f544a54-4751-4095-aea0-a382f19739d4&amp;l=460dff6b-6fe6-4ea0-9871-10a6f49e8950</w:t>
      </w:r>
    </w:p>
    <w:p w14:paraId="5143A11D" w14:textId="77777777" w:rsidR="00AC3B12" w:rsidRPr="005577DD" w:rsidRDefault="00AC3B12" w:rsidP="00AC3B12">
      <w:pPr>
        <w:spacing w:after="0"/>
        <w:ind w:left="567" w:hanging="567"/>
        <w:jc w:val="left"/>
        <w:rPr>
          <w:rFonts w:cs="Arial"/>
        </w:rPr>
      </w:pPr>
      <w:r w:rsidRPr="005577DD">
        <w:rPr>
          <w:rFonts w:cs="Arial"/>
        </w:rPr>
        <w:t xml:space="preserve">Instituto Mexicano para la Competitividad, A.C. (26 de noviembre de 2024). </w:t>
      </w:r>
      <w:r w:rsidRPr="00FA5F66">
        <w:rPr>
          <w:rFonts w:cs="Arial"/>
          <w:i/>
          <w:iCs/>
        </w:rPr>
        <w:t>Índice de Competitividad Urbana 202</w:t>
      </w:r>
      <w:r>
        <w:rPr>
          <w:rFonts w:cs="Arial"/>
          <w:i/>
          <w:iCs/>
        </w:rPr>
        <w:t>4</w:t>
      </w:r>
      <w:r w:rsidRPr="005577DD">
        <w:rPr>
          <w:rFonts w:cs="Arial"/>
        </w:rPr>
        <w:t>. https://imco.org.mx/indice-de-competitividad-urbana-2024</w:t>
      </w:r>
    </w:p>
    <w:p w14:paraId="2A88B299" w14:textId="77777777" w:rsidR="00AC3B12" w:rsidRPr="005577DD" w:rsidRDefault="00AC3B12" w:rsidP="00AC3B12">
      <w:pPr>
        <w:spacing w:after="0"/>
        <w:ind w:left="567" w:hanging="567"/>
        <w:jc w:val="left"/>
        <w:rPr>
          <w:rFonts w:cs="Arial"/>
        </w:rPr>
      </w:pPr>
      <w:r w:rsidRPr="005577DD">
        <w:rPr>
          <w:rFonts w:cs="Arial"/>
        </w:rPr>
        <w:t xml:space="preserve">Instituto Municipal de Planeación Urbana y del Espacio Público. Ayuntamiento de Hermosillo. (2023). </w:t>
      </w:r>
      <w:r w:rsidRPr="00FA5F66">
        <w:rPr>
          <w:rFonts w:cs="Arial"/>
          <w:i/>
          <w:iCs/>
        </w:rPr>
        <w:t>Programa Municipal de Desarrollo Urbano de Hermosillo 2023</w:t>
      </w:r>
      <w:r w:rsidRPr="005577DD">
        <w:rPr>
          <w:rFonts w:cs="Arial"/>
        </w:rPr>
        <w:t>. IMPLAN. http://www.implanhermosillo.gob.mx/programas/</w:t>
      </w:r>
    </w:p>
    <w:p w14:paraId="593861FC" w14:textId="77777777" w:rsidR="00AC3B12" w:rsidRPr="005577DD" w:rsidRDefault="00AC3B12" w:rsidP="00AC3B12">
      <w:pPr>
        <w:spacing w:after="0"/>
        <w:ind w:left="567" w:hanging="567"/>
        <w:jc w:val="left"/>
        <w:rPr>
          <w:rFonts w:cs="Arial"/>
        </w:rPr>
      </w:pPr>
      <w:r w:rsidRPr="005577DD">
        <w:rPr>
          <w:rFonts w:cs="Arial"/>
        </w:rPr>
        <w:t xml:space="preserve">Instituto Nacional de Estadística y Geografía. Encuesta Nacional de Ocupación y Empleo (ENOE), población de 15 años y más de edad. INEGI. </w:t>
      </w:r>
      <w:r w:rsidRPr="00FA5F66">
        <w:rPr>
          <w:rFonts w:cs="Arial"/>
          <w:i/>
          <w:iCs/>
        </w:rPr>
        <w:t>Tasa de condiciones críticas de ocupación</w:t>
      </w:r>
      <w:r>
        <w:rPr>
          <w:rFonts w:cs="Arial"/>
        </w:rPr>
        <w:t>.</w:t>
      </w:r>
    </w:p>
    <w:p w14:paraId="6313E88C" w14:textId="77777777" w:rsidR="00AC3B12" w:rsidRPr="005577DD" w:rsidRDefault="00AC3B12" w:rsidP="00AC3B12">
      <w:pPr>
        <w:spacing w:after="0"/>
        <w:ind w:left="567" w:hanging="567"/>
        <w:jc w:val="left"/>
        <w:rPr>
          <w:rFonts w:cs="Arial"/>
        </w:rPr>
      </w:pPr>
      <w:r w:rsidRPr="005577DD">
        <w:rPr>
          <w:rFonts w:cs="Arial"/>
        </w:rPr>
        <w:t xml:space="preserve">Instituto Nacional de Estadística y Geografía. </w:t>
      </w:r>
      <w:r w:rsidRPr="00FA5F66">
        <w:rPr>
          <w:rFonts w:cs="Arial"/>
          <w:i/>
          <w:iCs/>
        </w:rPr>
        <w:t>Censos económicos 2019. Sonora</w:t>
      </w:r>
      <w:r w:rsidRPr="005577DD">
        <w:rPr>
          <w:rFonts w:cs="Arial"/>
        </w:rPr>
        <w:t>. https://www.inegi.org.mx/contenidos/programas/ce/2019/doc/mson_ce19.pdf</w:t>
      </w:r>
    </w:p>
    <w:p w14:paraId="0DCD2133" w14:textId="77777777" w:rsidR="00AC3B12" w:rsidRPr="005577DD" w:rsidRDefault="00AC3B12" w:rsidP="00AC3B12">
      <w:pPr>
        <w:spacing w:after="0"/>
        <w:ind w:left="567" w:hanging="567"/>
        <w:jc w:val="left"/>
        <w:rPr>
          <w:rFonts w:cs="Arial"/>
        </w:rPr>
      </w:pPr>
      <w:r w:rsidRPr="005577DD">
        <w:rPr>
          <w:rFonts w:cs="Arial"/>
        </w:rPr>
        <w:lastRenderedPageBreak/>
        <w:t xml:space="preserve">Instituto Nacional de Estadística y Geografía. (2021). Censo de Población y Vivienda 2020. </w:t>
      </w:r>
      <w:r w:rsidRPr="00FA5F66">
        <w:rPr>
          <w:rFonts w:cs="Arial"/>
          <w:i/>
          <w:iCs/>
        </w:rPr>
        <w:t>Panorama sociodemográfico de México</w:t>
      </w:r>
      <w:r w:rsidRPr="005577DD">
        <w:rPr>
          <w:rFonts w:cs="Arial"/>
        </w:rPr>
        <w:t>. Hermosillo. Vivienda. Disponibilidad de servicios y equipamiento. INEGI. https://www.inegi.org.mx/programas/ccpv/2020/tableros/panorama/</w:t>
      </w:r>
    </w:p>
    <w:p w14:paraId="117F48F1" w14:textId="77777777" w:rsidR="00AC3B12" w:rsidRPr="005577DD" w:rsidRDefault="00AC3B12" w:rsidP="00AC3B12">
      <w:pPr>
        <w:spacing w:after="0"/>
        <w:ind w:left="567" w:hanging="567"/>
        <w:jc w:val="left"/>
        <w:rPr>
          <w:rFonts w:cs="Arial"/>
        </w:rPr>
      </w:pPr>
      <w:r w:rsidRPr="005577DD">
        <w:rPr>
          <w:rFonts w:cs="Arial"/>
        </w:rPr>
        <w:t>Instituto Nacional de Estadística y Geografía.</w:t>
      </w:r>
      <w:r>
        <w:rPr>
          <w:rFonts w:cs="Arial"/>
        </w:rPr>
        <w:t xml:space="preserve"> (2021). </w:t>
      </w:r>
      <w:r w:rsidRPr="005577DD">
        <w:rPr>
          <w:rFonts w:cs="Arial"/>
        </w:rPr>
        <w:t>Cuestionario ampliado. Censo de Población y Vivienda 2020.</w:t>
      </w:r>
    </w:p>
    <w:p w14:paraId="5B1E0DDB" w14:textId="77777777" w:rsidR="00AC3B12" w:rsidRPr="005577DD" w:rsidRDefault="00AC3B12" w:rsidP="00AC3B12">
      <w:pPr>
        <w:spacing w:after="0"/>
        <w:ind w:left="567" w:hanging="567"/>
        <w:jc w:val="left"/>
        <w:rPr>
          <w:rFonts w:cs="Arial"/>
        </w:rPr>
      </w:pPr>
      <w:r w:rsidRPr="005577DD">
        <w:rPr>
          <w:rFonts w:cs="Arial"/>
        </w:rPr>
        <w:t xml:space="preserve">Instituto Nacional de Estadística y Geografía. </w:t>
      </w:r>
      <w:r>
        <w:rPr>
          <w:rFonts w:cs="Arial"/>
        </w:rPr>
        <w:t xml:space="preserve">(2021). </w:t>
      </w:r>
      <w:r w:rsidRPr="005577DD">
        <w:rPr>
          <w:rFonts w:cs="Arial"/>
        </w:rPr>
        <w:t>Cuestionario básico. Censo de Población y Vivienda 2020.</w:t>
      </w:r>
    </w:p>
    <w:p w14:paraId="2B066F44" w14:textId="77777777" w:rsidR="00AC3B12" w:rsidRPr="005577DD" w:rsidRDefault="00AC3B12" w:rsidP="00AC3B12">
      <w:pPr>
        <w:spacing w:after="0"/>
        <w:ind w:left="567" w:hanging="567"/>
        <w:jc w:val="left"/>
        <w:rPr>
          <w:rFonts w:cs="Arial"/>
        </w:rPr>
      </w:pPr>
      <w:r w:rsidRPr="005577DD">
        <w:rPr>
          <w:rFonts w:cs="Arial"/>
        </w:rPr>
        <w:t xml:space="preserve">Instituto Nacional de Estadística y Geografía. (2021). </w:t>
      </w:r>
      <w:r w:rsidRPr="00FA5F66">
        <w:rPr>
          <w:rFonts w:cs="Arial"/>
          <w:i/>
          <w:iCs/>
        </w:rPr>
        <w:t>Panorama sociodemográfico de Sonora</w:t>
      </w:r>
      <w:r w:rsidRPr="005577DD">
        <w:rPr>
          <w:rFonts w:cs="Arial"/>
        </w:rPr>
        <w:t>. Censo de Población y Vivienda 2020-2021. Hermosillo. https://www.inegi.org.mx/contenidos/productos/prod_serv/contenidos/espanol/bvinegi/productos/nueva_estruc/702825197995.pdf</w:t>
      </w:r>
    </w:p>
    <w:p w14:paraId="30E73BFA" w14:textId="77777777" w:rsidR="00AC3B12" w:rsidRPr="005577DD" w:rsidRDefault="00AC3B12" w:rsidP="00AC3B12">
      <w:pPr>
        <w:spacing w:after="0"/>
        <w:ind w:left="567" w:hanging="567"/>
        <w:jc w:val="left"/>
        <w:rPr>
          <w:rFonts w:cs="Arial"/>
        </w:rPr>
      </w:pPr>
      <w:r w:rsidRPr="005577DD">
        <w:rPr>
          <w:rFonts w:cs="Arial"/>
        </w:rPr>
        <w:t xml:space="preserve">Instituto Nacional de Estadística y Geografía. (2024). </w:t>
      </w:r>
      <w:r w:rsidRPr="00FA5F66">
        <w:rPr>
          <w:rFonts w:cs="Arial"/>
          <w:i/>
          <w:iCs/>
        </w:rPr>
        <w:t>Encuesta Nacional de Calidad e Impacto Gubernamental (ENCIG) 2023</w:t>
      </w:r>
      <w:r w:rsidRPr="005577DD">
        <w:rPr>
          <w:rFonts w:cs="Arial"/>
        </w:rPr>
        <w:t>. INEGI. https://www.inegi.org.mx/programas/encig/2023/</w:t>
      </w:r>
    </w:p>
    <w:p w14:paraId="31F4A91B" w14:textId="77777777" w:rsidR="00AC3B12" w:rsidRPr="005577DD" w:rsidRDefault="00AC3B12" w:rsidP="00AC3B12">
      <w:pPr>
        <w:spacing w:after="0"/>
        <w:ind w:left="567" w:hanging="567"/>
        <w:jc w:val="left"/>
        <w:rPr>
          <w:rFonts w:cs="Arial"/>
        </w:rPr>
      </w:pPr>
      <w:r w:rsidRPr="005577DD">
        <w:rPr>
          <w:rFonts w:cs="Arial"/>
        </w:rPr>
        <w:t xml:space="preserve">Ley para el Aprovechamiento de Energías Renovables y el Financiamiento de la Transición Energética. Publicada en el </w:t>
      </w:r>
      <w:r w:rsidRPr="00FA5F66">
        <w:rPr>
          <w:rFonts w:cs="Arial"/>
          <w:i/>
          <w:iCs/>
        </w:rPr>
        <w:t>Diario Oficial de la Federación</w:t>
      </w:r>
      <w:r w:rsidRPr="005577DD">
        <w:rPr>
          <w:rFonts w:cs="Arial"/>
        </w:rPr>
        <w:t xml:space="preserve"> el 28 de noviembre de 2008. Última reforma publicada el 7 de junio de 2013. https://www.cre.gob.mx/documento/3870.pdf</w:t>
      </w:r>
    </w:p>
    <w:p w14:paraId="12084EFF" w14:textId="77777777" w:rsidR="00AC3B12" w:rsidRPr="005577DD" w:rsidRDefault="00AC3B12" w:rsidP="00AC3B12">
      <w:pPr>
        <w:spacing w:after="0"/>
        <w:ind w:left="567" w:hanging="567"/>
        <w:jc w:val="left"/>
        <w:rPr>
          <w:rFonts w:cs="Arial"/>
        </w:rPr>
      </w:pPr>
      <w:r w:rsidRPr="005577DD">
        <w:rPr>
          <w:rFonts w:cs="Arial"/>
        </w:rPr>
        <w:t xml:space="preserve">López, Eduardo. Sonora en la mira del “nearshoring”. </w:t>
      </w:r>
      <w:r w:rsidRPr="00FA5F66">
        <w:rPr>
          <w:rFonts w:cs="Arial"/>
          <w:i/>
          <w:iCs/>
        </w:rPr>
        <w:t>El Imparcial</w:t>
      </w:r>
      <w:r w:rsidRPr="005577DD">
        <w:rPr>
          <w:rFonts w:cs="Arial"/>
        </w:rPr>
        <w:t>. (2 de noviembre de 2024). https://www.elimparcial.com/son/sonora/2024/11/02/sonora-en-la-mira-del-nearshoring/</w:t>
      </w:r>
    </w:p>
    <w:p w14:paraId="63CB4C79" w14:textId="77777777" w:rsidR="00AC3B12" w:rsidRPr="005577DD" w:rsidRDefault="00AC3B12" w:rsidP="00AC3B12">
      <w:pPr>
        <w:spacing w:after="0"/>
        <w:ind w:left="567" w:hanging="567"/>
        <w:jc w:val="left"/>
        <w:rPr>
          <w:rFonts w:cs="Arial"/>
        </w:rPr>
      </w:pPr>
      <w:r w:rsidRPr="005577DD">
        <w:rPr>
          <w:rFonts w:cs="Arial"/>
        </w:rPr>
        <w:t xml:space="preserve">México, ¿Cómo vamos? (30 de octubre 2024). </w:t>
      </w:r>
      <w:r w:rsidRPr="00FA5F66">
        <w:rPr>
          <w:rFonts w:cs="Arial"/>
          <w:i/>
          <w:iCs/>
        </w:rPr>
        <w:t>Crecimiento nacional y estatal de la economía mexicana</w:t>
      </w:r>
      <w:r w:rsidRPr="005577DD">
        <w:rPr>
          <w:rFonts w:cs="Arial"/>
        </w:rPr>
        <w:t xml:space="preserve">. https://mexicocomovamos.mx/publicaciones/2021/08/crecimiento-nacional-y-estatal-de-la-economia-mexicana/ </w:t>
      </w:r>
    </w:p>
    <w:p w14:paraId="0941B4DF" w14:textId="77777777" w:rsidR="00AC3B12" w:rsidRPr="005577DD" w:rsidRDefault="00AC3B12" w:rsidP="00AC3B12">
      <w:pPr>
        <w:spacing w:after="0"/>
        <w:ind w:left="567" w:hanging="567"/>
        <w:jc w:val="left"/>
        <w:rPr>
          <w:rFonts w:cs="Arial"/>
        </w:rPr>
      </w:pPr>
      <w:r w:rsidRPr="00FA5F66">
        <w:rPr>
          <w:rFonts w:cs="Arial"/>
          <w:i/>
          <w:iCs/>
        </w:rPr>
        <w:t>Milenio</w:t>
      </w:r>
      <w:r w:rsidRPr="005577DD">
        <w:rPr>
          <w:rFonts w:cs="Arial"/>
        </w:rPr>
        <w:t>. (1 de octubre de 2024). Gobernador Durazo posiciona a Sonora como estado líder en exportación con crecimiento de 39.7 por ciento. https://www.milenio.com/estados/durazo-posiciona-a-sonora-como-estado-lider-en-exportacion</w:t>
      </w:r>
    </w:p>
    <w:p w14:paraId="38C48C9B" w14:textId="77777777" w:rsidR="00AC3B12" w:rsidRPr="005577DD" w:rsidRDefault="00AC3B12" w:rsidP="00AC3B12">
      <w:pPr>
        <w:spacing w:after="0"/>
        <w:ind w:left="567" w:hanging="567"/>
        <w:jc w:val="left"/>
        <w:rPr>
          <w:rFonts w:cs="Arial"/>
        </w:rPr>
      </w:pPr>
      <w:r w:rsidRPr="005577DD">
        <w:rPr>
          <w:rFonts w:cs="Arial"/>
        </w:rPr>
        <w:t xml:space="preserve">Norma Oficial Mexicana NOM-001-SEDATU-2021. Espacios públicos en los asentamientos humanos. Publicada en el </w:t>
      </w:r>
      <w:r w:rsidRPr="00FA5F66">
        <w:rPr>
          <w:rFonts w:cs="Arial"/>
          <w:i/>
          <w:iCs/>
        </w:rPr>
        <w:t>Diario Oficial de la Federación</w:t>
      </w:r>
      <w:r w:rsidRPr="005577DD">
        <w:rPr>
          <w:rFonts w:cs="Arial"/>
        </w:rPr>
        <w:t xml:space="preserve"> el 22 de febrero de 2022. SEDATU. https://www.dof.gob.mx/nota_detalle.php?codigo=5643417&amp;fecha=22/02/2022</w:t>
      </w:r>
    </w:p>
    <w:p w14:paraId="6752D59F" w14:textId="77777777" w:rsidR="00AC3B12" w:rsidRPr="005577DD" w:rsidRDefault="00AC3B12" w:rsidP="00AC3B12">
      <w:pPr>
        <w:spacing w:after="0"/>
        <w:ind w:left="567" w:hanging="567"/>
        <w:jc w:val="left"/>
        <w:rPr>
          <w:rFonts w:cs="Arial"/>
        </w:rPr>
      </w:pPr>
      <w:r w:rsidRPr="005577DD">
        <w:rPr>
          <w:rFonts w:cs="Arial"/>
        </w:rPr>
        <w:lastRenderedPageBreak/>
        <w:t>Ordaz, David. “Plan Sonora de Energías Sostenibles” va por 40</w:t>
      </w:r>
      <w:r>
        <w:rPr>
          <w:rFonts w:cs="Arial"/>
        </w:rPr>
        <w:t xml:space="preserve"> </w:t>
      </w:r>
      <w:r w:rsidRPr="005577DD">
        <w:rPr>
          <w:rFonts w:cs="Arial"/>
        </w:rPr>
        <w:t xml:space="preserve">% de la energía en México. </w:t>
      </w:r>
      <w:r w:rsidRPr="00FA5F66">
        <w:rPr>
          <w:rFonts w:cs="Arial"/>
          <w:i/>
          <w:iCs/>
        </w:rPr>
        <w:t>Aristegui Noticias</w:t>
      </w:r>
      <w:r w:rsidRPr="005577DD">
        <w:rPr>
          <w:rFonts w:cs="Arial"/>
        </w:rPr>
        <w:t>. (28 de noviembre de 2023). https://aristeguinoticias.com/2811/opinion/plan-sonora-de-energias-sostenibles-va-por-40-de-la-energia-en-mexico-articulo/</w:t>
      </w:r>
    </w:p>
    <w:p w14:paraId="6FDA2141" w14:textId="77777777" w:rsidR="00AC3B12" w:rsidRPr="005577DD" w:rsidRDefault="00AC3B12" w:rsidP="00AC3B12">
      <w:pPr>
        <w:spacing w:after="0"/>
        <w:ind w:left="567" w:hanging="567"/>
        <w:jc w:val="left"/>
        <w:rPr>
          <w:rFonts w:cs="Arial"/>
        </w:rPr>
      </w:pPr>
      <w:r w:rsidRPr="005577DD">
        <w:rPr>
          <w:rFonts w:cs="Arial"/>
        </w:rPr>
        <w:t xml:space="preserve">Organización de las Naciones Unidas. (2015). </w:t>
      </w:r>
      <w:r w:rsidRPr="00FA5F66">
        <w:rPr>
          <w:rFonts w:cs="Arial"/>
          <w:i/>
          <w:iCs/>
        </w:rPr>
        <w:t>Objetivos de Desarrollo Sostenible</w:t>
      </w:r>
      <w:r w:rsidRPr="005577DD">
        <w:rPr>
          <w:rFonts w:cs="Arial"/>
        </w:rPr>
        <w:t>. https://www.un.org/sustainabledevelopment/es/objetivos-de-desarrollo-sostenible/</w:t>
      </w:r>
    </w:p>
    <w:p w14:paraId="1E3ABB6B" w14:textId="77777777" w:rsidR="00AC3B12" w:rsidRPr="005577DD" w:rsidRDefault="00AC3B12" w:rsidP="00AC3B12">
      <w:pPr>
        <w:spacing w:after="0"/>
        <w:ind w:left="567" w:hanging="567"/>
        <w:jc w:val="left"/>
        <w:rPr>
          <w:rFonts w:cs="Arial"/>
        </w:rPr>
      </w:pPr>
      <w:r w:rsidRPr="005577DD">
        <w:rPr>
          <w:rFonts w:cs="Arial"/>
        </w:rPr>
        <w:t xml:space="preserve">Organización de las Naciones Unidas. (2017). </w:t>
      </w:r>
      <w:r w:rsidRPr="00FA5F66">
        <w:rPr>
          <w:rFonts w:cs="Arial"/>
          <w:i/>
          <w:iCs/>
        </w:rPr>
        <w:t>Nueva Agenda Urbana</w:t>
      </w:r>
      <w:r w:rsidRPr="005577DD">
        <w:rPr>
          <w:rFonts w:cs="Arial"/>
        </w:rPr>
        <w:t>. https://habitat3.org/wp-content/uploads/NUA-Spanish.pdf</w:t>
      </w:r>
    </w:p>
    <w:p w14:paraId="4E34B4A3" w14:textId="77777777" w:rsidR="00AC3B12" w:rsidRPr="005577DD" w:rsidRDefault="00AC3B12" w:rsidP="00AC3B12">
      <w:pPr>
        <w:spacing w:after="0"/>
        <w:ind w:left="567" w:hanging="567"/>
        <w:jc w:val="left"/>
        <w:rPr>
          <w:rFonts w:cs="Arial"/>
        </w:rPr>
      </w:pPr>
      <w:r>
        <w:rPr>
          <w:rFonts w:cs="Arial"/>
        </w:rPr>
        <w:t>Plataforma Global por el Derecho a la Ciudad</w:t>
      </w:r>
      <w:r w:rsidRPr="005577DD">
        <w:rPr>
          <w:rFonts w:cs="Arial"/>
        </w:rPr>
        <w:t xml:space="preserve">. (2019). </w:t>
      </w:r>
      <w:r w:rsidRPr="00FA5F66">
        <w:rPr>
          <w:rFonts w:cs="Arial"/>
          <w:i/>
          <w:iCs/>
        </w:rPr>
        <w:t>Agenda del derecho a la ciudad. Para la implementación de la Agenda 2030 para el Desarrollo Sostenible y la Nueva Agenda Urbana</w:t>
      </w:r>
      <w:r w:rsidRPr="005577DD">
        <w:rPr>
          <w:rFonts w:cs="Arial"/>
        </w:rPr>
        <w:t>. https://www.right2city.org/wp-content/uploads/2019/09/A6.1_Agenda-del-derecho-a-la-ciudad.pdf</w:t>
      </w:r>
    </w:p>
    <w:p w14:paraId="5702B6F7" w14:textId="77777777" w:rsidR="00AC3B12" w:rsidRPr="005577DD" w:rsidRDefault="00AC3B12" w:rsidP="00AC3B12">
      <w:pPr>
        <w:spacing w:after="0"/>
        <w:ind w:left="567" w:hanging="567"/>
        <w:jc w:val="left"/>
        <w:rPr>
          <w:rFonts w:cs="Arial"/>
        </w:rPr>
      </w:pPr>
      <w:r w:rsidRPr="005577DD">
        <w:rPr>
          <w:rFonts w:cs="Arial"/>
        </w:rPr>
        <w:t xml:space="preserve">Programa de las Naciones Unidas para el Desarrollo. (2024). </w:t>
      </w:r>
      <w:r w:rsidRPr="00FA5F66">
        <w:rPr>
          <w:rFonts w:cs="Arial"/>
          <w:i/>
          <w:iCs/>
        </w:rPr>
        <w:t>Informe sobre desarrollo humano 2023-2024. Salir del estancamiento</w:t>
      </w:r>
      <w:r w:rsidRPr="005577DD">
        <w:rPr>
          <w:rFonts w:cs="Arial"/>
        </w:rPr>
        <w:t>. PNUD. https://hdr.undp.org/system/files/documents/global-report-document/hdr2023-24overviewsp.pdf</w:t>
      </w:r>
      <w:r>
        <w:rPr>
          <w:rFonts w:cs="Arial"/>
        </w:rPr>
        <w:t xml:space="preserve"> </w:t>
      </w:r>
    </w:p>
    <w:p w14:paraId="1E321533" w14:textId="77777777" w:rsidR="00AC3B12" w:rsidRPr="005577DD" w:rsidRDefault="00AC3B12" w:rsidP="00AC3B12">
      <w:pPr>
        <w:spacing w:after="0"/>
        <w:ind w:left="567" w:hanging="567"/>
        <w:jc w:val="left"/>
        <w:rPr>
          <w:rFonts w:cs="Arial"/>
        </w:rPr>
      </w:pPr>
      <w:r w:rsidRPr="005577DD">
        <w:rPr>
          <w:rFonts w:cs="Arial"/>
        </w:rPr>
        <w:t xml:space="preserve">Secretaría de Bienestar. </w:t>
      </w:r>
      <w:r>
        <w:rPr>
          <w:rFonts w:cs="Arial"/>
        </w:rPr>
        <w:t xml:space="preserve">(2023). </w:t>
      </w:r>
      <w:r w:rsidRPr="005577DD">
        <w:rPr>
          <w:rFonts w:cs="Arial"/>
        </w:rPr>
        <w:t xml:space="preserve">Dirección General para la Validación de Beneficiarios. </w:t>
      </w:r>
      <w:r w:rsidRPr="00FA5F66">
        <w:rPr>
          <w:rFonts w:cs="Arial"/>
          <w:i/>
          <w:iCs/>
        </w:rPr>
        <w:t>Padrón de beneficiarios del Programa Pensión para el Bienestar de las Personas Adultas Mayores, 2023</w:t>
      </w:r>
      <w:r w:rsidRPr="005577DD">
        <w:rPr>
          <w:rFonts w:cs="Arial"/>
        </w:rPr>
        <w:t>.</w:t>
      </w:r>
    </w:p>
    <w:p w14:paraId="0263F57C" w14:textId="77777777" w:rsidR="00AC3B12" w:rsidRPr="005577DD" w:rsidRDefault="00AC3B12" w:rsidP="00AC3B12">
      <w:pPr>
        <w:spacing w:after="0"/>
        <w:ind w:left="567" w:hanging="567"/>
        <w:jc w:val="left"/>
        <w:rPr>
          <w:rFonts w:cs="Arial"/>
        </w:rPr>
      </w:pPr>
      <w:r w:rsidRPr="005577DD">
        <w:rPr>
          <w:rFonts w:cs="Arial"/>
        </w:rPr>
        <w:t xml:space="preserve">Secretaría de Bienestar. (2024). </w:t>
      </w:r>
      <w:r w:rsidRPr="00FA5F66">
        <w:rPr>
          <w:rFonts w:cs="Arial"/>
          <w:i/>
          <w:iCs/>
        </w:rPr>
        <w:t>Informe anual sobre la situación de pobreza y rezago social de las entidades, municipios y demarcaciones territoriales</w:t>
      </w:r>
      <w:r w:rsidRPr="005577DD">
        <w:rPr>
          <w:rFonts w:cs="Arial"/>
        </w:rPr>
        <w:t xml:space="preserve">. </w:t>
      </w:r>
      <w:r w:rsidRPr="00FA5F66">
        <w:rPr>
          <w:rFonts w:cs="Arial"/>
          <w:i/>
          <w:iCs/>
        </w:rPr>
        <w:t>Hermosillo.</w:t>
      </w:r>
      <w:r w:rsidRPr="005577DD">
        <w:rPr>
          <w:rFonts w:cs="Arial"/>
        </w:rPr>
        <w:t xml:space="preserve"> https://www.gob.mx/cms/uploads/attachment/file/889918/26030Hermosillo2024.pdf</w:t>
      </w:r>
    </w:p>
    <w:p w14:paraId="4FCD531D" w14:textId="77777777" w:rsidR="00AC3B12" w:rsidRPr="005577DD" w:rsidRDefault="00AC3B12" w:rsidP="00AC3B12">
      <w:pPr>
        <w:spacing w:after="0"/>
        <w:ind w:left="567" w:hanging="567"/>
        <w:jc w:val="left"/>
        <w:rPr>
          <w:rFonts w:cs="Arial"/>
        </w:rPr>
      </w:pPr>
      <w:r w:rsidRPr="005577DD">
        <w:rPr>
          <w:rFonts w:cs="Arial"/>
        </w:rPr>
        <w:t xml:space="preserve">Secretaría de Economía. Data México. </w:t>
      </w:r>
      <w:r w:rsidRPr="00FA5F66">
        <w:rPr>
          <w:rFonts w:cs="Arial"/>
          <w:i/>
          <w:iCs/>
        </w:rPr>
        <w:t>Sonora</w:t>
      </w:r>
      <w:r w:rsidRPr="005577DD">
        <w:rPr>
          <w:rFonts w:cs="Arial"/>
        </w:rPr>
        <w:t>. https://www.economia.gob.mx/datamexico/es/profile/geo/sonora-so</w:t>
      </w:r>
    </w:p>
    <w:p w14:paraId="12FA5ACE" w14:textId="77777777" w:rsidR="00AC3B12" w:rsidRPr="005577DD" w:rsidRDefault="00AC3B12" w:rsidP="00AC3B12">
      <w:pPr>
        <w:spacing w:after="0"/>
        <w:ind w:left="567" w:hanging="567"/>
        <w:jc w:val="left"/>
        <w:rPr>
          <w:rFonts w:cs="Arial"/>
        </w:rPr>
      </w:pPr>
      <w:r w:rsidRPr="005577DD">
        <w:rPr>
          <w:rFonts w:cs="Arial"/>
        </w:rPr>
        <w:t xml:space="preserve">Secretaría de Hacienda y Crédito Público. (2024). </w:t>
      </w:r>
      <w:r w:rsidRPr="00FA5F66">
        <w:rPr>
          <w:rFonts w:cs="Arial"/>
          <w:i/>
          <w:iCs/>
        </w:rPr>
        <w:t>Documento relativo al cumplimiento de las disposiciones contenidas en el Artículo 42, fracción I, de la Ley Federal de Presupuesto y Responsabilidad Hacendaria. Pre-Criterios 2025</w:t>
      </w:r>
      <w:r w:rsidRPr="005577DD">
        <w:rPr>
          <w:rFonts w:cs="Arial"/>
        </w:rPr>
        <w:t>. https://www.finanzaspublicas.hacienda.gob.mx/work/models/Finanzas_Publicas/docs/paquete_economico/precgpe/precgpe_2025.PDF</w:t>
      </w:r>
    </w:p>
    <w:p w14:paraId="297A3E18" w14:textId="77777777" w:rsidR="00AC3B12" w:rsidRPr="005577DD" w:rsidRDefault="00AC3B12" w:rsidP="00AC3B12">
      <w:pPr>
        <w:spacing w:after="0"/>
        <w:ind w:left="567" w:hanging="567"/>
        <w:jc w:val="left"/>
        <w:rPr>
          <w:rFonts w:cs="Arial"/>
        </w:rPr>
      </w:pPr>
      <w:r w:rsidRPr="005577DD">
        <w:rPr>
          <w:rFonts w:cs="Arial"/>
        </w:rPr>
        <w:t xml:space="preserve">Secretaría de Hacienda y Crédito Público. </w:t>
      </w:r>
      <w:r>
        <w:rPr>
          <w:rFonts w:cs="Arial"/>
        </w:rPr>
        <w:t xml:space="preserve">(2024). </w:t>
      </w:r>
      <w:r w:rsidRPr="00FA5F66">
        <w:rPr>
          <w:rFonts w:cs="Arial"/>
          <w:i/>
          <w:iCs/>
        </w:rPr>
        <w:t>Sistema de Alertas</w:t>
      </w:r>
      <w:r w:rsidRPr="005577DD">
        <w:rPr>
          <w:rFonts w:cs="Arial"/>
        </w:rPr>
        <w:t>. SHCP. https://www.disciplinafinanciera.hacienda.gob.mx/es/DISCIPLINA_FINANCIERA/Entidades_Federativas_2024</w:t>
      </w:r>
    </w:p>
    <w:p w14:paraId="51ACED78" w14:textId="77777777" w:rsidR="00AC3B12" w:rsidRPr="005577DD" w:rsidRDefault="00AC3B12" w:rsidP="00AC3B12">
      <w:pPr>
        <w:spacing w:after="0"/>
        <w:ind w:left="567" w:hanging="567"/>
        <w:jc w:val="left"/>
        <w:rPr>
          <w:rFonts w:cs="Arial"/>
        </w:rPr>
      </w:pPr>
      <w:r w:rsidRPr="005577DD">
        <w:rPr>
          <w:rFonts w:cs="Arial"/>
        </w:rPr>
        <w:t xml:space="preserve">Transparencia Internacional. (30 de enero de 2024). </w:t>
      </w:r>
      <w:r w:rsidRPr="00FA5F66">
        <w:rPr>
          <w:rFonts w:cs="Arial"/>
          <w:i/>
          <w:iCs/>
        </w:rPr>
        <w:t>Índice de percepción de la corrupción 2023: El debilitamiento de los sistemas de justicia deja a la corrupción sin controles</w:t>
      </w:r>
      <w:r w:rsidRPr="005577DD">
        <w:rPr>
          <w:rFonts w:cs="Arial"/>
        </w:rPr>
        <w:t xml:space="preserve">. </w:t>
      </w:r>
      <w:r w:rsidRPr="005577DD">
        <w:rPr>
          <w:rFonts w:cs="Arial"/>
        </w:rPr>
        <w:lastRenderedPageBreak/>
        <w:t>https://www.transparency.org/es/press/cpi2023-corruption-perceptions-index-weakening-justice-systems-leave-corruption-unchecked</w:t>
      </w:r>
    </w:p>
    <w:p w14:paraId="721EEAC2" w14:textId="77777777" w:rsidR="00AC3B12" w:rsidRPr="0057266C" w:rsidRDefault="00AC3B12" w:rsidP="00AC3B12">
      <w:pPr>
        <w:spacing w:after="0"/>
        <w:ind w:left="567" w:hanging="567"/>
        <w:jc w:val="left"/>
        <w:rPr>
          <w:rFonts w:cs="Arial"/>
          <w:lang w:val="en-US"/>
        </w:rPr>
      </w:pPr>
      <w:r w:rsidRPr="0057266C">
        <w:rPr>
          <w:rFonts w:cs="Arial"/>
          <w:lang w:val="en-US"/>
        </w:rPr>
        <w:t xml:space="preserve">United Nations Development Programme. (June 4, 2024). </w:t>
      </w:r>
      <w:r w:rsidRPr="0057266C">
        <w:rPr>
          <w:rFonts w:cs="Arial"/>
          <w:i/>
          <w:iCs/>
          <w:lang w:val="en-US"/>
        </w:rPr>
        <w:t>Announcing the theme of the 2025 Human Development Report: Harnessing digital transformation to advance human development</w:t>
      </w:r>
      <w:r w:rsidRPr="0057266C">
        <w:rPr>
          <w:rFonts w:cs="Arial"/>
          <w:lang w:val="en-US"/>
        </w:rPr>
        <w:t>. UNDP. https://hdr.undp.org/content/announcing-theme-2025-human-development-report-harnessing-digital-transformation-advance</w:t>
      </w:r>
    </w:p>
    <w:p w14:paraId="27211056" w14:textId="77777777" w:rsidR="00AC3B12" w:rsidRPr="005577DD" w:rsidRDefault="00AC3B12" w:rsidP="00AC3B12">
      <w:pPr>
        <w:spacing w:after="0"/>
        <w:ind w:left="567" w:hanging="567"/>
        <w:jc w:val="left"/>
        <w:rPr>
          <w:rFonts w:cs="Arial"/>
        </w:rPr>
      </w:pPr>
      <w:r w:rsidRPr="005577DD">
        <w:rPr>
          <w:rFonts w:cs="Arial"/>
        </w:rPr>
        <w:t xml:space="preserve">Usla, Héctor. Gas natural licuado: México se prepara para ser cuarta potencia mundial. </w:t>
      </w:r>
      <w:r w:rsidRPr="00FA5F66">
        <w:rPr>
          <w:rFonts w:cs="Arial"/>
          <w:i/>
          <w:iCs/>
        </w:rPr>
        <w:t>El Financiero</w:t>
      </w:r>
      <w:r w:rsidRPr="005577DD">
        <w:rPr>
          <w:rFonts w:cs="Arial"/>
        </w:rPr>
        <w:t>. (3 de enero de 2024). https://www.elfinanciero.com.mx/economia/2024/01/03/gas-natural-licuado-mexico-se-prepara-para-ser-cuarta-potencia-mundial/</w:t>
      </w:r>
    </w:p>
    <w:bookmarkEnd w:id="30"/>
    <w:p w14:paraId="7FD5A2B3" w14:textId="07E774BB" w:rsidR="00AC3B12" w:rsidRDefault="00AC3B12" w:rsidP="00B205BA">
      <w:pPr>
        <w:spacing w:before="100" w:beforeAutospacing="1" w:after="120" w:line="240" w:lineRule="auto"/>
        <w:rPr>
          <w:rFonts w:eastAsia="Times New Roman" w:cs="Arial"/>
          <w:b/>
          <w:bCs/>
          <w:sz w:val="24"/>
          <w:szCs w:val="24"/>
          <w:lang w:eastAsia="es-ES_tradnl" w:bidi="ar-SA"/>
        </w:rPr>
      </w:pPr>
    </w:p>
    <w:p w14:paraId="26EF68FB"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60E51C58"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7F50A7E6"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05A8DF5C"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2D5C8982"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18073BFC"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500305B7"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790BC810"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4AB608A8"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427D5C86"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5DF422B5"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7EE37238" w14:textId="77777777" w:rsidR="00AC3B12" w:rsidRDefault="00AC3B12" w:rsidP="00B205BA">
      <w:pPr>
        <w:spacing w:before="100" w:beforeAutospacing="1" w:after="120" w:line="240" w:lineRule="auto"/>
        <w:rPr>
          <w:rFonts w:eastAsia="Times New Roman" w:cs="Arial"/>
          <w:b/>
          <w:bCs/>
          <w:sz w:val="24"/>
          <w:szCs w:val="24"/>
          <w:lang w:eastAsia="es-ES_tradnl" w:bidi="ar-SA"/>
        </w:rPr>
      </w:pPr>
    </w:p>
    <w:p w14:paraId="65761F4B" w14:textId="77777777" w:rsidR="00AC3B12" w:rsidRPr="008511B6" w:rsidRDefault="00AC3B12" w:rsidP="00B205BA">
      <w:pPr>
        <w:spacing w:before="100" w:beforeAutospacing="1" w:after="120" w:line="240" w:lineRule="auto"/>
        <w:rPr>
          <w:rFonts w:eastAsia="Times New Roman" w:cs="Arial"/>
          <w:b/>
          <w:bCs/>
          <w:sz w:val="24"/>
          <w:szCs w:val="24"/>
          <w:lang w:eastAsia="es-ES_tradnl" w:bidi="ar-SA"/>
        </w:rPr>
      </w:pPr>
    </w:p>
    <w:p w14:paraId="669B6FE5" w14:textId="6B3CED82" w:rsidR="00C15D49" w:rsidRPr="0008162A" w:rsidRDefault="00C15D49" w:rsidP="0008162A">
      <w:pPr>
        <w:pStyle w:val="Ttulo2"/>
        <w:rPr>
          <w:rFonts w:eastAsiaTheme="minorHAnsi"/>
        </w:rPr>
      </w:pPr>
      <w:bookmarkStart w:id="31" w:name="_Toc187396128"/>
      <w:r w:rsidRPr="0008162A">
        <w:rPr>
          <w:rFonts w:eastAsiaTheme="minorHAnsi"/>
        </w:rPr>
        <w:lastRenderedPageBreak/>
        <w:t>ANEXO 1. INDICADORES ESTRATÉGICOS DEL PLAN MUNICIPAL DE DESARROLLO DE HERMOSILLO 2025-2027.</w:t>
      </w:r>
      <w:bookmarkEnd w:id="31"/>
    </w:p>
    <w:tbl>
      <w:tblPr>
        <w:tblW w:w="0" w:type="auto"/>
        <w:tblLayout w:type="fixed"/>
        <w:tblCellMar>
          <w:left w:w="70" w:type="dxa"/>
          <w:right w:w="70" w:type="dxa"/>
        </w:tblCellMar>
        <w:tblLook w:val="04A0" w:firstRow="1" w:lastRow="0" w:firstColumn="1" w:lastColumn="0" w:noHBand="0" w:noVBand="1"/>
      </w:tblPr>
      <w:tblGrid>
        <w:gridCol w:w="473"/>
        <w:gridCol w:w="793"/>
        <w:gridCol w:w="3119"/>
        <w:gridCol w:w="1134"/>
        <w:gridCol w:w="992"/>
        <w:gridCol w:w="1417"/>
        <w:gridCol w:w="890"/>
      </w:tblGrid>
      <w:tr w:rsidR="0008162A" w:rsidRPr="0008162A" w14:paraId="51F609D4" w14:textId="77777777" w:rsidTr="0008162A">
        <w:trPr>
          <w:trHeight w:val="480"/>
          <w:tblHeader/>
        </w:trPr>
        <w:tc>
          <w:tcPr>
            <w:tcW w:w="473" w:type="dxa"/>
            <w:tcBorders>
              <w:top w:val="single" w:sz="8" w:space="0" w:color="auto"/>
              <w:left w:val="single" w:sz="8" w:space="0" w:color="auto"/>
              <w:bottom w:val="nil"/>
              <w:right w:val="single" w:sz="8" w:space="0" w:color="auto"/>
            </w:tcBorders>
            <w:shd w:val="clear" w:color="000000" w:fill="A6A6A6"/>
            <w:vAlign w:val="center"/>
            <w:hideMark/>
          </w:tcPr>
          <w:p w14:paraId="3322DE8B" w14:textId="5BCFB626" w:rsidR="0008162A" w:rsidRPr="0008162A" w:rsidRDefault="0008162A" w:rsidP="0008162A">
            <w:pPr>
              <w:spacing w:after="0" w:line="240" w:lineRule="auto"/>
              <w:jc w:val="center"/>
              <w:rPr>
                <w:rFonts w:eastAsia="Times New Roman" w:cs="Arial"/>
                <w:b/>
                <w:bCs/>
                <w:color w:val="000000"/>
                <w:lang w:val="es-MX" w:eastAsia="es-MX" w:bidi="ar-SA"/>
              </w:rPr>
            </w:pPr>
            <w:r w:rsidRPr="0008162A">
              <w:rPr>
                <w:rFonts w:eastAsia="Times New Roman" w:cs="Arial"/>
                <w:b/>
                <w:bCs/>
                <w:color w:val="000000"/>
                <w:lang w:val="es-MX" w:eastAsia="es-MX" w:bidi="ar-SA"/>
              </w:rPr>
              <w:t>No</w:t>
            </w:r>
          </w:p>
        </w:tc>
        <w:tc>
          <w:tcPr>
            <w:tcW w:w="793" w:type="dxa"/>
            <w:tcBorders>
              <w:top w:val="single" w:sz="8" w:space="0" w:color="auto"/>
              <w:left w:val="nil"/>
              <w:bottom w:val="nil"/>
              <w:right w:val="single" w:sz="8" w:space="0" w:color="auto"/>
            </w:tcBorders>
            <w:shd w:val="clear" w:color="000000" w:fill="A6A6A6"/>
            <w:vAlign w:val="center"/>
            <w:hideMark/>
          </w:tcPr>
          <w:p w14:paraId="5BC05648" w14:textId="77777777" w:rsidR="0008162A" w:rsidRPr="0008162A" w:rsidRDefault="0008162A" w:rsidP="0008162A">
            <w:pPr>
              <w:spacing w:after="0" w:line="240" w:lineRule="auto"/>
              <w:jc w:val="center"/>
              <w:rPr>
                <w:rFonts w:eastAsia="Times New Roman" w:cs="Arial"/>
                <w:b/>
                <w:bCs/>
                <w:color w:val="000000"/>
                <w:sz w:val="18"/>
                <w:szCs w:val="18"/>
                <w:lang w:val="es-MX" w:eastAsia="es-MX" w:bidi="ar-SA"/>
              </w:rPr>
            </w:pPr>
            <w:r w:rsidRPr="0008162A">
              <w:rPr>
                <w:rFonts w:eastAsia="Times New Roman" w:cs="Arial"/>
                <w:b/>
                <w:bCs/>
                <w:color w:val="000000"/>
                <w:sz w:val="18"/>
                <w:szCs w:val="18"/>
                <w:lang w:val="es-MX" w:eastAsia="es-MX" w:bidi="ar-SA"/>
              </w:rPr>
              <w:t>Frente</w:t>
            </w:r>
          </w:p>
        </w:tc>
        <w:tc>
          <w:tcPr>
            <w:tcW w:w="3119" w:type="dxa"/>
            <w:tcBorders>
              <w:top w:val="single" w:sz="8" w:space="0" w:color="auto"/>
              <w:left w:val="nil"/>
              <w:bottom w:val="nil"/>
              <w:right w:val="single" w:sz="8" w:space="0" w:color="auto"/>
            </w:tcBorders>
            <w:shd w:val="clear" w:color="000000" w:fill="A6A6A6"/>
            <w:vAlign w:val="center"/>
            <w:hideMark/>
          </w:tcPr>
          <w:p w14:paraId="7CBAF58C" w14:textId="77777777" w:rsidR="0008162A" w:rsidRPr="0008162A" w:rsidRDefault="0008162A" w:rsidP="0008162A">
            <w:pPr>
              <w:spacing w:after="0" w:line="240" w:lineRule="auto"/>
              <w:jc w:val="center"/>
              <w:rPr>
                <w:rFonts w:eastAsia="Times New Roman" w:cs="Arial"/>
                <w:b/>
                <w:bCs/>
                <w:color w:val="000000"/>
                <w:lang w:val="es-MX" w:eastAsia="es-MX" w:bidi="ar-SA"/>
              </w:rPr>
            </w:pPr>
            <w:r w:rsidRPr="0008162A">
              <w:rPr>
                <w:rFonts w:eastAsia="Times New Roman" w:cs="Arial"/>
                <w:b/>
                <w:bCs/>
                <w:color w:val="000000"/>
                <w:lang w:val="es-MX" w:eastAsia="es-MX" w:bidi="ar-SA"/>
              </w:rPr>
              <w:t>Indicador</w:t>
            </w:r>
          </w:p>
        </w:tc>
        <w:tc>
          <w:tcPr>
            <w:tcW w:w="1134" w:type="dxa"/>
            <w:tcBorders>
              <w:top w:val="single" w:sz="8" w:space="0" w:color="auto"/>
              <w:left w:val="nil"/>
              <w:bottom w:val="nil"/>
              <w:right w:val="single" w:sz="8" w:space="0" w:color="auto"/>
            </w:tcBorders>
            <w:shd w:val="clear" w:color="000000" w:fill="A6A6A6"/>
            <w:vAlign w:val="center"/>
            <w:hideMark/>
          </w:tcPr>
          <w:p w14:paraId="2B6B038E" w14:textId="77777777" w:rsidR="0008162A" w:rsidRPr="0008162A" w:rsidRDefault="0008162A" w:rsidP="0008162A">
            <w:pPr>
              <w:spacing w:after="0" w:line="240" w:lineRule="auto"/>
              <w:jc w:val="center"/>
              <w:rPr>
                <w:rFonts w:eastAsia="Times New Roman" w:cs="Arial"/>
                <w:b/>
                <w:bCs/>
                <w:color w:val="000000"/>
                <w:lang w:val="es-MX" w:eastAsia="es-MX" w:bidi="ar-SA"/>
              </w:rPr>
            </w:pPr>
            <w:r w:rsidRPr="0008162A">
              <w:rPr>
                <w:rFonts w:eastAsia="Times New Roman" w:cs="Arial"/>
                <w:b/>
                <w:bCs/>
                <w:color w:val="000000"/>
                <w:lang w:val="es-MX" w:eastAsia="es-MX" w:bidi="ar-SA"/>
              </w:rPr>
              <w:t>Línea Base</w:t>
            </w:r>
          </w:p>
        </w:tc>
        <w:tc>
          <w:tcPr>
            <w:tcW w:w="992" w:type="dxa"/>
            <w:tcBorders>
              <w:top w:val="single" w:sz="8" w:space="0" w:color="auto"/>
              <w:left w:val="nil"/>
              <w:bottom w:val="nil"/>
              <w:right w:val="single" w:sz="8" w:space="0" w:color="auto"/>
            </w:tcBorders>
            <w:shd w:val="clear" w:color="000000" w:fill="A6A6A6"/>
            <w:vAlign w:val="center"/>
            <w:hideMark/>
          </w:tcPr>
          <w:p w14:paraId="437436A0" w14:textId="77777777" w:rsidR="0008162A" w:rsidRPr="0008162A" w:rsidRDefault="0008162A" w:rsidP="0008162A">
            <w:pPr>
              <w:spacing w:after="0" w:line="240" w:lineRule="auto"/>
              <w:jc w:val="center"/>
              <w:rPr>
                <w:rFonts w:eastAsia="Times New Roman" w:cs="Arial"/>
                <w:b/>
                <w:bCs/>
                <w:color w:val="000000"/>
                <w:lang w:val="es-MX" w:eastAsia="es-MX" w:bidi="ar-SA"/>
              </w:rPr>
            </w:pPr>
            <w:r w:rsidRPr="0008162A">
              <w:rPr>
                <w:rFonts w:eastAsia="Times New Roman" w:cs="Arial"/>
                <w:b/>
                <w:bCs/>
                <w:color w:val="000000"/>
                <w:lang w:val="es-MX" w:eastAsia="es-MX" w:bidi="ar-SA"/>
              </w:rPr>
              <w:t>Meta 2027</w:t>
            </w:r>
          </w:p>
        </w:tc>
        <w:tc>
          <w:tcPr>
            <w:tcW w:w="1417" w:type="dxa"/>
            <w:tcBorders>
              <w:top w:val="single" w:sz="8" w:space="0" w:color="auto"/>
              <w:left w:val="nil"/>
              <w:bottom w:val="nil"/>
              <w:right w:val="single" w:sz="8" w:space="0" w:color="auto"/>
            </w:tcBorders>
            <w:shd w:val="clear" w:color="000000" w:fill="A6A6A6"/>
            <w:vAlign w:val="center"/>
            <w:hideMark/>
          </w:tcPr>
          <w:p w14:paraId="5C60825F" w14:textId="77777777" w:rsidR="0008162A" w:rsidRPr="0008162A" w:rsidRDefault="0008162A" w:rsidP="0008162A">
            <w:pPr>
              <w:spacing w:after="0" w:line="240" w:lineRule="auto"/>
              <w:jc w:val="center"/>
              <w:rPr>
                <w:rFonts w:eastAsia="Times New Roman" w:cs="Arial"/>
                <w:b/>
                <w:bCs/>
                <w:color w:val="000000"/>
                <w:lang w:val="es-MX" w:eastAsia="es-MX" w:bidi="ar-SA"/>
              </w:rPr>
            </w:pPr>
            <w:r w:rsidRPr="0008162A">
              <w:rPr>
                <w:rFonts w:eastAsia="Times New Roman" w:cs="Arial"/>
                <w:b/>
                <w:bCs/>
                <w:color w:val="000000"/>
                <w:lang w:val="es-MX" w:eastAsia="es-MX" w:bidi="ar-SA"/>
              </w:rPr>
              <w:t>Fuente</w:t>
            </w:r>
          </w:p>
        </w:tc>
        <w:tc>
          <w:tcPr>
            <w:tcW w:w="890" w:type="dxa"/>
            <w:tcBorders>
              <w:top w:val="single" w:sz="8" w:space="0" w:color="auto"/>
              <w:left w:val="nil"/>
              <w:bottom w:val="nil"/>
              <w:right w:val="single" w:sz="8" w:space="0" w:color="auto"/>
            </w:tcBorders>
            <w:shd w:val="clear" w:color="000000" w:fill="A6A6A6"/>
            <w:vAlign w:val="center"/>
            <w:hideMark/>
          </w:tcPr>
          <w:p w14:paraId="7D766614" w14:textId="77777777" w:rsidR="0008162A" w:rsidRPr="0008162A" w:rsidRDefault="0008162A" w:rsidP="0008162A">
            <w:pPr>
              <w:spacing w:after="0" w:line="240" w:lineRule="auto"/>
              <w:jc w:val="center"/>
              <w:rPr>
                <w:rFonts w:eastAsia="Times New Roman" w:cs="Arial"/>
                <w:b/>
                <w:bCs/>
                <w:color w:val="000000"/>
                <w:lang w:val="es-MX" w:eastAsia="es-MX" w:bidi="ar-SA"/>
              </w:rPr>
            </w:pPr>
            <w:r w:rsidRPr="0008162A">
              <w:rPr>
                <w:rFonts w:eastAsia="Times New Roman" w:cs="Arial"/>
                <w:b/>
                <w:bCs/>
                <w:color w:val="000000"/>
                <w:lang w:val="es-MX" w:eastAsia="es-MX" w:bidi="ar-SA"/>
              </w:rPr>
              <w:t>Frec</w:t>
            </w:r>
          </w:p>
        </w:tc>
      </w:tr>
      <w:tr w:rsidR="0008162A" w:rsidRPr="0008162A" w14:paraId="78B0BCC5" w14:textId="77777777" w:rsidTr="0008162A">
        <w:trPr>
          <w:trHeight w:val="58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3F82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793" w:type="dxa"/>
            <w:tcBorders>
              <w:top w:val="single" w:sz="8" w:space="0" w:color="auto"/>
              <w:left w:val="nil"/>
              <w:bottom w:val="single" w:sz="8" w:space="0" w:color="auto"/>
              <w:right w:val="single" w:sz="8" w:space="0" w:color="auto"/>
            </w:tcBorders>
            <w:shd w:val="clear" w:color="auto" w:fill="auto"/>
            <w:vAlign w:val="center"/>
            <w:hideMark/>
          </w:tcPr>
          <w:p w14:paraId="52B4172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14:paraId="61EA3B31"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percepción de inseguridad en Hermosillo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1EDADD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48.2 (III 2024)</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6326E7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45</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17C58E8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single" w:sz="8" w:space="0" w:color="auto"/>
              <w:left w:val="nil"/>
              <w:bottom w:val="single" w:sz="8" w:space="0" w:color="auto"/>
              <w:right w:val="single" w:sz="8" w:space="0" w:color="auto"/>
            </w:tcBorders>
            <w:shd w:val="clear" w:color="auto" w:fill="auto"/>
            <w:noWrap/>
            <w:vAlign w:val="center"/>
            <w:hideMark/>
          </w:tcPr>
          <w:p w14:paraId="10FA623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ADB51A1"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F46C22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793" w:type="dxa"/>
            <w:tcBorders>
              <w:top w:val="nil"/>
              <w:left w:val="nil"/>
              <w:bottom w:val="single" w:sz="8" w:space="0" w:color="auto"/>
              <w:right w:val="single" w:sz="8" w:space="0" w:color="auto"/>
            </w:tcBorders>
            <w:shd w:val="clear" w:color="auto" w:fill="auto"/>
            <w:vAlign w:val="center"/>
            <w:hideMark/>
          </w:tcPr>
          <w:p w14:paraId="48945F3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7F158829"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Población de 18 años y más que identifica a la policía preventiva municipal, según el grado de desconfianza (algo de desconfianza y mucha desconfianza) en la misma</w:t>
            </w:r>
          </w:p>
        </w:tc>
        <w:tc>
          <w:tcPr>
            <w:tcW w:w="1134" w:type="dxa"/>
            <w:tcBorders>
              <w:top w:val="nil"/>
              <w:left w:val="nil"/>
              <w:bottom w:val="single" w:sz="8" w:space="0" w:color="auto"/>
              <w:right w:val="single" w:sz="8" w:space="0" w:color="auto"/>
            </w:tcBorders>
            <w:shd w:val="clear" w:color="auto" w:fill="auto"/>
            <w:vAlign w:val="center"/>
            <w:hideMark/>
          </w:tcPr>
          <w:p w14:paraId="78157C2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42.1 (Abr 2023)</w:t>
            </w:r>
          </w:p>
        </w:tc>
        <w:tc>
          <w:tcPr>
            <w:tcW w:w="992" w:type="dxa"/>
            <w:tcBorders>
              <w:top w:val="nil"/>
              <w:left w:val="nil"/>
              <w:bottom w:val="single" w:sz="8" w:space="0" w:color="auto"/>
              <w:right w:val="single" w:sz="8" w:space="0" w:color="auto"/>
            </w:tcBorders>
            <w:shd w:val="clear" w:color="auto" w:fill="auto"/>
            <w:vAlign w:val="center"/>
            <w:hideMark/>
          </w:tcPr>
          <w:p w14:paraId="6B49270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40</w:t>
            </w:r>
          </w:p>
        </w:tc>
        <w:tc>
          <w:tcPr>
            <w:tcW w:w="1417" w:type="dxa"/>
            <w:tcBorders>
              <w:top w:val="nil"/>
              <w:left w:val="nil"/>
              <w:bottom w:val="single" w:sz="8" w:space="0" w:color="auto"/>
              <w:right w:val="single" w:sz="8" w:space="0" w:color="auto"/>
            </w:tcBorders>
            <w:shd w:val="clear" w:color="auto" w:fill="auto"/>
            <w:vAlign w:val="center"/>
            <w:hideMark/>
          </w:tcPr>
          <w:p w14:paraId="706C2F2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(ENVIPE)</w:t>
            </w:r>
          </w:p>
        </w:tc>
        <w:tc>
          <w:tcPr>
            <w:tcW w:w="890" w:type="dxa"/>
            <w:tcBorders>
              <w:top w:val="nil"/>
              <w:left w:val="nil"/>
              <w:bottom w:val="single" w:sz="8" w:space="0" w:color="auto"/>
              <w:right w:val="single" w:sz="8" w:space="0" w:color="auto"/>
            </w:tcBorders>
            <w:shd w:val="clear" w:color="auto" w:fill="auto"/>
            <w:noWrap/>
            <w:vAlign w:val="center"/>
            <w:hideMark/>
          </w:tcPr>
          <w:p w14:paraId="015A011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0BC46BDF"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AD75CB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793" w:type="dxa"/>
            <w:tcBorders>
              <w:top w:val="nil"/>
              <w:left w:val="nil"/>
              <w:bottom w:val="single" w:sz="8" w:space="0" w:color="auto"/>
              <w:right w:val="single" w:sz="8" w:space="0" w:color="auto"/>
            </w:tcBorders>
            <w:shd w:val="clear" w:color="auto" w:fill="auto"/>
            <w:vAlign w:val="center"/>
            <w:hideMark/>
          </w:tcPr>
          <w:p w14:paraId="730BA58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20DAF55B"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Población de 18 años y más que han tenido conflictos o enfrentamientos en los últimos tres meses</w:t>
            </w:r>
          </w:p>
        </w:tc>
        <w:tc>
          <w:tcPr>
            <w:tcW w:w="1134" w:type="dxa"/>
            <w:tcBorders>
              <w:top w:val="nil"/>
              <w:left w:val="nil"/>
              <w:bottom w:val="single" w:sz="8" w:space="0" w:color="auto"/>
              <w:right w:val="single" w:sz="8" w:space="0" w:color="auto"/>
            </w:tcBorders>
            <w:shd w:val="clear" w:color="auto" w:fill="auto"/>
            <w:vAlign w:val="center"/>
            <w:hideMark/>
          </w:tcPr>
          <w:p w14:paraId="0B03638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48.6 (III/ 2024)</w:t>
            </w:r>
          </w:p>
        </w:tc>
        <w:tc>
          <w:tcPr>
            <w:tcW w:w="992" w:type="dxa"/>
            <w:tcBorders>
              <w:top w:val="nil"/>
              <w:left w:val="nil"/>
              <w:bottom w:val="single" w:sz="8" w:space="0" w:color="auto"/>
              <w:right w:val="single" w:sz="8" w:space="0" w:color="auto"/>
            </w:tcBorders>
            <w:shd w:val="clear" w:color="auto" w:fill="auto"/>
            <w:vAlign w:val="center"/>
            <w:hideMark/>
          </w:tcPr>
          <w:p w14:paraId="1C0DDFC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46.7</w:t>
            </w:r>
          </w:p>
        </w:tc>
        <w:tc>
          <w:tcPr>
            <w:tcW w:w="1417" w:type="dxa"/>
            <w:tcBorders>
              <w:top w:val="nil"/>
              <w:left w:val="nil"/>
              <w:bottom w:val="single" w:sz="8" w:space="0" w:color="auto"/>
              <w:right w:val="single" w:sz="8" w:space="0" w:color="auto"/>
            </w:tcBorders>
            <w:shd w:val="clear" w:color="auto" w:fill="auto"/>
            <w:vAlign w:val="center"/>
            <w:hideMark/>
          </w:tcPr>
          <w:p w14:paraId="5B4D9AF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noWrap/>
            <w:vAlign w:val="center"/>
            <w:hideMark/>
          </w:tcPr>
          <w:p w14:paraId="4B3E19B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CBF5EF7"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96AFD5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w:t>
            </w:r>
          </w:p>
        </w:tc>
        <w:tc>
          <w:tcPr>
            <w:tcW w:w="793" w:type="dxa"/>
            <w:tcBorders>
              <w:top w:val="nil"/>
              <w:left w:val="nil"/>
              <w:bottom w:val="single" w:sz="8" w:space="0" w:color="auto"/>
              <w:right w:val="single" w:sz="8" w:space="0" w:color="auto"/>
            </w:tcBorders>
            <w:shd w:val="clear" w:color="auto" w:fill="auto"/>
            <w:vAlign w:val="center"/>
            <w:hideMark/>
          </w:tcPr>
          <w:p w14:paraId="6885B65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6CB1093C"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Tasa de robo a casa habitación por cada 10,000 habitantes</w:t>
            </w:r>
          </w:p>
        </w:tc>
        <w:tc>
          <w:tcPr>
            <w:tcW w:w="1134" w:type="dxa"/>
            <w:tcBorders>
              <w:top w:val="nil"/>
              <w:left w:val="nil"/>
              <w:bottom w:val="single" w:sz="8" w:space="0" w:color="auto"/>
              <w:right w:val="single" w:sz="8" w:space="0" w:color="auto"/>
            </w:tcBorders>
            <w:shd w:val="clear" w:color="auto" w:fill="auto"/>
            <w:vAlign w:val="center"/>
            <w:hideMark/>
          </w:tcPr>
          <w:p w14:paraId="5EBC36A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3.4 (2023)</w:t>
            </w:r>
          </w:p>
        </w:tc>
        <w:tc>
          <w:tcPr>
            <w:tcW w:w="992" w:type="dxa"/>
            <w:tcBorders>
              <w:top w:val="nil"/>
              <w:left w:val="nil"/>
              <w:bottom w:val="single" w:sz="8" w:space="0" w:color="auto"/>
              <w:right w:val="single" w:sz="8" w:space="0" w:color="auto"/>
            </w:tcBorders>
            <w:shd w:val="clear" w:color="auto" w:fill="auto"/>
            <w:vAlign w:val="center"/>
            <w:hideMark/>
          </w:tcPr>
          <w:p w14:paraId="7588DE2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3.2</w:t>
            </w:r>
          </w:p>
        </w:tc>
        <w:tc>
          <w:tcPr>
            <w:tcW w:w="1417" w:type="dxa"/>
            <w:tcBorders>
              <w:top w:val="nil"/>
              <w:left w:val="nil"/>
              <w:bottom w:val="single" w:sz="8" w:space="0" w:color="auto"/>
              <w:right w:val="single" w:sz="8" w:space="0" w:color="auto"/>
            </w:tcBorders>
            <w:shd w:val="clear" w:color="auto" w:fill="auto"/>
            <w:vAlign w:val="center"/>
            <w:hideMark/>
          </w:tcPr>
          <w:p w14:paraId="1EBFA7A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SESNSP/ CONAPO</w:t>
            </w:r>
          </w:p>
        </w:tc>
        <w:tc>
          <w:tcPr>
            <w:tcW w:w="890" w:type="dxa"/>
            <w:tcBorders>
              <w:top w:val="nil"/>
              <w:left w:val="nil"/>
              <w:bottom w:val="single" w:sz="8" w:space="0" w:color="auto"/>
              <w:right w:val="single" w:sz="8" w:space="0" w:color="auto"/>
            </w:tcBorders>
            <w:shd w:val="clear" w:color="auto" w:fill="auto"/>
            <w:noWrap/>
            <w:vAlign w:val="center"/>
            <w:hideMark/>
          </w:tcPr>
          <w:p w14:paraId="398FAD1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B13916E"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4AADFF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793" w:type="dxa"/>
            <w:tcBorders>
              <w:top w:val="nil"/>
              <w:left w:val="nil"/>
              <w:bottom w:val="single" w:sz="8" w:space="0" w:color="auto"/>
              <w:right w:val="single" w:sz="8" w:space="0" w:color="auto"/>
            </w:tcBorders>
            <w:shd w:val="clear" w:color="auto" w:fill="auto"/>
            <w:vAlign w:val="center"/>
            <w:hideMark/>
          </w:tcPr>
          <w:p w14:paraId="5A5F672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1904AA85"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Tasa de robo a negocio por cada 10,000 habitantes</w:t>
            </w:r>
          </w:p>
        </w:tc>
        <w:tc>
          <w:tcPr>
            <w:tcW w:w="1134" w:type="dxa"/>
            <w:tcBorders>
              <w:top w:val="nil"/>
              <w:left w:val="nil"/>
              <w:bottom w:val="single" w:sz="8" w:space="0" w:color="auto"/>
              <w:right w:val="single" w:sz="8" w:space="0" w:color="auto"/>
            </w:tcBorders>
            <w:shd w:val="clear" w:color="auto" w:fill="auto"/>
            <w:vAlign w:val="center"/>
            <w:hideMark/>
          </w:tcPr>
          <w:p w14:paraId="630E6D0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2.8 (2023)</w:t>
            </w:r>
          </w:p>
        </w:tc>
        <w:tc>
          <w:tcPr>
            <w:tcW w:w="992" w:type="dxa"/>
            <w:tcBorders>
              <w:top w:val="nil"/>
              <w:left w:val="nil"/>
              <w:bottom w:val="single" w:sz="8" w:space="0" w:color="auto"/>
              <w:right w:val="single" w:sz="8" w:space="0" w:color="auto"/>
            </w:tcBorders>
            <w:shd w:val="clear" w:color="auto" w:fill="auto"/>
            <w:vAlign w:val="center"/>
            <w:hideMark/>
          </w:tcPr>
          <w:p w14:paraId="3B78C48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2.6</w:t>
            </w:r>
          </w:p>
        </w:tc>
        <w:tc>
          <w:tcPr>
            <w:tcW w:w="1417" w:type="dxa"/>
            <w:tcBorders>
              <w:top w:val="nil"/>
              <w:left w:val="nil"/>
              <w:bottom w:val="single" w:sz="8" w:space="0" w:color="auto"/>
              <w:right w:val="single" w:sz="8" w:space="0" w:color="auto"/>
            </w:tcBorders>
            <w:shd w:val="clear" w:color="auto" w:fill="auto"/>
            <w:vAlign w:val="center"/>
            <w:hideMark/>
          </w:tcPr>
          <w:p w14:paraId="2317A6D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SESNSP/ CONAPO</w:t>
            </w:r>
          </w:p>
        </w:tc>
        <w:tc>
          <w:tcPr>
            <w:tcW w:w="890" w:type="dxa"/>
            <w:tcBorders>
              <w:top w:val="nil"/>
              <w:left w:val="nil"/>
              <w:bottom w:val="single" w:sz="8" w:space="0" w:color="auto"/>
              <w:right w:val="single" w:sz="8" w:space="0" w:color="auto"/>
            </w:tcBorders>
            <w:shd w:val="clear" w:color="auto" w:fill="auto"/>
            <w:noWrap/>
            <w:vAlign w:val="center"/>
            <w:hideMark/>
          </w:tcPr>
          <w:p w14:paraId="5D674F8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00091D0"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8BF0A1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w:t>
            </w:r>
          </w:p>
        </w:tc>
        <w:tc>
          <w:tcPr>
            <w:tcW w:w="793" w:type="dxa"/>
            <w:tcBorders>
              <w:top w:val="nil"/>
              <w:left w:val="nil"/>
              <w:bottom w:val="single" w:sz="8" w:space="0" w:color="auto"/>
              <w:right w:val="single" w:sz="8" w:space="0" w:color="auto"/>
            </w:tcBorders>
            <w:shd w:val="clear" w:color="auto" w:fill="auto"/>
            <w:vAlign w:val="center"/>
            <w:hideMark/>
          </w:tcPr>
          <w:p w14:paraId="63F2179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59803839"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Tasa de accidentes vehiculares por cada 10,000 habitantes</w:t>
            </w:r>
          </w:p>
        </w:tc>
        <w:tc>
          <w:tcPr>
            <w:tcW w:w="1134" w:type="dxa"/>
            <w:tcBorders>
              <w:top w:val="nil"/>
              <w:left w:val="nil"/>
              <w:bottom w:val="single" w:sz="8" w:space="0" w:color="auto"/>
              <w:right w:val="single" w:sz="8" w:space="0" w:color="auto"/>
            </w:tcBorders>
            <w:shd w:val="clear" w:color="auto" w:fill="auto"/>
            <w:vAlign w:val="center"/>
            <w:hideMark/>
          </w:tcPr>
          <w:p w14:paraId="26F9D54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136.8 (2023)</w:t>
            </w:r>
          </w:p>
        </w:tc>
        <w:tc>
          <w:tcPr>
            <w:tcW w:w="992" w:type="dxa"/>
            <w:tcBorders>
              <w:top w:val="nil"/>
              <w:left w:val="nil"/>
              <w:bottom w:val="single" w:sz="8" w:space="0" w:color="auto"/>
              <w:right w:val="single" w:sz="8" w:space="0" w:color="auto"/>
            </w:tcBorders>
            <w:shd w:val="clear" w:color="auto" w:fill="auto"/>
            <w:vAlign w:val="center"/>
            <w:hideMark/>
          </w:tcPr>
          <w:p w14:paraId="5977ADD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w:t>
            </w:r>
          </w:p>
        </w:tc>
        <w:tc>
          <w:tcPr>
            <w:tcW w:w="1417" w:type="dxa"/>
            <w:tcBorders>
              <w:top w:val="nil"/>
              <w:left w:val="nil"/>
              <w:bottom w:val="single" w:sz="8" w:space="0" w:color="auto"/>
              <w:right w:val="single" w:sz="8" w:space="0" w:color="auto"/>
            </w:tcBorders>
            <w:shd w:val="clear" w:color="auto" w:fill="auto"/>
            <w:vAlign w:val="center"/>
            <w:hideMark/>
          </w:tcPr>
          <w:p w14:paraId="5F5572B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CONAPO</w:t>
            </w:r>
          </w:p>
        </w:tc>
        <w:tc>
          <w:tcPr>
            <w:tcW w:w="890" w:type="dxa"/>
            <w:tcBorders>
              <w:top w:val="nil"/>
              <w:left w:val="nil"/>
              <w:bottom w:val="single" w:sz="8" w:space="0" w:color="auto"/>
              <w:right w:val="single" w:sz="8" w:space="0" w:color="auto"/>
            </w:tcBorders>
            <w:shd w:val="clear" w:color="auto" w:fill="auto"/>
            <w:noWrap/>
            <w:vAlign w:val="center"/>
            <w:hideMark/>
          </w:tcPr>
          <w:p w14:paraId="6C1EAD3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666B14A"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0E6C4D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w:t>
            </w:r>
          </w:p>
        </w:tc>
        <w:tc>
          <w:tcPr>
            <w:tcW w:w="793" w:type="dxa"/>
            <w:tcBorders>
              <w:top w:val="nil"/>
              <w:left w:val="nil"/>
              <w:bottom w:val="single" w:sz="8" w:space="0" w:color="auto"/>
              <w:right w:val="single" w:sz="8" w:space="0" w:color="auto"/>
            </w:tcBorders>
            <w:shd w:val="clear" w:color="auto" w:fill="auto"/>
            <w:vAlign w:val="center"/>
            <w:hideMark/>
          </w:tcPr>
          <w:p w14:paraId="001A0B4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022F6BDA"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Tasa de víctimas en accidentes vehiculares por cada 10,000 habitantes </w:t>
            </w:r>
          </w:p>
        </w:tc>
        <w:tc>
          <w:tcPr>
            <w:tcW w:w="1134" w:type="dxa"/>
            <w:tcBorders>
              <w:top w:val="nil"/>
              <w:left w:val="nil"/>
              <w:bottom w:val="single" w:sz="8" w:space="0" w:color="auto"/>
              <w:right w:val="single" w:sz="8" w:space="0" w:color="auto"/>
            </w:tcBorders>
            <w:shd w:val="clear" w:color="auto" w:fill="auto"/>
            <w:vAlign w:val="center"/>
            <w:hideMark/>
          </w:tcPr>
          <w:p w14:paraId="7049417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10.2 (2023)</w:t>
            </w:r>
          </w:p>
        </w:tc>
        <w:tc>
          <w:tcPr>
            <w:tcW w:w="992" w:type="dxa"/>
            <w:tcBorders>
              <w:top w:val="nil"/>
              <w:left w:val="nil"/>
              <w:bottom w:val="single" w:sz="8" w:space="0" w:color="auto"/>
              <w:right w:val="single" w:sz="8" w:space="0" w:color="auto"/>
            </w:tcBorders>
            <w:shd w:val="clear" w:color="auto" w:fill="auto"/>
            <w:vAlign w:val="center"/>
            <w:hideMark/>
          </w:tcPr>
          <w:p w14:paraId="456268E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9.2</w:t>
            </w:r>
          </w:p>
        </w:tc>
        <w:tc>
          <w:tcPr>
            <w:tcW w:w="1417" w:type="dxa"/>
            <w:tcBorders>
              <w:top w:val="nil"/>
              <w:left w:val="nil"/>
              <w:bottom w:val="single" w:sz="8" w:space="0" w:color="auto"/>
              <w:right w:val="single" w:sz="8" w:space="0" w:color="auto"/>
            </w:tcBorders>
            <w:shd w:val="clear" w:color="auto" w:fill="auto"/>
            <w:vAlign w:val="center"/>
            <w:hideMark/>
          </w:tcPr>
          <w:p w14:paraId="6B6081A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CONAPO</w:t>
            </w:r>
          </w:p>
        </w:tc>
        <w:tc>
          <w:tcPr>
            <w:tcW w:w="890" w:type="dxa"/>
            <w:tcBorders>
              <w:top w:val="nil"/>
              <w:left w:val="nil"/>
              <w:bottom w:val="single" w:sz="8" w:space="0" w:color="auto"/>
              <w:right w:val="single" w:sz="8" w:space="0" w:color="auto"/>
            </w:tcBorders>
            <w:shd w:val="clear" w:color="auto" w:fill="auto"/>
            <w:noWrap/>
            <w:vAlign w:val="center"/>
            <w:hideMark/>
          </w:tcPr>
          <w:p w14:paraId="705A9B9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7B6516E7"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CAC46F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w:t>
            </w:r>
          </w:p>
        </w:tc>
        <w:tc>
          <w:tcPr>
            <w:tcW w:w="793" w:type="dxa"/>
            <w:tcBorders>
              <w:top w:val="nil"/>
              <w:left w:val="nil"/>
              <w:bottom w:val="single" w:sz="8" w:space="0" w:color="auto"/>
              <w:right w:val="single" w:sz="8" w:space="0" w:color="auto"/>
            </w:tcBorders>
            <w:shd w:val="clear" w:color="auto" w:fill="auto"/>
            <w:vAlign w:val="center"/>
            <w:hideMark/>
          </w:tcPr>
          <w:p w14:paraId="382A43F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487E78AE"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Satisfacción promedio con la calidad de la semaforización y señales viales en Hermosillo </w:t>
            </w:r>
          </w:p>
        </w:tc>
        <w:tc>
          <w:tcPr>
            <w:tcW w:w="1134" w:type="dxa"/>
            <w:tcBorders>
              <w:top w:val="nil"/>
              <w:left w:val="nil"/>
              <w:bottom w:val="single" w:sz="8" w:space="0" w:color="auto"/>
              <w:right w:val="single" w:sz="8" w:space="0" w:color="auto"/>
            </w:tcBorders>
            <w:shd w:val="clear" w:color="auto" w:fill="auto"/>
            <w:vAlign w:val="center"/>
            <w:hideMark/>
          </w:tcPr>
          <w:p w14:paraId="36E8812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6.7 (2023)</w:t>
            </w:r>
          </w:p>
        </w:tc>
        <w:tc>
          <w:tcPr>
            <w:tcW w:w="992" w:type="dxa"/>
            <w:tcBorders>
              <w:top w:val="nil"/>
              <w:left w:val="nil"/>
              <w:bottom w:val="single" w:sz="8" w:space="0" w:color="auto"/>
              <w:right w:val="single" w:sz="8" w:space="0" w:color="auto"/>
            </w:tcBorders>
            <w:shd w:val="clear" w:color="auto" w:fill="auto"/>
            <w:vAlign w:val="center"/>
            <w:hideMark/>
          </w:tcPr>
          <w:p w14:paraId="10AF9C1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w:t>
            </w:r>
          </w:p>
        </w:tc>
        <w:tc>
          <w:tcPr>
            <w:tcW w:w="1417" w:type="dxa"/>
            <w:tcBorders>
              <w:top w:val="nil"/>
              <w:left w:val="nil"/>
              <w:bottom w:val="single" w:sz="8" w:space="0" w:color="auto"/>
              <w:right w:val="single" w:sz="8" w:space="0" w:color="auto"/>
            </w:tcBorders>
            <w:shd w:val="clear" w:color="auto" w:fill="auto"/>
            <w:vAlign w:val="center"/>
            <w:hideMark/>
          </w:tcPr>
          <w:p w14:paraId="3C051AC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Hermosillo, ¿Cómo vamos?</w:t>
            </w:r>
          </w:p>
        </w:tc>
        <w:tc>
          <w:tcPr>
            <w:tcW w:w="890" w:type="dxa"/>
            <w:tcBorders>
              <w:top w:val="nil"/>
              <w:left w:val="nil"/>
              <w:bottom w:val="single" w:sz="8" w:space="0" w:color="auto"/>
              <w:right w:val="single" w:sz="8" w:space="0" w:color="auto"/>
            </w:tcBorders>
            <w:shd w:val="clear" w:color="auto" w:fill="auto"/>
            <w:noWrap/>
            <w:vAlign w:val="center"/>
            <w:hideMark/>
          </w:tcPr>
          <w:p w14:paraId="2AE0B25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21F2C71"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02C8E7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w:t>
            </w:r>
          </w:p>
        </w:tc>
        <w:tc>
          <w:tcPr>
            <w:tcW w:w="793" w:type="dxa"/>
            <w:tcBorders>
              <w:top w:val="nil"/>
              <w:left w:val="nil"/>
              <w:bottom w:val="single" w:sz="8" w:space="0" w:color="auto"/>
              <w:right w:val="single" w:sz="8" w:space="0" w:color="auto"/>
            </w:tcBorders>
            <w:shd w:val="clear" w:color="auto" w:fill="auto"/>
            <w:noWrap/>
            <w:vAlign w:val="center"/>
            <w:hideMark/>
          </w:tcPr>
          <w:p w14:paraId="7862FA8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08329C10"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de 18 años y más que visualiza una problemática en calles y avenidas con embotellamientos frecuentes</w:t>
            </w:r>
          </w:p>
        </w:tc>
        <w:tc>
          <w:tcPr>
            <w:tcW w:w="1134" w:type="dxa"/>
            <w:tcBorders>
              <w:top w:val="nil"/>
              <w:left w:val="nil"/>
              <w:bottom w:val="single" w:sz="8" w:space="0" w:color="auto"/>
              <w:right w:val="single" w:sz="8" w:space="0" w:color="auto"/>
            </w:tcBorders>
            <w:shd w:val="clear" w:color="auto" w:fill="auto"/>
            <w:vAlign w:val="center"/>
            <w:hideMark/>
          </w:tcPr>
          <w:p w14:paraId="1899C52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65.4 (III 2024)</w:t>
            </w:r>
          </w:p>
        </w:tc>
        <w:tc>
          <w:tcPr>
            <w:tcW w:w="992" w:type="dxa"/>
            <w:tcBorders>
              <w:top w:val="nil"/>
              <w:left w:val="nil"/>
              <w:bottom w:val="single" w:sz="8" w:space="0" w:color="auto"/>
              <w:right w:val="single" w:sz="8" w:space="0" w:color="auto"/>
            </w:tcBorders>
            <w:shd w:val="clear" w:color="auto" w:fill="auto"/>
            <w:noWrap/>
            <w:vAlign w:val="center"/>
            <w:hideMark/>
          </w:tcPr>
          <w:p w14:paraId="5E2CB9D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60.2</w:t>
            </w:r>
          </w:p>
        </w:tc>
        <w:tc>
          <w:tcPr>
            <w:tcW w:w="1417" w:type="dxa"/>
            <w:tcBorders>
              <w:top w:val="nil"/>
              <w:left w:val="nil"/>
              <w:bottom w:val="single" w:sz="8" w:space="0" w:color="auto"/>
              <w:right w:val="single" w:sz="8" w:space="0" w:color="auto"/>
            </w:tcBorders>
            <w:shd w:val="clear" w:color="auto" w:fill="auto"/>
            <w:vAlign w:val="center"/>
            <w:hideMark/>
          </w:tcPr>
          <w:p w14:paraId="74E1423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noWrap/>
            <w:vAlign w:val="center"/>
            <w:hideMark/>
          </w:tcPr>
          <w:p w14:paraId="00B545A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E15E799"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0F8CB6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w:t>
            </w:r>
          </w:p>
        </w:tc>
        <w:tc>
          <w:tcPr>
            <w:tcW w:w="793" w:type="dxa"/>
            <w:tcBorders>
              <w:top w:val="nil"/>
              <w:left w:val="nil"/>
              <w:bottom w:val="single" w:sz="8" w:space="0" w:color="auto"/>
              <w:right w:val="single" w:sz="8" w:space="0" w:color="auto"/>
            </w:tcBorders>
            <w:shd w:val="clear" w:color="auto" w:fill="auto"/>
            <w:vAlign w:val="center"/>
            <w:hideMark/>
          </w:tcPr>
          <w:p w14:paraId="43A0454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768D7460"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Tasa de violencia familiar por cada 10,000 habitantes</w:t>
            </w:r>
          </w:p>
        </w:tc>
        <w:tc>
          <w:tcPr>
            <w:tcW w:w="1134" w:type="dxa"/>
            <w:tcBorders>
              <w:top w:val="nil"/>
              <w:left w:val="nil"/>
              <w:bottom w:val="single" w:sz="8" w:space="0" w:color="auto"/>
              <w:right w:val="single" w:sz="8" w:space="0" w:color="auto"/>
            </w:tcBorders>
            <w:shd w:val="clear" w:color="auto" w:fill="auto"/>
            <w:vAlign w:val="center"/>
            <w:hideMark/>
          </w:tcPr>
          <w:p w14:paraId="2BB675B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26.5 (2023)</w:t>
            </w:r>
          </w:p>
        </w:tc>
        <w:tc>
          <w:tcPr>
            <w:tcW w:w="992" w:type="dxa"/>
            <w:tcBorders>
              <w:top w:val="nil"/>
              <w:left w:val="nil"/>
              <w:bottom w:val="single" w:sz="8" w:space="0" w:color="auto"/>
              <w:right w:val="single" w:sz="8" w:space="0" w:color="auto"/>
            </w:tcBorders>
            <w:shd w:val="clear" w:color="auto" w:fill="auto"/>
            <w:vAlign w:val="center"/>
            <w:hideMark/>
          </w:tcPr>
          <w:p w14:paraId="11CDFA0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23.6</w:t>
            </w:r>
          </w:p>
        </w:tc>
        <w:tc>
          <w:tcPr>
            <w:tcW w:w="1417" w:type="dxa"/>
            <w:tcBorders>
              <w:top w:val="nil"/>
              <w:left w:val="nil"/>
              <w:bottom w:val="single" w:sz="8" w:space="0" w:color="auto"/>
              <w:right w:val="single" w:sz="8" w:space="0" w:color="auto"/>
            </w:tcBorders>
            <w:shd w:val="clear" w:color="auto" w:fill="auto"/>
            <w:vAlign w:val="center"/>
            <w:hideMark/>
          </w:tcPr>
          <w:p w14:paraId="25FD48D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SESNSP/CONAPO</w:t>
            </w:r>
          </w:p>
        </w:tc>
        <w:tc>
          <w:tcPr>
            <w:tcW w:w="890" w:type="dxa"/>
            <w:tcBorders>
              <w:top w:val="nil"/>
              <w:left w:val="nil"/>
              <w:bottom w:val="single" w:sz="8" w:space="0" w:color="auto"/>
              <w:right w:val="single" w:sz="8" w:space="0" w:color="auto"/>
            </w:tcBorders>
            <w:shd w:val="clear" w:color="auto" w:fill="auto"/>
            <w:noWrap/>
            <w:vAlign w:val="center"/>
            <w:hideMark/>
          </w:tcPr>
          <w:p w14:paraId="00DF39D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075BE53"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962A3C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11</w:t>
            </w:r>
          </w:p>
        </w:tc>
        <w:tc>
          <w:tcPr>
            <w:tcW w:w="793" w:type="dxa"/>
            <w:tcBorders>
              <w:top w:val="nil"/>
              <w:left w:val="nil"/>
              <w:bottom w:val="single" w:sz="8" w:space="0" w:color="auto"/>
              <w:right w:val="single" w:sz="8" w:space="0" w:color="auto"/>
            </w:tcBorders>
            <w:shd w:val="clear" w:color="auto" w:fill="auto"/>
            <w:vAlign w:val="center"/>
            <w:hideMark/>
          </w:tcPr>
          <w:p w14:paraId="7831B43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25DA820C"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acciones de capacitación y equipamiento a los elementos de policía</w:t>
            </w:r>
          </w:p>
        </w:tc>
        <w:tc>
          <w:tcPr>
            <w:tcW w:w="1134" w:type="dxa"/>
            <w:tcBorders>
              <w:top w:val="nil"/>
              <w:left w:val="nil"/>
              <w:bottom w:val="single" w:sz="8" w:space="0" w:color="auto"/>
              <w:right w:val="single" w:sz="8" w:space="0" w:color="auto"/>
            </w:tcBorders>
            <w:shd w:val="clear" w:color="auto" w:fill="auto"/>
            <w:vAlign w:val="center"/>
            <w:hideMark/>
          </w:tcPr>
          <w:p w14:paraId="4ABBD81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235E642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85%</w:t>
            </w:r>
          </w:p>
        </w:tc>
        <w:tc>
          <w:tcPr>
            <w:tcW w:w="1417" w:type="dxa"/>
            <w:tcBorders>
              <w:top w:val="nil"/>
              <w:left w:val="nil"/>
              <w:bottom w:val="single" w:sz="8" w:space="0" w:color="auto"/>
              <w:right w:val="single" w:sz="8" w:space="0" w:color="auto"/>
            </w:tcBorders>
            <w:shd w:val="clear" w:color="auto" w:fill="auto"/>
            <w:vAlign w:val="center"/>
            <w:hideMark/>
          </w:tcPr>
          <w:p w14:paraId="77358FB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Seguridad Pública</w:t>
            </w:r>
          </w:p>
        </w:tc>
        <w:tc>
          <w:tcPr>
            <w:tcW w:w="890" w:type="dxa"/>
            <w:tcBorders>
              <w:top w:val="nil"/>
              <w:left w:val="nil"/>
              <w:bottom w:val="single" w:sz="8" w:space="0" w:color="auto"/>
              <w:right w:val="single" w:sz="8" w:space="0" w:color="auto"/>
            </w:tcBorders>
            <w:shd w:val="clear" w:color="auto" w:fill="auto"/>
            <w:vAlign w:val="center"/>
            <w:hideMark/>
          </w:tcPr>
          <w:p w14:paraId="5CD79EB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64B1877"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0134C8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12</w:t>
            </w:r>
          </w:p>
        </w:tc>
        <w:tc>
          <w:tcPr>
            <w:tcW w:w="793" w:type="dxa"/>
            <w:tcBorders>
              <w:top w:val="nil"/>
              <w:left w:val="nil"/>
              <w:bottom w:val="single" w:sz="8" w:space="0" w:color="auto"/>
              <w:right w:val="single" w:sz="8" w:space="0" w:color="auto"/>
            </w:tcBorders>
            <w:shd w:val="clear" w:color="auto" w:fill="auto"/>
            <w:vAlign w:val="center"/>
            <w:hideMark/>
          </w:tcPr>
          <w:p w14:paraId="0F6C5AE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4AE7DA55"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Tasa de elementos policiales por cada 100,000 habitantes</w:t>
            </w:r>
          </w:p>
        </w:tc>
        <w:tc>
          <w:tcPr>
            <w:tcW w:w="1134" w:type="dxa"/>
            <w:tcBorders>
              <w:top w:val="nil"/>
              <w:left w:val="nil"/>
              <w:bottom w:val="single" w:sz="8" w:space="0" w:color="auto"/>
              <w:right w:val="single" w:sz="8" w:space="0" w:color="auto"/>
            </w:tcBorders>
            <w:shd w:val="clear" w:color="auto" w:fill="auto"/>
            <w:vAlign w:val="center"/>
            <w:hideMark/>
          </w:tcPr>
          <w:p w14:paraId="3BAFD23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63211C1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140</w:t>
            </w:r>
          </w:p>
        </w:tc>
        <w:tc>
          <w:tcPr>
            <w:tcW w:w="1417" w:type="dxa"/>
            <w:tcBorders>
              <w:top w:val="nil"/>
              <w:left w:val="nil"/>
              <w:bottom w:val="single" w:sz="8" w:space="0" w:color="auto"/>
              <w:right w:val="single" w:sz="8" w:space="0" w:color="auto"/>
            </w:tcBorders>
            <w:shd w:val="clear" w:color="auto" w:fill="auto"/>
            <w:vAlign w:val="center"/>
            <w:hideMark/>
          </w:tcPr>
          <w:p w14:paraId="083F857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Seguridad Pública</w:t>
            </w:r>
          </w:p>
        </w:tc>
        <w:tc>
          <w:tcPr>
            <w:tcW w:w="890" w:type="dxa"/>
            <w:tcBorders>
              <w:top w:val="nil"/>
              <w:left w:val="nil"/>
              <w:bottom w:val="single" w:sz="8" w:space="0" w:color="auto"/>
              <w:right w:val="single" w:sz="8" w:space="0" w:color="auto"/>
            </w:tcBorders>
            <w:shd w:val="clear" w:color="auto" w:fill="auto"/>
            <w:vAlign w:val="center"/>
            <w:hideMark/>
          </w:tcPr>
          <w:p w14:paraId="07EFB0F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258744A"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9F675D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lastRenderedPageBreak/>
              <w:t>13</w:t>
            </w:r>
          </w:p>
        </w:tc>
        <w:tc>
          <w:tcPr>
            <w:tcW w:w="793" w:type="dxa"/>
            <w:tcBorders>
              <w:top w:val="nil"/>
              <w:left w:val="nil"/>
              <w:bottom w:val="single" w:sz="8" w:space="0" w:color="auto"/>
              <w:right w:val="single" w:sz="8" w:space="0" w:color="auto"/>
            </w:tcBorders>
            <w:shd w:val="clear" w:color="auto" w:fill="auto"/>
            <w:vAlign w:val="center"/>
            <w:hideMark/>
          </w:tcPr>
          <w:p w14:paraId="0F1335B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6F01407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atención ciudadana con enfoque inclusivo y digital fortalecida</w:t>
            </w:r>
          </w:p>
        </w:tc>
        <w:tc>
          <w:tcPr>
            <w:tcW w:w="1134" w:type="dxa"/>
            <w:tcBorders>
              <w:top w:val="nil"/>
              <w:left w:val="nil"/>
              <w:bottom w:val="single" w:sz="8" w:space="0" w:color="auto"/>
              <w:right w:val="single" w:sz="8" w:space="0" w:color="auto"/>
            </w:tcBorders>
            <w:shd w:val="clear" w:color="auto" w:fill="auto"/>
            <w:vAlign w:val="center"/>
            <w:hideMark/>
          </w:tcPr>
          <w:p w14:paraId="1E1306E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5AFC6E2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w:t>
            </w:r>
          </w:p>
        </w:tc>
        <w:tc>
          <w:tcPr>
            <w:tcW w:w="1417" w:type="dxa"/>
            <w:tcBorders>
              <w:top w:val="nil"/>
              <w:left w:val="nil"/>
              <w:bottom w:val="single" w:sz="8" w:space="0" w:color="auto"/>
              <w:right w:val="single" w:sz="8" w:space="0" w:color="auto"/>
            </w:tcBorders>
            <w:shd w:val="clear" w:color="auto" w:fill="auto"/>
            <w:vAlign w:val="center"/>
            <w:hideMark/>
          </w:tcPr>
          <w:p w14:paraId="211AF51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Seguridad Pública</w:t>
            </w:r>
          </w:p>
        </w:tc>
        <w:tc>
          <w:tcPr>
            <w:tcW w:w="890" w:type="dxa"/>
            <w:tcBorders>
              <w:top w:val="nil"/>
              <w:left w:val="nil"/>
              <w:bottom w:val="single" w:sz="8" w:space="0" w:color="auto"/>
              <w:right w:val="single" w:sz="8" w:space="0" w:color="auto"/>
            </w:tcBorders>
            <w:shd w:val="clear" w:color="auto" w:fill="auto"/>
            <w:vAlign w:val="center"/>
            <w:hideMark/>
          </w:tcPr>
          <w:p w14:paraId="223A015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71CF01B"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671F50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14</w:t>
            </w:r>
          </w:p>
        </w:tc>
        <w:tc>
          <w:tcPr>
            <w:tcW w:w="793" w:type="dxa"/>
            <w:tcBorders>
              <w:top w:val="nil"/>
              <w:left w:val="nil"/>
              <w:bottom w:val="single" w:sz="8" w:space="0" w:color="auto"/>
              <w:right w:val="single" w:sz="8" w:space="0" w:color="auto"/>
            </w:tcBorders>
            <w:shd w:val="clear" w:color="auto" w:fill="auto"/>
            <w:vAlign w:val="center"/>
            <w:hideMark/>
          </w:tcPr>
          <w:p w14:paraId="4CD1E59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2B616F61"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Promedio simple de cumplimiento de las acciones Capacitación ciudadana y seguridad vial</w:t>
            </w:r>
          </w:p>
        </w:tc>
        <w:tc>
          <w:tcPr>
            <w:tcW w:w="1134" w:type="dxa"/>
            <w:tcBorders>
              <w:top w:val="nil"/>
              <w:left w:val="nil"/>
              <w:bottom w:val="single" w:sz="8" w:space="0" w:color="auto"/>
              <w:right w:val="single" w:sz="8" w:space="0" w:color="auto"/>
            </w:tcBorders>
            <w:shd w:val="clear" w:color="auto" w:fill="auto"/>
            <w:vAlign w:val="center"/>
            <w:hideMark/>
          </w:tcPr>
          <w:p w14:paraId="53FAA57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51A9CBA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1417" w:type="dxa"/>
            <w:tcBorders>
              <w:top w:val="nil"/>
              <w:left w:val="nil"/>
              <w:bottom w:val="single" w:sz="8" w:space="0" w:color="auto"/>
              <w:right w:val="single" w:sz="8" w:space="0" w:color="auto"/>
            </w:tcBorders>
            <w:shd w:val="clear" w:color="auto" w:fill="auto"/>
            <w:vAlign w:val="center"/>
            <w:hideMark/>
          </w:tcPr>
          <w:p w14:paraId="79F672D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Seguridad Pública</w:t>
            </w:r>
          </w:p>
        </w:tc>
        <w:tc>
          <w:tcPr>
            <w:tcW w:w="890" w:type="dxa"/>
            <w:tcBorders>
              <w:top w:val="nil"/>
              <w:left w:val="nil"/>
              <w:bottom w:val="single" w:sz="8" w:space="0" w:color="auto"/>
              <w:right w:val="single" w:sz="8" w:space="0" w:color="auto"/>
            </w:tcBorders>
            <w:shd w:val="clear" w:color="auto" w:fill="auto"/>
            <w:vAlign w:val="center"/>
            <w:hideMark/>
          </w:tcPr>
          <w:p w14:paraId="7EA0DCF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7465C520"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C3421A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15</w:t>
            </w:r>
          </w:p>
        </w:tc>
        <w:tc>
          <w:tcPr>
            <w:tcW w:w="793" w:type="dxa"/>
            <w:tcBorders>
              <w:top w:val="nil"/>
              <w:left w:val="nil"/>
              <w:bottom w:val="single" w:sz="8" w:space="0" w:color="auto"/>
              <w:right w:val="single" w:sz="8" w:space="0" w:color="auto"/>
            </w:tcBorders>
            <w:shd w:val="clear" w:color="auto" w:fill="auto"/>
            <w:vAlign w:val="center"/>
            <w:hideMark/>
          </w:tcPr>
          <w:p w14:paraId="36FB3E4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5F9148B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conflictos cívicos resueltos mediante el nuevo modelo de Justicia Cívica en Hermosillo</w:t>
            </w:r>
          </w:p>
        </w:tc>
        <w:tc>
          <w:tcPr>
            <w:tcW w:w="1134" w:type="dxa"/>
            <w:tcBorders>
              <w:top w:val="nil"/>
              <w:left w:val="nil"/>
              <w:bottom w:val="single" w:sz="8" w:space="0" w:color="auto"/>
              <w:right w:val="single" w:sz="8" w:space="0" w:color="auto"/>
            </w:tcBorders>
            <w:shd w:val="clear" w:color="auto" w:fill="auto"/>
            <w:vAlign w:val="center"/>
            <w:hideMark/>
          </w:tcPr>
          <w:p w14:paraId="639F784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77D6604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50%</w:t>
            </w:r>
          </w:p>
        </w:tc>
        <w:tc>
          <w:tcPr>
            <w:tcW w:w="1417" w:type="dxa"/>
            <w:tcBorders>
              <w:top w:val="nil"/>
              <w:left w:val="nil"/>
              <w:bottom w:val="single" w:sz="8" w:space="0" w:color="auto"/>
              <w:right w:val="single" w:sz="8" w:space="0" w:color="auto"/>
            </w:tcBorders>
            <w:shd w:val="clear" w:color="auto" w:fill="auto"/>
            <w:vAlign w:val="center"/>
            <w:hideMark/>
          </w:tcPr>
          <w:p w14:paraId="7637B8B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Secretaria del Ayuntamiento</w:t>
            </w:r>
          </w:p>
        </w:tc>
        <w:tc>
          <w:tcPr>
            <w:tcW w:w="890" w:type="dxa"/>
            <w:tcBorders>
              <w:top w:val="nil"/>
              <w:left w:val="nil"/>
              <w:bottom w:val="single" w:sz="8" w:space="0" w:color="auto"/>
              <w:right w:val="single" w:sz="8" w:space="0" w:color="auto"/>
            </w:tcBorders>
            <w:shd w:val="clear" w:color="auto" w:fill="auto"/>
            <w:vAlign w:val="center"/>
            <w:hideMark/>
          </w:tcPr>
          <w:p w14:paraId="52B61E5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483F149"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F484D1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16</w:t>
            </w:r>
          </w:p>
        </w:tc>
        <w:tc>
          <w:tcPr>
            <w:tcW w:w="793" w:type="dxa"/>
            <w:tcBorders>
              <w:top w:val="nil"/>
              <w:left w:val="nil"/>
              <w:bottom w:val="single" w:sz="8" w:space="0" w:color="auto"/>
              <w:right w:val="single" w:sz="8" w:space="0" w:color="auto"/>
            </w:tcBorders>
            <w:shd w:val="clear" w:color="auto" w:fill="auto"/>
            <w:vAlign w:val="center"/>
            <w:hideMark/>
          </w:tcPr>
          <w:p w14:paraId="13C25DE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2299F63C"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la atención de presuntos infractores presentados en barandilla</w:t>
            </w:r>
          </w:p>
        </w:tc>
        <w:tc>
          <w:tcPr>
            <w:tcW w:w="1134" w:type="dxa"/>
            <w:tcBorders>
              <w:top w:val="nil"/>
              <w:left w:val="nil"/>
              <w:bottom w:val="single" w:sz="8" w:space="0" w:color="auto"/>
              <w:right w:val="single" w:sz="8" w:space="0" w:color="auto"/>
            </w:tcBorders>
            <w:shd w:val="clear" w:color="auto" w:fill="auto"/>
            <w:vAlign w:val="center"/>
            <w:hideMark/>
          </w:tcPr>
          <w:p w14:paraId="07882AE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0DE3726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w:t>
            </w:r>
          </w:p>
        </w:tc>
        <w:tc>
          <w:tcPr>
            <w:tcW w:w="1417" w:type="dxa"/>
            <w:tcBorders>
              <w:top w:val="nil"/>
              <w:left w:val="nil"/>
              <w:bottom w:val="single" w:sz="8" w:space="0" w:color="auto"/>
              <w:right w:val="single" w:sz="8" w:space="0" w:color="auto"/>
            </w:tcBorders>
            <w:shd w:val="clear" w:color="auto" w:fill="auto"/>
            <w:vAlign w:val="center"/>
            <w:hideMark/>
          </w:tcPr>
          <w:p w14:paraId="69A7DA7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 xml:space="preserve">Secretaria del Ayuntamiento </w:t>
            </w:r>
          </w:p>
        </w:tc>
        <w:tc>
          <w:tcPr>
            <w:tcW w:w="890" w:type="dxa"/>
            <w:tcBorders>
              <w:top w:val="nil"/>
              <w:left w:val="nil"/>
              <w:bottom w:val="single" w:sz="8" w:space="0" w:color="auto"/>
              <w:right w:val="single" w:sz="8" w:space="0" w:color="auto"/>
            </w:tcBorders>
            <w:shd w:val="clear" w:color="auto" w:fill="auto"/>
            <w:vAlign w:val="center"/>
            <w:hideMark/>
          </w:tcPr>
          <w:p w14:paraId="6775D2C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3C9FCA89"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4CC5F1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17</w:t>
            </w:r>
          </w:p>
        </w:tc>
        <w:tc>
          <w:tcPr>
            <w:tcW w:w="793" w:type="dxa"/>
            <w:tcBorders>
              <w:top w:val="nil"/>
              <w:left w:val="nil"/>
              <w:bottom w:val="single" w:sz="8" w:space="0" w:color="auto"/>
              <w:right w:val="single" w:sz="8" w:space="0" w:color="auto"/>
            </w:tcBorders>
            <w:shd w:val="clear" w:color="auto" w:fill="auto"/>
            <w:vAlign w:val="center"/>
            <w:hideMark/>
          </w:tcPr>
          <w:p w14:paraId="7F6848C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5EBCAAD8"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Índice de Protección Civil Municipal</w:t>
            </w:r>
          </w:p>
        </w:tc>
        <w:tc>
          <w:tcPr>
            <w:tcW w:w="1134" w:type="dxa"/>
            <w:tcBorders>
              <w:top w:val="nil"/>
              <w:left w:val="nil"/>
              <w:bottom w:val="single" w:sz="8" w:space="0" w:color="auto"/>
              <w:right w:val="single" w:sz="8" w:space="0" w:color="auto"/>
            </w:tcBorders>
            <w:shd w:val="clear" w:color="auto" w:fill="auto"/>
            <w:vAlign w:val="center"/>
            <w:hideMark/>
          </w:tcPr>
          <w:p w14:paraId="06F3154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 (2023)</w:t>
            </w:r>
          </w:p>
        </w:tc>
        <w:tc>
          <w:tcPr>
            <w:tcW w:w="992" w:type="dxa"/>
            <w:tcBorders>
              <w:top w:val="nil"/>
              <w:left w:val="nil"/>
              <w:bottom w:val="single" w:sz="8" w:space="0" w:color="auto"/>
              <w:right w:val="single" w:sz="8" w:space="0" w:color="auto"/>
            </w:tcBorders>
            <w:shd w:val="clear" w:color="auto" w:fill="auto"/>
            <w:vAlign w:val="center"/>
            <w:hideMark/>
          </w:tcPr>
          <w:p w14:paraId="36844BD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90%</w:t>
            </w:r>
          </w:p>
        </w:tc>
        <w:tc>
          <w:tcPr>
            <w:tcW w:w="1417" w:type="dxa"/>
            <w:tcBorders>
              <w:top w:val="nil"/>
              <w:left w:val="nil"/>
              <w:bottom w:val="single" w:sz="8" w:space="0" w:color="auto"/>
              <w:right w:val="single" w:sz="8" w:space="0" w:color="auto"/>
            </w:tcBorders>
            <w:shd w:val="clear" w:color="auto" w:fill="auto"/>
            <w:vAlign w:val="center"/>
            <w:hideMark/>
          </w:tcPr>
          <w:p w14:paraId="0C5D508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Secretaría del Ayuntamiento</w:t>
            </w:r>
          </w:p>
        </w:tc>
        <w:tc>
          <w:tcPr>
            <w:tcW w:w="890" w:type="dxa"/>
            <w:tcBorders>
              <w:top w:val="nil"/>
              <w:left w:val="nil"/>
              <w:bottom w:val="single" w:sz="8" w:space="0" w:color="auto"/>
              <w:right w:val="single" w:sz="8" w:space="0" w:color="auto"/>
            </w:tcBorders>
            <w:shd w:val="clear" w:color="auto" w:fill="auto"/>
            <w:vAlign w:val="center"/>
            <w:hideMark/>
          </w:tcPr>
          <w:p w14:paraId="72E7A02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1106165"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929C16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18</w:t>
            </w:r>
          </w:p>
        </w:tc>
        <w:tc>
          <w:tcPr>
            <w:tcW w:w="793" w:type="dxa"/>
            <w:tcBorders>
              <w:top w:val="nil"/>
              <w:left w:val="nil"/>
              <w:bottom w:val="single" w:sz="8" w:space="0" w:color="auto"/>
              <w:right w:val="single" w:sz="8" w:space="0" w:color="auto"/>
            </w:tcBorders>
            <w:shd w:val="clear" w:color="auto" w:fill="auto"/>
            <w:vAlign w:val="center"/>
            <w:hideMark/>
          </w:tcPr>
          <w:p w14:paraId="31EEAD1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2C734F88"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Promedio simple en la respuesta eficaz a reportes de contingencias y emergencias.</w:t>
            </w:r>
          </w:p>
        </w:tc>
        <w:tc>
          <w:tcPr>
            <w:tcW w:w="1134" w:type="dxa"/>
            <w:tcBorders>
              <w:top w:val="nil"/>
              <w:left w:val="nil"/>
              <w:bottom w:val="single" w:sz="8" w:space="0" w:color="auto"/>
              <w:right w:val="single" w:sz="8" w:space="0" w:color="auto"/>
            </w:tcBorders>
            <w:shd w:val="clear" w:color="auto" w:fill="auto"/>
            <w:vAlign w:val="center"/>
            <w:hideMark/>
          </w:tcPr>
          <w:p w14:paraId="5EBED7C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5A685F5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w:t>
            </w:r>
          </w:p>
        </w:tc>
        <w:tc>
          <w:tcPr>
            <w:tcW w:w="1417" w:type="dxa"/>
            <w:tcBorders>
              <w:top w:val="nil"/>
              <w:left w:val="nil"/>
              <w:bottom w:val="single" w:sz="8" w:space="0" w:color="auto"/>
              <w:right w:val="single" w:sz="8" w:space="0" w:color="auto"/>
            </w:tcBorders>
            <w:shd w:val="clear" w:color="auto" w:fill="auto"/>
            <w:vAlign w:val="center"/>
            <w:hideMark/>
          </w:tcPr>
          <w:p w14:paraId="711F082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Secretaría del Ayuntamiento</w:t>
            </w:r>
          </w:p>
        </w:tc>
        <w:tc>
          <w:tcPr>
            <w:tcW w:w="890" w:type="dxa"/>
            <w:tcBorders>
              <w:top w:val="nil"/>
              <w:left w:val="nil"/>
              <w:bottom w:val="single" w:sz="8" w:space="0" w:color="auto"/>
              <w:right w:val="single" w:sz="8" w:space="0" w:color="auto"/>
            </w:tcBorders>
            <w:shd w:val="clear" w:color="auto" w:fill="auto"/>
            <w:vAlign w:val="center"/>
            <w:hideMark/>
          </w:tcPr>
          <w:p w14:paraId="4E881E0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7B771FDB"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C754E0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19</w:t>
            </w:r>
          </w:p>
        </w:tc>
        <w:tc>
          <w:tcPr>
            <w:tcW w:w="793" w:type="dxa"/>
            <w:tcBorders>
              <w:top w:val="nil"/>
              <w:left w:val="nil"/>
              <w:bottom w:val="single" w:sz="8" w:space="0" w:color="auto"/>
              <w:right w:val="single" w:sz="8" w:space="0" w:color="auto"/>
            </w:tcBorders>
            <w:shd w:val="clear" w:color="auto" w:fill="auto"/>
            <w:vAlign w:val="center"/>
            <w:hideMark/>
          </w:tcPr>
          <w:p w14:paraId="4B4084A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052D76B3"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Promedio de acciones para reducir comercios irregulares en Protección Civil</w:t>
            </w:r>
          </w:p>
        </w:tc>
        <w:tc>
          <w:tcPr>
            <w:tcW w:w="1134" w:type="dxa"/>
            <w:tcBorders>
              <w:top w:val="nil"/>
              <w:left w:val="nil"/>
              <w:bottom w:val="single" w:sz="8" w:space="0" w:color="auto"/>
              <w:right w:val="single" w:sz="8" w:space="0" w:color="auto"/>
            </w:tcBorders>
            <w:shd w:val="clear" w:color="auto" w:fill="auto"/>
            <w:vAlign w:val="center"/>
            <w:hideMark/>
          </w:tcPr>
          <w:p w14:paraId="3C2F72D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035481D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w:t>
            </w:r>
          </w:p>
        </w:tc>
        <w:tc>
          <w:tcPr>
            <w:tcW w:w="1417" w:type="dxa"/>
            <w:tcBorders>
              <w:top w:val="nil"/>
              <w:left w:val="nil"/>
              <w:bottom w:val="single" w:sz="8" w:space="0" w:color="auto"/>
              <w:right w:val="single" w:sz="8" w:space="0" w:color="auto"/>
            </w:tcBorders>
            <w:shd w:val="clear" w:color="auto" w:fill="auto"/>
            <w:vAlign w:val="center"/>
            <w:hideMark/>
          </w:tcPr>
          <w:p w14:paraId="5C05B44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Secretaría del Ayuntamiento</w:t>
            </w:r>
          </w:p>
        </w:tc>
        <w:tc>
          <w:tcPr>
            <w:tcW w:w="890" w:type="dxa"/>
            <w:tcBorders>
              <w:top w:val="nil"/>
              <w:left w:val="nil"/>
              <w:bottom w:val="single" w:sz="8" w:space="0" w:color="auto"/>
              <w:right w:val="single" w:sz="8" w:space="0" w:color="auto"/>
            </w:tcBorders>
            <w:shd w:val="clear" w:color="auto" w:fill="auto"/>
            <w:vAlign w:val="center"/>
            <w:hideMark/>
          </w:tcPr>
          <w:p w14:paraId="61E1D0D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BCE6FE0"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40E02C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20</w:t>
            </w:r>
          </w:p>
        </w:tc>
        <w:tc>
          <w:tcPr>
            <w:tcW w:w="793" w:type="dxa"/>
            <w:tcBorders>
              <w:top w:val="nil"/>
              <w:left w:val="nil"/>
              <w:bottom w:val="single" w:sz="8" w:space="0" w:color="auto"/>
              <w:right w:val="single" w:sz="8" w:space="0" w:color="auto"/>
            </w:tcBorders>
            <w:shd w:val="clear" w:color="auto" w:fill="auto"/>
            <w:vAlign w:val="center"/>
            <w:hideMark/>
          </w:tcPr>
          <w:p w14:paraId="488D6DA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74B36B1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familias de escasos recursos beneficiadas con entrega de Títulos de Propiedad</w:t>
            </w:r>
          </w:p>
        </w:tc>
        <w:tc>
          <w:tcPr>
            <w:tcW w:w="1134" w:type="dxa"/>
            <w:tcBorders>
              <w:top w:val="nil"/>
              <w:left w:val="nil"/>
              <w:bottom w:val="single" w:sz="8" w:space="0" w:color="auto"/>
              <w:right w:val="single" w:sz="8" w:space="0" w:color="auto"/>
            </w:tcBorders>
            <w:shd w:val="clear" w:color="auto" w:fill="auto"/>
            <w:vAlign w:val="center"/>
            <w:hideMark/>
          </w:tcPr>
          <w:p w14:paraId="222034A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48901E9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20%</w:t>
            </w:r>
          </w:p>
        </w:tc>
        <w:tc>
          <w:tcPr>
            <w:tcW w:w="1417" w:type="dxa"/>
            <w:tcBorders>
              <w:top w:val="nil"/>
              <w:left w:val="nil"/>
              <w:bottom w:val="single" w:sz="8" w:space="0" w:color="auto"/>
              <w:right w:val="single" w:sz="8" w:space="0" w:color="auto"/>
            </w:tcBorders>
            <w:shd w:val="clear" w:color="auto" w:fill="auto"/>
            <w:vAlign w:val="center"/>
            <w:hideMark/>
          </w:tcPr>
          <w:p w14:paraId="5BF35F3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Promotora Inmobiliaria del Municipio de Hermosillo</w:t>
            </w:r>
          </w:p>
        </w:tc>
        <w:tc>
          <w:tcPr>
            <w:tcW w:w="890" w:type="dxa"/>
            <w:tcBorders>
              <w:top w:val="nil"/>
              <w:left w:val="nil"/>
              <w:bottom w:val="single" w:sz="8" w:space="0" w:color="auto"/>
              <w:right w:val="single" w:sz="8" w:space="0" w:color="auto"/>
            </w:tcBorders>
            <w:shd w:val="clear" w:color="auto" w:fill="auto"/>
            <w:vAlign w:val="center"/>
            <w:hideMark/>
          </w:tcPr>
          <w:p w14:paraId="2299070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D2557E9"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9A6B67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21</w:t>
            </w:r>
          </w:p>
        </w:tc>
        <w:tc>
          <w:tcPr>
            <w:tcW w:w="793" w:type="dxa"/>
            <w:tcBorders>
              <w:top w:val="nil"/>
              <w:left w:val="nil"/>
              <w:bottom w:val="single" w:sz="8" w:space="0" w:color="auto"/>
              <w:right w:val="single" w:sz="8" w:space="0" w:color="auto"/>
            </w:tcBorders>
            <w:shd w:val="clear" w:color="auto" w:fill="auto"/>
            <w:vAlign w:val="center"/>
            <w:hideMark/>
          </w:tcPr>
          <w:p w14:paraId="1BB402F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63E2E651"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familias de escasos recursos beneficiadas con lotes regularizados</w:t>
            </w:r>
          </w:p>
        </w:tc>
        <w:tc>
          <w:tcPr>
            <w:tcW w:w="1134" w:type="dxa"/>
            <w:tcBorders>
              <w:top w:val="nil"/>
              <w:left w:val="nil"/>
              <w:bottom w:val="single" w:sz="8" w:space="0" w:color="auto"/>
              <w:right w:val="single" w:sz="8" w:space="0" w:color="auto"/>
            </w:tcBorders>
            <w:shd w:val="clear" w:color="auto" w:fill="auto"/>
            <w:vAlign w:val="center"/>
            <w:hideMark/>
          </w:tcPr>
          <w:p w14:paraId="12AAA5C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37A7139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11.50%</w:t>
            </w:r>
          </w:p>
        </w:tc>
        <w:tc>
          <w:tcPr>
            <w:tcW w:w="1417" w:type="dxa"/>
            <w:tcBorders>
              <w:top w:val="nil"/>
              <w:left w:val="nil"/>
              <w:bottom w:val="single" w:sz="8" w:space="0" w:color="auto"/>
              <w:right w:val="single" w:sz="8" w:space="0" w:color="auto"/>
            </w:tcBorders>
            <w:shd w:val="clear" w:color="auto" w:fill="auto"/>
            <w:vAlign w:val="center"/>
            <w:hideMark/>
          </w:tcPr>
          <w:p w14:paraId="1FA7869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Promotora Inmobiliaria del Municipio de Hermosillo</w:t>
            </w:r>
          </w:p>
        </w:tc>
        <w:tc>
          <w:tcPr>
            <w:tcW w:w="890" w:type="dxa"/>
            <w:tcBorders>
              <w:top w:val="nil"/>
              <w:left w:val="nil"/>
              <w:bottom w:val="single" w:sz="8" w:space="0" w:color="auto"/>
              <w:right w:val="single" w:sz="8" w:space="0" w:color="auto"/>
            </w:tcBorders>
            <w:shd w:val="clear" w:color="auto" w:fill="auto"/>
            <w:vAlign w:val="center"/>
            <w:hideMark/>
          </w:tcPr>
          <w:p w14:paraId="78E1FBB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3553374"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CAA786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22</w:t>
            </w:r>
          </w:p>
        </w:tc>
        <w:tc>
          <w:tcPr>
            <w:tcW w:w="793" w:type="dxa"/>
            <w:tcBorders>
              <w:top w:val="nil"/>
              <w:left w:val="nil"/>
              <w:bottom w:val="single" w:sz="8" w:space="0" w:color="auto"/>
              <w:right w:val="single" w:sz="8" w:space="0" w:color="auto"/>
            </w:tcBorders>
            <w:shd w:val="clear" w:color="auto" w:fill="auto"/>
            <w:vAlign w:val="center"/>
            <w:hideMark/>
          </w:tcPr>
          <w:p w14:paraId="42DB1EA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6B33CED2"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la recuperación de la cartera vencida</w:t>
            </w:r>
          </w:p>
        </w:tc>
        <w:tc>
          <w:tcPr>
            <w:tcW w:w="1134" w:type="dxa"/>
            <w:tcBorders>
              <w:top w:val="nil"/>
              <w:left w:val="nil"/>
              <w:bottom w:val="single" w:sz="8" w:space="0" w:color="auto"/>
              <w:right w:val="single" w:sz="8" w:space="0" w:color="auto"/>
            </w:tcBorders>
            <w:shd w:val="clear" w:color="auto" w:fill="auto"/>
            <w:vAlign w:val="center"/>
            <w:hideMark/>
          </w:tcPr>
          <w:p w14:paraId="3D924C8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308F4CE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15.00%</w:t>
            </w:r>
          </w:p>
        </w:tc>
        <w:tc>
          <w:tcPr>
            <w:tcW w:w="1417" w:type="dxa"/>
            <w:tcBorders>
              <w:top w:val="nil"/>
              <w:left w:val="nil"/>
              <w:bottom w:val="single" w:sz="8" w:space="0" w:color="auto"/>
              <w:right w:val="single" w:sz="8" w:space="0" w:color="auto"/>
            </w:tcBorders>
            <w:shd w:val="clear" w:color="auto" w:fill="auto"/>
            <w:vAlign w:val="center"/>
            <w:hideMark/>
          </w:tcPr>
          <w:p w14:paraId="0485528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Promotora Inmobiliaria del Municipio de Hermosillo</w:t>
            </w:r>
          </w:p>
        </w:tc>
        <w:tc>
          <w:tcPr>
            <w:tcW w:w="890" w:type="dxa"/>
            <w:tcBorders>
              <w:top w:val="nil"/>
              <w:left w:val="nil"/>
              <w:bottom w:val="single" w:sz="8" w:space="0" w:color="auto"/>
              <w:right w:val="single" w:sz="8" w:space="0" w:color="auto"/>
            </w:tcBorders>
            <w:shd w:val="clear" w:color="auto" w:fill="auto"/>
            <w:vAlign w:val="center"/>
            <w:hideMark/>
          </w:tcPr>
          <w:p w14:paraId="09BB78A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C355135"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6A3D18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23</w:t>
            </w:r>
          </w:p>
        </w:tc>
        <w:tc>
          <w:tcPr>
            <w:tcW w:w="793" w:type="dxa"/>
            <w:tcBorders>
              <w:top w:val="nil"/>
              <w:left w:val="nil"/>
              <w:bottom w:val="single" w:sz="8" w:space="0" w:color="auto"/>
              <w:right w:val="single" w:sz="8" w:space="0" w:color="auto"/>
            </w:tcBorders>
            <w:shd w:val="clear" w:color="auto" w:fill="auto"/>
            <w:vAlign w:val="center"/>
            <w:hideMark/>
          </w:tcPr>
          <w:p w14:paraId="55A98FC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64FD31BC"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familias beneficiadas con certeza jurídica en su patrimonio y la </w:t>
            </w:r>
            <w:r w:rsidRPr="0008162A">
              <w:rPr>
                <w:rFonts w:eastAsia="Times New Roman" w:cs="Arial"/>
                <w:color w:val="000000"/>
                <w:lang w:val="es-MX" w:eastAsia="es-MX" w:bidi="ar-SA"/>
              </w:rPr>
              <w:lastRenderedPageBreak/>
              <w:t>gestión efectiva de bienes inmuebles</w:t>
            </w:r>
          </w:p>
        </w:tc>
        <w:tc>
          <w:tcPr>
            <w:tcW w:w="1134" w:type="dxa"/>
            <w:tcBorders>
              <w:top w:val="nil"/>
              <w:left w:val="nil"/>
              <w:bottom w:val="single" w:sz="8" w:space="0" w:color="auto"/>
              <w:right w:val="single" w:sz="8" w:space="0" w:color="auto"/>
            </w:tcBorders>
            <w:shd w:val="clear" w:color="auto" w:fill="auto"/>
            <w:vAlign w:val="center"/>
            <w:hideMark/>
          </w:tcPr>
          <w:p w14:paraId="6069E9D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lastRenderedPageBreak/>
              <w:t>ND</w:t>
            </w:r>
          </w:p>
        </w:tc>
        <w:tc>
          <w:tcPr>
            <w:tcW w:w="992" w:type="dxa"/>
            <w:tcBorders>
              <w:top w:val="nil"/>
              <w:left w:val="nil"/>
              <w:bottom w:val="single" w:sz="8" w:space="0" w:color="auto"/>
              <w:right w:val="single" w:sz="8" w:space="0" w:color="auto"/>
            </w:tcBorders>
            <w:shd w:val="clear" w:color="auto" w:fill="auto"/>
            <w:vAlign w:val="center"/>
            <w:hideMark/>
          </w:tcPr>
          <w:p w14:paraId="5A3CB03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1417" w:type="dxa"/>
            <w:tcBorders>
              <w:top w:val="nil"/>
              <w:left w:val="nil"/>
              <w:bottom w:val="single" w:sz="8" w:space="0" w:color="auto"/>
              <w:right w:val="single" w:sz="8" w:space="0" w:color="auto"/>
            </w:tcBorders>
            <w:shd w:val="clear" w:color="auto" w:fill="auto"/>
            <w:vAlign w:val="center"/>
            <w:hideMark/>
          </w:tcPr>
          <w:p w14:paraId="65407F3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Sindicatura</w:t>
            </w:r>
          </w:p>
        </w:tc>
        <w:tc>
          <w:tcPr>
            <w:tcW w:w="890" w:type="dxa"/>
            <w:tcBorders>
              <w:top w:val="nil"/>
              <w:left w:val="nil"/>
              <w:bottom w:val="single" w:sz="8" w:space="0" w:color="auto"/>
              <w:right w:val="single" w:sz="8" w:space="0" w:color="auto"/>
            </w:tcBorders>
            <w:shd w:val="clear" w:color="auto" w:fill="auto"/>
            <w:vAlign w:val="center"/>
            <w:hideMark/>
          </w:tcPr>
          <w:p w14:paraId="765DA0B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0CE2684D"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479453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24</w:t>
            </w:r>
          </w:p>
        </w:tc>
        <w:tc>
          <w:tcPr>
            <w:tcW w:w="793" w:type="dxa"/>
            <w:tcBorders>
              <w:top w:val="nil"/>
              <w:left w:val="nil"/>
              <w:bottom w:val="single" w:sz="8" w:space="0" w:color="auto"/>
              <w:right w:val="single" w:sz="8" w:space="0" w:color="auto"/>
            </w:tcBorders>
            <w:shd w:val="clear" w:color="auto" w:fill="auto"/>
            <w:vAlign w:val="center"/>
            <w:hideMark/>
          </w:tcPr>
          <w:p w14:paraId="4B60D74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5D305EAA"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de reservas territoriales para desarrollo urbano y vivienda adquiridas</w:t>
            </w:r>
          </w:p>
        </w:tc>
        <w:tc>
          <w:tcPr>
            <w:tcW w:w="1134" w:type="dxa"/>
            <w:tcBorders>
              <w:top w:val="nil"/>
              <w:left w:val="nil"/>
              <w:bottom w:val="single" w:sz="8" w:space="0" w:color="auto"/>
              <w:right w:val="single" w:sz="8" w:space="0" w:color="auto"/>
            </w:tcBorders>
            <w:shd w:val="clear" w:color="auto" w:fill="auto"/>
            <w:vAlign w:val="center"/>
            <w:hideMark/>
          </w:tcPr>
          <w:p w14:paraId="23AC9AB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2FB83B1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1417" w:type="dxa"/>
            <w:tcBorders>
              <w:top w:val="nil"/>
              <w:left w:val="nil"/>
              <w:bottom w:val="single" w:sz="8" w:space="0" w:color="auto"/>
              <w:right w:val="single" w:sz="8" w:space="0" w:color="auto"/>
            </w:tcBorders>
            <w:shd w:val="clear" w:color="auto" w:fill="auto"/>
            <w:vAlign w:val="center"/>
            <w:hideMark/>
          </w:tcPr>
          <w:p w14:paraId="49BFCEA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Sindicatura</w:t>
            </w:r>
          </w:p>
        </w:tc>
        <w:tc>
          <w:tcPr>
            <w:tcW w:w="890" w:type="dxa"/>
            <w:tcBorders>
              <w:top w:val="nil"/>
              <w:left w:val="nil"/>
              <w:bottom w:val="single" w:sz="8" w:space="0" w:color="auto"/>
              <w:right w:val="single" w:sz="8" w:space="0" w:color="auto"/>
            </w:tcBorders>
            <w:shd w:val="clear" w:color="auto" w:fill="auto"/>
            <w:vAlign w:val="center"/>
            <w:hideMark/>
          </w:tcPr>
          <w:p w14:paraId="5E689D3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76B55CA"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4C7FC7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25</w:t>
            </w:r>
          </w:p>
        </w:tc>
        <w:tc>
          <w:tcPr>
            <w:tcW w:w="793" w:type="dxa"/>
            <w:tcBorders>
              <w:top w:val="nil"/>
              <w:left w:val="nil"/>
              <w:bottom w:val="single" w:sz="8" w:space="0" w:color="auto"/>
              <w:right w:val="single" w:sz="8" w:space="0" w:color="auto"/>
            </w:tcBorders>
            <w:shd w:val="clear" w:color="auto" w:fill="auto"/>
            <w:vAlign w:val="center"/>
            <w:hideMark/>
          </w:tcPr>
          <w:p w14:paraId="672CEDF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41B2184A"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atenciones brindadas a mujeres o familias que solicitan refugio en "Hacienda Esperanza" y que son protegidas</w:t>
            </w:r>
          </w:p>
        </w:tc>
        <w:tc>
          <w:tcPr>
            <w:tcW w:w="1134" w:type="dxa"/>
            <w:tcBorders>
              <w:top w:val="nil"/>
              <w:left w:val="nil"/>
              <w:bottom w:val="single" w:sz="8" w:space="0" w:color="auto"/>
              <w:right w:val="single" w:sz="8" w:space="0" w:color="auto"/>
            </w:tcBorders>
            <w:shd w:val="clear" w:color="auto" w:fill="auto"/>
            <w:vAlign w:val="center"/>
            <w:hideMark/>
          </w:tcPr>
          <w:p w14:paraId="685A968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764D124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1417" w:type="dxa"/>
            <w:tcBorders>
              <w:top w:val="nil"/>
              <w:left w:val="nil"/>
              <w:bottom w:val="single" w:sz="8" w:space="0" w:color="auto"/>
              <w:right w:val="single" w:sz="8" w:space="0" w:color="auto"/>
            </w:tcBorders>
            <w:shd w:val="clear" w:color="auto" w:fill="auto"/>
            <w:vAlign w:val="center"/>
            <w:hideMark/>
          </w:tcPr>
          <w:p w14:paraId="05C417B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Atención a la Mujer</w:t>
            </w:r>
          </w:p>
        </w:tc>
        <w:tc>
          <w:tcPr>
            <w:tcW w:w="890" w:type="dxa"/>
            <w:tcBorders>
              <w:top w:val="nil"/>
              <w:left w:val="nil"/>
              <w:bottom w:val="single" w:sz="8" w:space="0" w:color="auto"/>
              <w:right w:val="single" w:sz="8" w:space="0" w:color="auto"/>
            </w:tcBorders>
            <w:shd w:val="clear" w:color="auto" w:fill="auto"/>
            <w:vAlign w:val="center"/>
            <w:hideMark/>
          </w:tcPr>
          <w:p w14:paraId="4ECDEE1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FFA4B5E"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BC70D2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26</w:t>
            </w:r>
          </w:p>
        </w:tc>
        <w:tc>
          <w:tcPr>
            <w:tcW w:w="793" w:type="dxa"/>
            <w:tcBorders>
              <w:top w:val="nil"/>
              <w:left w:val="nil"/>
              <w:bottom w:val="single" w:sz="8" w:space="0" w:color="auto"/>
              <w:right w:val="single" w:sz="8" w:space="0" w:color="auto"/>
            </w:tcBorders>
            <w:shd w:val="clear" w:color="auto" w:fill="auto"/>
            <w:vAlign w:val="center"/>
            <w:hideMark/>
          </w:tcPr>
          <w:p w14:paraId="2E51A60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0D5A5DB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la atención a mujeres en el Centro de Atención a Mujeres</w:t>
            </w:r>
          </w:p>
        </w:tc>
        <w:tc>
          <w:tcPr>
            <w:tcW w:w="1134" w:type="dxa"/>
            <w:tcBorders>
              <w:top w:val="nil"/>
              <w:left w:val="nil"/>
              <w:bottom w:val="single" w:sz="8" w:space="0" w:color="auto"/>
              <w:right w:val="single" w:sz="8" w:space="0" w:color="auto"/>
            </w:tcBorders>
            <w:shd w:val="clear" w:color="auto" w:fill="auto"/>
            <w:vAlign w:val="center"/>
            <w:hideMark/>
          </w:tcPr>
          <w:p w14:paraId="5EC9F7C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0533F71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1417" w:type="dxa"/>
            <w:tcBorders>
              <w:top w:val="nil"/>
              <w:left w:val="nil"/>
              <w:bottom w:val="single" w:sz="8" w:space="0" w:color="auto"/>
              <w:right w:val="single" w:sz="8" w:space="0" w:color="auto"/>
            </w:tcBorders>
            <w:shd w:val="clear" w:color="auto" w:fill="auto"/>
            <w:vAlign w:val="center"/>
            <w:hideMark/>
          </w:tcPr>
          <w:p w14:paraId="359A3C9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Atención a la Mujer</w:t>
            </w:r>
          </w:p>
        </w:tc>
        <w:tc>
          <w:tcPr>
            <w:tcW w:w="890" w:type="dxa"/>
            <w:tcBorders>
              <w:top w:val="nil"/>
              <w:left w:val="nil"/>
              <w:bottom w:val="single" w:sz="8" w:space="0" w:color="auto"/>
              <w:right w:val="single" w:sz="8" w:space="0" w:color="auto"/>
            </w:tcBorders>
            <w:shd w:val="clear" w:color="auto" w:fill="auto"/>
            <w:vAlign w:val="center"/>
            <w:hideMark/>
          </w:tcPr>
          <w:p w14:paraId="7913388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C31CB40" w14:textId="77777777" w:rsidTr="0008162A">
        <w:trPr>
          <w:trHeight w:val="144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02A56B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27</w:t>
            </w:r>
          </w:p>
        </w:tc>
        <w:tc>
          <w:tcPr>
            <w:tcW w:w="793" w:type="dxa"/>
            <w:tcBorders>
              <w:top w:val="nil"/>
              <w:left w:val="nil"/>
              <w:bottom w:val="single" w:sz="8" w:space="0" w:color="auto"/>
              <w:right w:val="single" w:sz="8" w:space="0" w:color="auto"/>
            </w:tcBorders>
            <w:shd w:val="clear" w:color="auto" w:fill="auto"/>
            <w:vAlign w:val="center"/>
            <w:hideMark/>
          </w:tcPr>
          <w:p w14:paraId="234CED1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3119" w:type="dxa"/>
            <w:tcBorders>
              <w:top w:val="nil"/>
              <w:left w:val="nil"/>
              <w:bottom w:val="single" w:sz="8" w:space="0" w:color="auto"/>
              <w:right w:val="single" w:sz="8" w:space="0" w:color="auto"/>
            </w:tcBorders>
            <w:shd w:val="clear" w:color="auto" w:fill="auto"/>
            <w:vAlign w:val="center"/>
            <w:hideMark/>
          </w:tcPr>
          <w:p w14:paraId="59315484"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el otorgamiento de atención psicológica a mujeres usuarias del Centro de Atención a Mujeres, mujeres víctimas de violencia y a sus hijas e hijos</w:t>
            </w:r>
          </w:p>
        </w:tc>
        <w:tc>
          <w:tcPr>
            <w:tcW w:w="1134" w:type="dxa"/>
            <w:tcBorders>
              <w:top w:val="nil"/>
              <w:left w:val="nil"/>
              <w:bottom w:val="single" w:sz="8" w:space="0" w:color="auto"/>
              <w:right w:val="single" w:sz="8" w:space="0" w:color="auto"/>
            </w:tcBorders>
            <w:shd w:val="clear" w:color="auto" w:fill="auto"/>
            <w:vAlign w:val="center"/>
            <w:hideMark/>
          </w:tcPr>
          <w:p w14:paraId="548423C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6C5D11E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1417" w:type="dxa"/>
            <w:tcBorders>
              <w:top w:val="nil"/>
              <w:left w:val="nil"/>
              <w:bottom w:val="single" w:sz="8" w:space="0" w:color="auto"/>
              <w:right w:val="single" w:sz="8" w:space="0" w:color="auto"/>
            </w:tcBorders>
            <w:shd w:val="clear" w:color="auto" w:fill="auto"/>
            <w:vAlign w:val="center"/>
            <w:hideMark/>
          </w:tcPr>
          <w:p w14:paraId="4984ED3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Atención a la Mujer</w:t>
            </w:r>
          </w:p>
        </w:tc>
        <w:tc>
          <w:tcPr>
            <w:tcW w:w="890" w:type="dxa"/>
            <w:tcBorders>
              <w:top w:val="nil"/>
              <w:left w:val="nil"/>
              <w:bottom w:val="single" w:sz="8" w:space="0" w:color="auto"/>
              <w:right w:val="single" w:sz="8" w:space="0" w:color="auto"/>
            </w:tcBorders>
            <w:shd w:val="clear" w:color="auto" w:fill="auto"/>
            <w:vAlign w:val="center"/>
            <w:hideMark/>
          </w:tcPr>
          <w:p w14:paraId="0B8D1B3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57C4638"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D4F054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28</w:t>
            </w:r>
          </w:p>
        </w:tc>
        <w:tc>
          <w:tcPr>
            <w:tcW w:w="793" w:type="dxa"/>
            <w:tcBorders>
              <w:top w:val="nil"/>
              <w:left w:val="nil"/>
              <w:bottom w:val="single" w:sz="8" w:space="0" w:color="auto"/>
              <w:right w:val="single" w:sz="8" w:space="0" w:color="auto"/>
            </w:tcBorders>
            <w:shd w:val="clear" w:color="auto" w:fill="auto"/>
            <w:vAlign w:val="center"/>
            <w:hideMark/>
          </w:tcPr>
          <w:p w14:paraId="1B8B5DE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4C9D1A5D"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la población de 18 años y más, satisfecho con la iluminación adecuada del alumbrado público</w:t>
            </w:r>
          </w:p>
        </w:tc>
        <w:tc>
          <w:tcPr>
            <w:tcW w:w="1134" w:type="dxa"/>
            <w:tcBorders>
              <w:top w:val="nil"/>
              <w:left w:val="nil"/>
              <w:bottom w:val="single" w:sz="8" w:space="0" w:color="auto"/>
              <w:right w:val="single" w:sz="8" w:space="0" w:color="auto"/>
            </w:tcBorders>
            <w:shd w:val="clear" w:color="auto" w:fill="auto"/>
            <w:vAlign w:val="center"/>
            <w:hideMark/>
          </w:tcPr>
          <w:p w14:paraId="4209404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61.9 (2023)</w:t>
            </w:r>
          </w:p>
        </w:tc>
        <w:tc>
          <w:tcPr>
            <w:tcW w:w="992" w:type="dxa"/>
            <w:tcBorders>
              <w:top w:val="nil"/>
              <w:left w:val="nil"/>
              <w:bottom w:val="single" w:sz="8" w:space="0" w:color="auto"/>
              <w:right w:val="single" w:sz="8" w:space="0" w:color="auto"/>
            </w:tcBorders>
            <w:shd w:val="clear" w:color="auto" w:fill="auto"/>
            <w:vAlign w:val="center"/>
            <w:hideMark/>
          </w:tcPr>
          <w:p w14:paraId="77F372C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65</w:t>
            </w:r>
          </w:p>
        </w:tc>
        <w:tc>
          <w:tcPr>
            <w:tcW w:w="1417" w:type="dxa"/>
            <w:tcBorders>
              <w:top w:val="nil"/>
              <w:left w:val="nil"/>
              <w:bottom w:val="single" w:sz="8" w:space="0" w:color="auto"/>
              <w:right w:val="single" w:sz="8" w:space="0" w:color="auto"/>
            </w:tcBorders>
            <w:shd w:val="clear" w:color="auto" w:fill="auto"/>
            <w:vAlign w:val="center"/>
            <w:hideMark/>
          </w:tcPr>
          <w:p w14:paraId="518722B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vAlign w:val="center"/>
            <w:hideMark/>
          </w:tcPr>
          <w:p w14:paraId="484BD25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4AD6357F"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B9EB4A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29</w:t>
            </w:r>
          </w:p>
        </w:tc>
        <w:tc>
          <w:tcPr>
            <w:tcW w:w="793" w:type="dxa"/>
            <w:tcBorders>
              <w:top w:val="nil"/>
              <w:left w:val="nil"/>
              <w:bottom w:val="single" w:sz="8" w:space="0" w:color="auto"/>
              <w:right w:val="single" w:sz="8" w:space="0" w:color="auto"/>
            </w:tcBorders>
            <w:shd w:val="clear" w:color="auto" w:fill="auto"/>
            <w:vAlign w:val="center"/>
            <w:hideMark/>
          </w:tcPr>
          <w:p w14:paraId="42852A2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09AE2E80"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la población de 18 años y más, satisfecho con el mantenimiento del alumbrado público </w:t>
            </w:r>
          </w:p>
        </w:tc>
        <w:tc>
          <w:tcPr>
            <w:tcW w:w="1134" w:type="dxa"/>
            <w:tcBorders>
              <w:top w:val="nil"/>
              <w:left w:val="nil"/>
              <w:bottom w:val="single" w:sz="8" w:space="0" w:color="auto"/>
              <w:right w:val="single" w:sz="8" w:space="0" w:color="auto"/>
            </w:tcBorders>
            <w:shd w:val="clear" w:color="auto" w:fill="auto"/>
            <w:vAlign w:val="center"/>
            <w:hideMark/>
          </w:tcPr>
          <w:p w14:paraId="7A3A974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50.7 (2023)</w:t>
            </w:r>
          </w:p>
        </w:tc>
        <w:tc>
          <w:tcPr>
            <w:tcW w:w="992" w:type="dxa"/>
            <w:tcBorders>
              <w:top w:val="nil"/>
              <w:left w:val="nil"/>
              <w:bottom w:val="single" w:sz="8" w:space="0" w:color="auto"/>
              <w:right w:val="single" w:sz="8" w:space="0" w:color="auto"/>
            </w:tcBorders>
            <w:shd w:val="clear" w:color="auto" w:fill="auto"/>
            <w:vAlign w:val="center"/>
            <w:hideMark/>
          </w:tcPr>
          <w:p w14:paraId="34CB44A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53.7</w:t>
            </w:r>
          </w:p>
        </w:tc>
        <w:tc>
          <w:tcPr>
            <w:tcW w:w="1417" w:type="dxa"/>
            <w:tcBorders>
              <w:top w:val="nil"/>
              <w:left w:val="nil"/>
              <w:bottom w:val="single" w:sz="8" w:space="0" w:color="auto"/>
              <w:right w:val="single" w:sz="8" w:space="0" w:color="auto"/>
            </w:tcBorders>
            <w:shd w:val="clear" w:color="auto" w:fill="auto"/>
            <w:vAlign w:val="center"/>
            <w:hideMark/>
          </w:tcPr>
          <w:p w14:paraId="7515B93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5D6F918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1766A5D8"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6CF15A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30</w:t>
            </w:r>
          </w:p>
        </w:tc>
        <w:tc>
          <w:tcPr>
            <w:tcW w:w="793" w:type="dxa"/>
            <w:tcBorders>
              <w:top w:val="nil"/>
              <w:left w:val="nil"/>
              <w:bottom w:val="single" w:sz="8" w:space="0" w:color="auto"/>
              <w:right w:val="single" w:sz="8" w:space="0" w:color="auto"/>
            </w:tcBorders>
            <w:shd w:val="clear" w:color="auto" w:fill="auto"/>
            <w:vAlign w:val="center"/>
            <w:hideMark/>
          </w:tcPr>
          <w:p w14:paraId="217DF98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78D9F49F"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la población de 18 años y más, satisfecho con la atención inmediata de fallas en el alumbrado público</w:t>
            </w:r>
          </w:p>
        </w:tc>
        <w:tc>
          <w:tcPr>
            <w:tcW w:w="1134" w:type="dxa"/>
            <w:tcBorders>
              <w:top w:val="nil"/>
              <w:left w:val="nil"/>
              <w:bottom w:val="single" w:sz="8" w:space="0" w:color="auto"/>
              <w:right w:val="single" w:sz="8" w:space="0" w:color="auto"/>
            </w:tcBorders>
            <w:shd w:val="clear" w:color="auto" w:fill="auto"/>
            <w:vAlign w:val="center"/>
            <w:hideMark/>
          </w:tcPr>
          <w:p w14:paraId="5C8A766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44.3 (2023)</w:t>
            </w:r>
          </w:p>
        </w:tc>
        <w:tc>
          <w:tcPr>
            <w:tcW w:w="992" w:type="dxa"/>
            <w:tcBorders>
              <w:top w:val="nil"/>
              <w:left w:val="nil"/>
              <w:bottom w:val="single" w:sz="8" w:space="0" w:color="auto"/>
              <w:right w:val="single" w:sz="8" w:space="0" w:color="auto"/>
            </w:tcBorders>
            <w:shd w:val="clear" w:color="auto" w:fill="auto"/>
            <w:vAlign w:val="center"/>
            <w:hideMark/>
          </w:tcPr>
          <w:p w14:paraId="46ECB34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47.3</w:t>
            </w:r>
          </w:p>
        </w:tc>
        <w:tc>
          <w:tcPr>
            <w:tcW w:w="1417" w:type="dxa"/>
            <w:tcBorders>
              <w:top w:val="nil"/>
              <w:left w:val="nil"/>
              <w:bottom w:val="single" w:sz="8" w:space="0" w:color="auto"/>
              <w:right w:val="single" w:sz="8" w:space="0" w:color="auto"/>
            </w:tcBorders>
            <w:shd w:val="clear" w:color="auto" w:fill="auto"/>
            <w:vAlign w:val="center"/>
            <w:hideMark/>
          </w:tcPr>
          <w:p w14:paraId="01A628D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5E79CAF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3AE22B2E"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7F4FE2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31</w:t>
            </w:r>
          </w:p>
        </w:tc>
        <w:tc>
          <w:tcPr>
            <w:tcW w:w="793" w:type="dxa"/>
            <w:tcBorders>
              <w:top w:val="nil"/>
              <w:left w:val="nil"/>
              <w:bottom w:val="single" w:sz="8" w:space="0" w:color="auto"/>
              <w:right w:val="single" w:sz="8" w:space="0" w:color="auto"/>
            </w:tcBorders>
            <w:shd w:val="clear" w:color="auto" w:fill="auto"/>
            <w:vAlign w:val="center"/>
            <w:hideMark/>
          </w:tcPr>
          <w:p w14:paraId="6CC6E35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250D49FE"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la población de 18 años y más, satisfecho con el servicio de alumbrado público</w:t>
            </w:r>
          </w:p>
        </w:tc>
        <w:tc>
          <w:tcPr>
            <w:tcW w:w="1134" w:type="dxa"/>
            <w:tcBorders>
              <w:top w:val="nil"/>
              <w:left w:val="nil"/>
              <w:bottom w:val="single" w:sz="8" w:space="0" w:color="auto"/>
              <w:right w:val="single" w:sz="8" w:space="0" w:color="auto"/>
            </w:tcBorders>
            <w:shd w:val="clear" w:color="auto" w:fill="auto"/>
            <w:vAlign w:val="center"/>
            <w:hideMark/>
          </w:tcPr>
          <w:p w14:paraId="09DC5BA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56.8 (2023)</w:t>
            </w:r>
          </w:p>
        </w:tc>
        <w:tc>
          <w:tcPr>
            <w:tcW w:w="992" w:type="dxa"/>
            <w:tcBorders>
              <w:top w:val="nil"/>
              <w:left w:val="nil"/>
              <w:bottom w:val="single" w:sz="8" w:space="0" w:color="auto"/>
              <w:right w:val="single" w:sz="8" w:space="0" w:color="auto"/>
            </w:tcBorders>
            <w:shd w:val="clear" w:color="auto" w:fill="auto"/>
            <w:vAlign w:val="center"/>
            <w:hideMark/>
          </w:tcPr>
          <w:p w14:paraId="65B41ED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58.8</w:t>
            </w:r>
          </w:p>
        </w:tc>
        <w:tc>
          <w:tcPr>
            <w:tcW w:w="1417" w:type="dxa"/>
            <w:tcBorders>
              <w:top w:val="nil"/>
              <w:left w:val="nil"/>
              <w:bottom w:val="single" w:sz="8" w:space="0" w:color="auto"/>
              <w:right w:val="single" w:sz="8" w:space="0" w:color="auto"/>
            </w:tcBorders>
            <w:shd w:val="clear" w:color="auto" w:fill="auto"/>
            <w:vAlign w:val="center"/>
            <w:hideMark/>
          </w:tcPr>
          <w:p w14:paraId="4A0FA81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55AF9A7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24256E89"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19F49E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32</w:t>
            </w:r>
          </w:p>
        </w:tc>
        <w:tc>
          <w:tcPr>
            <w:tcW w:w="793" w:type="dxa"/>
            <w:tcBorders>
              <w:top w:val="nil"/>
              <w:left w:val="nil"/>
              <w:bottom w:val="single" w:sz="8" w:space="0" w:color="auto"/>
              <w:right w:val="single" w:sz="8" w:space="0" w:color="auto"/>
            </w:tcBorders>
            <w:shd w:val="clear" w:color="auto" w:fill="auto"/>
            <w:vAlign w:val="center"/>
            <w:hideMark/>
          </w:tcPr>
          <w:p w14:paraId="26E39DC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0528BA3B"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la población de 18 años y más satisfecho con el suministro constante del servicio de agua potable</w:t>
            </w:r>
          </w:p>
        </w:tc>
        <w:tc>
          <w:tcPr>
            <w:tcW w:w="1134" w:type="dxa"/>
            <w:tcBorders>
              <w:top w:val="nil"/>
              <w:left w:val="nil"/>
              <w:bottom w:val="single" w:sz="8" w:space="0" w:color="auto"/>
              <w:right w:val="single" w:sz="8" w:space="0" w:color="auto"/>
            </w:tcBorders>
            <w:shd w:val="clear" w:color="auto" w:fill="auto"/>
            <w:vAlign w:val="center"/>
            <w:hideMark/>
          </w:tcPr>
          <w:p w14:paraId="067D223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58.8 (2023)</w:t>
            </w:r>
          </w:p>
        </w:tc>
        <w:tc>
          <w:tcPr>
            <w:tcW w:w="992" w:type="dxa"/>
            <w:tcBorders>
              <w:top w:val="nil"/>
              <w:left w:val="nil"/>
              <w:bottom w:val="single" w:sz="8" w:space="0" w:color="auto"/>
              <w:right w:val="single" w:sz="8" w:space="0" w:color="auto"/>
            </w:tcBorders>
            <w:shd w:val="clear" w:color="auto" w:fill="auto"/>
            <w:vAlign w:val="center"/>
            <w:hideMark/>
          </w:tcPr>
          <w:p w14:paraId="0996FF2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62.8</w:t>
            </w:r>
          </w:p>
        </w:tc>
        <w:tc>
          <w:tcPr>
            <w:tcW w:w="1417" w:type="dxa"/>
            <w:tcBorders>
              <w:top w:val="nil"/>
              <w:left w:val="nil"/>
              <w:bottom w:val="single" w:sz="8" w:space="0" w:color="auto"/>
              <w:right w:val="single" w:sz="8" w:space="0" w:color="auto"/>
            </w:tcBorders>
            <w:shd w:val="clear" w:color="auto" w:fill="auto"/>
            <w:vAlign w:val="center"/>
            <w:hideMark/>
          </w:tcPr>
          <w:p w14:paraId="00C6A30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5F6A128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25D50657"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B0E422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33</w:t>
            </w:r>
          </w:p>
        </w:tc>
        <w:tc>
          <w:tcPr>
            <w:tcW w:w="793" w:type="dxa"/>
            <w:tcBorders>
              <w:top w:val="nil"/>
              <w:left w:val="nil"/>
              <w:bottom w:val="single" w:sz="8" w:space="0" w:color="auto"/>
              <w:right w:val="single" w:sz="8" w:space="0" w:color="auto"/>
            </w:tcBorders>
            <w:shd w:val="clear" w:color="auto" w:fill="auto"/>
            <w:vAlign w:val="center"/>
            <w:hideMark/>
          </w:tcPr>
          <w:p w14:paraId="7D0DB25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117F35A2"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la población de 18 años y más satisfecho con la pureza y claridad del servicio de agua potable </w:t>
            </w:r>
          </w:p>
        </w:tc>
        <w:tc>
          <w:tcPr>
            <w:tcW w:w="1134" w:type="dxa"/>
            <w:tcBorders>
              <w:top w:val="nil"/>
              <w:left w:val="nil"/>
              <w:bottom w:val="single" w:sz="8" w:space="0" w:color="auto"/>
              <w:right w:val="single" w:sz="8" w:space="0" w:color="auto"/>
            </w:tcBorders>
            <w:shd w:val="clear" w:color="auto" w:fill="auto"/>
            <w:vAlign w:val="center"/>
            <w:hideMark/>
          </w:tcPr>
          <w:p w14:paraId="583937B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76.5 (2023)</w:t>
            </w:r>
          </w:p>
        </w:tc>
        <w:tc>
          <w:tcPr>
            <w:tcW w:w="992" w:type="dxa"/>
            <w:tcBorders>
              <w:top w:val="nil"/>
              <w:left w:val="nil"/>
              <w:bottom w:val="single" w:sz="8" w:space="0" w:color="auto"/>
              <w:right w:val="single" w:sz="8" w:space="0" w:color="auto"/>
            </w:tcBorders>
            <w:shd w:val="clear" w:color="auto" w:fill="auto"/>
            <w:vAlign w:val="center"/>
            <w:hideMark/>
          </w:tcPr>
          <w:p w14:paraId="261BDD6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78.5</w:t>
            </w:r>
          </w:p>
        </w:tc>
        <w:tc>
          <w:tcPr>
            <w:tcW w:w="1417" w:type="dxa"/>
            <w:tcBorders>
              <w:top w:val="nil"/>
              <w:left w:val="nil"/>
              <w:bottom w:val="single" w:sz="8" w:space="0" w:color="auto"/>
              <w:right w:val="single" w:sz="8" w:space="0" w:color="auto"/>
            </w:tcBorders>
            <w:shd w:val="clear" w:color="auto" w:fill="auto"/>
            <w:vAlign w:val="center"/>
            <w:hideMark/>
          </w:tcPr>
          <w:p w14:paraId="16094B1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7D91FA8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392A6CDC"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860EBE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lastRenderedPageBreak/>
              <w:t>34</w:t>
            </w:r>
          </w:p>
        </w:tc>
        <w:tc>
          <w:tcPr>
            <w:tcW w:w="793" w:type="dxa"/>
            <w:tcBorders>
              <w:top w:val="nil"/>
              <w:left w:val="nil"/>
              <w:bottom w:val="single" w:sz="8" w:space="0" w:color="auto"/>
              <w:right w:val="single" w:sz="8" w:space="0" w:color="auto"/>
            </w:tcBorders>
            <w:shd w:val="clear" w:color="auto" w:fill="auto"/>
            <w:vAlign w:val="center"/>
            <w:hideMark/>
          </w:tcPr>
          <w:p w14:paraId="3946F4E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722D2E3B"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la población de 18 años y más satisfecho con el servicio de parques y jardines públicos </w:t>
            </w:r>
          </w:p>
        </w:tc>
        <w:tc>
          <w:tcPr>
            <w:tcW w:w="1134" w:type="dxa"/>
            <w:tcBorders>
              <w:top w:val="nil"/>
              <w:left w:val="nil"/>
              <w:bottom w:val="single" w:sz="8" w:space="0" w:color="auto"/>
              <w:right w:val="single" w:sz="8" w:space="0" w:color="auto"/>
            </w:tcBorders>
            <w:shd w:val="clear" w:color="auto" w:fill="auto"/>
            <w:vAlign w:val="center"/>
            <w:hideMark/>
          </w:tcPr>
          <w:p w14:paraId="4A538D1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54.9 (2023)</w:t>
            </w:r>
          </w:p>
        </w:tc>
        <w:tc>
          <w:tcPr>
            <w:tcW w:w="992" w:type="dxa"/>
            <w:tcBorders>
              <w:top w:val="nil"/>
              <w:left w:val="nil"/>
              <w:bottom w:val="single" w:sz="8" w:space="0" w:color="auto"/>
              <w:right w:val="single" w:sz="8" w:space="0" w:color="auto"/>
            </w:tcBorders>
            <w:shd w:val="clear" w:color="auto" w:fill="auto"/>
            <w:vAlign w:val="center"/>
            <w:hideMark/>
          </w:tcPr>
          <w:p w14:paraId="025958C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56.9</w:t>
            </w:r>
          </w:p>
        </w:tc>
        <w:tc>
          <w:tcPr>
            <w:tcW w:w="1417" w:type="dxa"/>
            <w:tcBorders>
              <w:top w:val="nil"/>
              <w:left w:val="nil"/>
              <w:bottom w:val="single" w:sz="8" w:space="0" w:color="auto"/>
              <w:right w:val="single" w:sz="8" w:space="0" w:color="auto"/>
            </w:tcBorders>
            <w:shd w:val="clear" w:color="auto" w:fill="auto"/>
            <w:vAlign w:val="center"/>
            <w:hideMark/>
          </w:tcPr>
          <w:p w14:paraId="38B0339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5AB9265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5A54CCF3"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B9F088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35</w:t>
            </w:r>
          </w:p>
        </w:tc>
        <w:tc>
          <w:tcPr>
            <w:tcW w:w="793" w:type="dxa"/>
            <w:tcBorders>
              <w:top w:val="nil"/>
              <w:left w:val="nil"/>
              <w:bottom w:val="single" w:sz="8" w:space="0" w:color="auto"/>
              <w:right w:val="single" w:sz="8" w:space="0" w:color="auto"/>
            </w:tcBorders>
            <w:shd w:val="clear" w:color="auto" w:fill="auto"/>
            <w:vAlign w:val="center"/>
            <w:hideMark/>
          </w:tcPr>
          <w:p w14:paraId="0F168C9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6F1B5DA1"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la población de 18 años y más satisfecho con el servicio oportuno en la recolección de basura</w:t>
            </w:r>
          </w:p>
        </w:tc>
        <w:tc>
          <w:tcPr>
            <w:tcW w:w="1134" w:type="dxa"/>
            <w:tcBorders>
              <w:top w:val="nil"/>
              <w:left w:val="nil"/>
              <w:bottom w:val="single" w:sz="8" w:space="0" w:color="auto"/>
              <w:right w:val="single" w:sz="8" w:space="0" w:color="auto"/>
            </w:tcBorders>
            <w:shd w:val="clear" w:color="auto" w:fill="auto"/>
            <w:vAlign w:val="center"/>
            <w:hideMark/>
          </w:tcPr>
          <w:p w14:paraId="07E3EA3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95.6 (2023)</w:t>
            </w:r>
          </w:p>
        </w:tc>
        <w:tc>
          <w:tcPr>
            <w:tcW w:w="992" w:type="dxa"/>
            <w:tcBorders>
              <w:top w:val="nil"/>
              <w:left w:val="nil"/>
              <w:bottom w:val="single" w:sz="8" w:space="0" w:color="auto"/>
              <w:right w:val="single" w:sz="8" w:space="0" w:color="auto"/>
            </w:tcBorders>
            <w:shd w:val="clear" w:color="auto" w:fill="auto"/>
            <w:vAlign w:val="center"/>
            <w:hideMark/>
          </w:tcPr>
          <w:p w14:paraId="4D9D1C3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96</w:t>
            </w:r>
          </w:p>
        </w:tc>
        <w:tc>
          <w:tcPr>
            <w:tcW w:w="1417" w:type="dxa"/>
            <w:tcBorders>
              <w:top w:val="nil"/>
              <w:left w:val="nil"/>
              <w:bottom w:val="single" w:sz="8" w:space="0" w:color="auto"/>
              <w:right w:val="single" w:sz="8" w:space="0" w:color="auto"/>
            </w:tcBorders>
            <w:shd w:val="clear" w:color="auto" w:fill="auto"/>
            <w:vAlign w:val="center"/>
            <w:hideMark/>
          </w:tcPr>
          <w:p w14:paraId="1F505AD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68B9194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670C4952"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247716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36</w:t>
            </w:r>
          </w:p>
        </w:tc>
        <w:tc>
          <w:tcPr>
            <w:tcW w:w="793" w:type="dxa"/>
            <w:tcBorders>
              <w:top w:val="nil"/>
              <w:left w:val="nil"/>
              <w:bottom w:val="single" w:sz="8" w:space="0" w:color="auto"/>
              <w:right w:val="single" w:sz="8" w:space="0" w:color="auto"/>
            </w:tcBorders>
            <w:shd w:val="clear" w:color="auto" w:fill="auto"/>
            <w:vAlign w:val="center"/>
            <w:hideMark/>
          </w:tcPr>
          <w:p w14:paraId="09D732B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1FC0B72D"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la población de 18 años y más satisfecho con el servicio en general de la recolección de basura</w:t>
            </w:r>
          </w:p>
        </w:tc>
        <w:tc>
          <w:tcPr>
            <w:tcW w:w="1134" w:type="dxa"/>
            <w:tcBorders>
              <w:top w:val="nil"/>
              <w:left w:val="nil"/>
              <w:bottom w:val="single" w:sz="8" w:space="0" w:color="auto"/>
              <w:right w:val="single" w:sz="8" w:space="0" w:color="auto"/>
            </w:tcBorders>
            <w:shd w:val="clear" w:color="auto" w:fill="auto"/>
            <w:vAlign w:val="center"/>
            <w:hideMark/>
          </w:tcPr>
          <w:p w14:paraId="3F40020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91.1 (2023)</w:t>
            </w:r>
          </w:p>
        </w:tc>
        <w:tc>
          <w:tcPr>
            <w:tcW w:w="992" w:type="dxa"/>
            <w:tcBorders>
              <w:top w:val="nil"/>
              <w:left w:val="nil"/>
              <w:bottom w:val="single" w:sz="8" w:space="0" w:color="auto"/>
              <w:right w:val="single" w:sz="8" w:space="0" w:color="auto"/>
            </w:tcBorders>
            <w:shd w:val="clear" w:color="auto" w:fill="auto"/>
            <w:vAlign w:val="center"/>
            <w:hideMark/>
          </w:tcPr>
          <w:p w14:paraId="159A4BC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93.3</w:t>
            </w:r>
          </w:p>
        </w:tc>
        <w:tc>
          <w:tcPr>
            <w:tcW w:w="1417" w:type="dxa"/>
            <w:tcBorders>
              <w:top w:val="nil"/>
              <w:left w:val="nil"/>
              <w:bottom w:val="single" w:sz="8" w:space="0" w:color="auto"/>
              <w:right w:val="single" w:sz="8" w:space="0" w:color="auto"/>
            </w:tcBorders>
            <w:shd w:val="clear" w:color="auto" w:fill="auto"/>
            <w:vAlign w:val="center"/>
            <w:hideMark/>
          </w:tcPr>
          <w:p w14:paraId="5B58E34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7C15306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76152F58"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D65C93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37</w:t>
            </w:r>
          </w:p>
        </w:tc>
        <w:tc>
          <w:tcPr>
            <w:tcW w:w="793" w:type="dxa"/>
            <w:tcBorders>
              <w:top w:val="nil"/>
              <w:left w:val="nil"/>
              <w:bottom w:val="single" w:sz="8" w:space="0" w:color="auto"/>
              <w:right w:val="single" w:sz="8" w:space="0" w:color="auto"/>
            </w:tcBorders>
            <w:shd w:val="clear" w:color="auto" w:fill="auto"/>
            <w:vAlign w:val="center"/>
            <w:hideMark/>
          </w:tcPr>
          <w:p w14:paraId="24E561E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0EE9BEBA"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la población de 18 años y más satisfecho con los semáforos funcionales </w:t>
            </w:r>
          </w:p>
        </w:tc>
        <w:tc>
          <w:tcPr>
            <w:tcW w:w="1134" w:type="dxa"/>
            <w:tcBorders>
              <w:top w:val="nil"/>
              <w:left w:val="nil"/>
              <w:bottom w:val="single" w:sz="8" w:space="0" w:color="auto"/>
              <w:right w:val="single" w:sz="8" w:space="0" w:color="auto"/>
            </w:tcBorders>
            <w:shd w:val="clear" w:color="auto" w:fill="auto"/>
            <w:vAlign w:val="center"/>
            <w:hideMark/>
          </w:tcPr>
          <w:p w14:paraId="384696F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84.4 (2023)</w:t>
            </w:r>
          </w:p>
        </w:tc>
        <w:tc>
          <w:tcPr>
            <w:tcW w:w="992" w:type="dxa"/>
            <w:tcBorders>
              <w:top w:val="nil"/>
              <w:left w:val="nil"/>
              <w:bottom w:val="single" w:sz="8" w:space="0" w:color="auto"/>
              <w:right w:val="single" w:sz="8" w:space="0" w:color="auto"/>
            </w:tcBorders>
            <w:shd w:val="clear" w:color="auto" w:fill="auto"/>
            <w:vAlign w:val="center"/>
            <w:hideMark/>
          </w:tcPr>
          <w:p w14:paraId="0719B6A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86.4</w:t>
            </w:r>
          </w:p>
        </w:tc>
        <w:tc>
          <w:tcPr>
            <w:tcW w:w="1417" w:type="dxa"/>
            <w:tcBorders>
              <w:top w:val="nil"/>
              <w:left w:val="nil"/>
              <w:bottom w:val="single" w:sz="8" w:space="0" w:color="auto"/>
              <w:right w:val="single" w:sz="8" w:space="0" w:color="auto"/>
            </w:tcBorders>
            <w:shd w:val="clear" w:color="auto" w:fill="auto"/>
            <w:vAlign w:val="center"/>
            <w:hideMark/>
          </w:tcPr>
          <w:p w14:paraId="0080FE5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6FAAD32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27891605"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5C6420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38</w:t>
            </w:r>
          </w:p>
        </w:tc>
        <w:tc>
          <w:tcPr>
            <w:tcW w:w="793" w:type="dxa"/>
            <w:tcBorders>
              <w:top w:val="nil"/>
              <w:left w:val="nil"/>
              <w:bottom w:val="single" w:sz="8" w:space="0" w:color="auto"/>
              <w:right w:val="single" w:sz="8" w:space="0" w:color="auto"/>
            </w:tcBorders>
            <w:shd w:val="clear" w:color="auto" w:fill="auto"/>
            <w:vAlign w:val="center"/>
            <w:hideMark/>
          </w:tcPr>
          <w:p w14:paraId="41E0A29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61CA920F"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la población de 18 años y más satisfecho con los señalamientos claros en las calles y avenidas</w:t>
            </w:r>
          </w:p>
        </w:tc>
        <w:tc>
          <w:tcPr>
            <w:tcW w:w="1134" w:type="dxa"/>
            <w:tcBorders>
              <w:top w:val="nil"/>
              <w:left w:val="nil"/>
              <w:bottom w:val="single" w:sz="8" w:space="0" w:color="auto"/>
              <w:right w:val="single" w:sz="8" w:space="0" w:color="auto"/>
            </w:tcBorders>
            <w:shd w:val="clear" w:color="auto" w:fill="auto"/>
            <w:vAlign w:val="center"/>
            <w:hideMark/>
          </w:tcPr>
          <w:p w14:paraId="3352386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70.2 (2023)</w:t>
            </w:r>
          </w:p>
        </w:tc>
        <w:tc>
          <w:tcPr>
            <w:tcW w:w="992" w:type="dxa"/>
            <w:tcBorders>
              <w:top w:val="nil"/>
              <w:left w:val="nil"/>
              <w:bottom w:val="single" w:sz="8" w:space="0" w:color="auto"/>
              <w:right w:val="single" w:sz="8" w:space="0" w:color="auto"/>
            </w:tcBorders>
            <w:shd w:val="clear" w:color="auto" w:fill="auto"/>
            <w:vAlign w:val="center"/>
            <w:hideMark/>
          </w:tcPr>
          <w:p w14:paraId="744B3B1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72.2</w:t>
            </w:r>
          </w:p>
        </w:tc>
        <w:tc>
          <w:tcPr>
            <w:tcW w:w="1417" w:type="dxa"/>
            <w:tcBorders>
              <w:top w:val="nil"/>
              <w:left w:val="nil"/>
              <w:bottom w:val="single" w:sz="8" w:space="0" w:color="auto"/>
              <w:right w:val="single" w:sz="8" w:space="0" w:color="auto"/>
            </w:tcBorders>
            <w:shd w:val="clear" w:color="auto" w:fill="auto"/>
            <w:vAlign w:val="center"/>
            <w:hideMark/>
          </w:tcPr>
          <w:p w14:paraId="0526892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3268154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04C0D700"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11E963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39</w:t>
            </w:r>
          </w:p>
        </w:tc>
        <w:tc>
          <w:tcPr>
            <w:tcW w:w="793" w:type="dxa"/>
            <w:tcBorders>
              <w:top w:val="nil"/>
              <w:left w:val="nil"/>
              <w:bottom w:val="single" w:sz="8" w:space="0" w:color="auto"/>
              <w:right w:val="single" w:sz="8" w:space="0" w:color="auto"/>
            </w:tcBorders>
            <w:shd w:val="clear" w:color="auto" w:fill="auto"/>
            <w:vAlign w:val="center"/>
            <w:hideMark/>
          </w:tcPr>
          <w:p w14:paraId="1D763C2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5BEECBDB"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de 18 años y más que visualiza una problemática en baches en calles y avenidas</w:t>
            </w:r>
          </w:p>
        </w:tc>
        <w:tc>
          <w:tcPr>
            <w:tcW w:w="1134" w:type="dxa"/>
            <w:tcBorders>
              <w:top w:val="nil"/>
              <w:left w:val="nil"/>
              <w:bottom w:val="single" w:sz="8" w:space="0" w:color="auto"/>
              <w:right w:val="single" w:sz="8" w:space="0" w:color="auto"/>
            </w:tcBorders>
            <w:shd w:val="clear" w:color="auto" w:fill="auto"/>
            <w:vAlign w:val="center"/>
            <w:hideMark/>
          </w:tcPr>
          <w:p w14:paraId="730F7E07" w14:textId="4596F8C4"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96.7 (III 2024)</w:t>
            </w:r>
          </w:p>
        </w:tc>
        <w:tc>
          <w:tcPr>
            <w:tcW w:w="992" w:type="dxa"/>
            <w:tcBorders>
              <w:top w:val="nil"/>
              <w:left w:val="nil"/>
              <w:bottom w:val="single" w:sz="8" w:space="0" w:color="auto"/>
              <w:right w:val="single" w:sz="8" w:space="0" w:color="auto"/>
            </w:tcBorders>
            <w:shd w:val="clear" w:color="auto" w:fill="auto"/>
            <w:vAlign w:val="center"/>
            <w:hideMark/>
          </w:tcPr>
          <w:p w14:paraId="3462BAD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94.9</w:t>
            </w:r>
          </w:p>
        </w:tc>
        <w:tc>
          <w:tcPr>
            <w:tcW w:w="1417" w:type="dxa"/>
            <w:tcBorders>
              <w:top w:val="nil"/>
              <w:left w:val="nil"/>
              <w:bottom w:val="single" w:sz="8" w:space="0" w:color="auto"/>
              <w:right w:val="single" w:sz="8" w:space="0" w:color="auto"/>
            </w:tcBorders>
            <w:shd w:val="clear" w:color="auto" w:fill="auto"/>
            <w:vAlign w:val="center"/>
            <w:hideMark/>
          </w:tcPr>
          <w:p w14:paraId="4AA6C45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noWrap/>
            <w:vAlign w:val="center"/>
            <w:hideMark/>
          </w:tcPr>
          <w:p w14:paraId="7AC614B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32DE4E0"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504D48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40</w:t>
            </w:r>
          </w:p>
        </w:tc>
        <w:tc>
          <w:tcPr>
            <w:tcW w:w="793" w:type="dxa"/>
            <w:tcBorders>
              <w:top w:val="nil"/>
              <w:left w:val="nil"/>
              <w:bottom w:val="single" w:sz="8" w:space="0" w:color="auto"/>
              <w:right w:val="single" w:sz="8" w:space="0" w:color="auto"/>
            </w:tcBorders>
            <w:shd w:val="clear" w:color="auto" w:fill="auto"/>
            <w:vAlign w:val="center"/>
            <w:hideMark/>
          </w:tcPr>
          <w:p w14:paraId="555AC58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16583DE2"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de 18 años y más, que visualiza una problemática fallas y fugas en el suministro de agua potable</w:t>
            </w:r>
          </w:p>
        </w:tc>
        <w:tc>
          <w:tcPr>
            <w:tcW w:w="1134" w:type="dxa"/>
            <w:tcBorders>
              <w:top w:val="nil"/>
              <w:left w:val="nil"/>
              <w:bottom w:val="single" w:sz="8" w:space="0" w:color="auto"/>
              <w:right w:val="single" w:sz="8" w:space="0" w:color="auto"/>
            </w:tcBorders>
            <w:shd w:val="clear" w:color="auto" w:fill="auto"/>
            <w:vAlign w:val="center"/>
            <w:hideMark/>
          </w:tcPr>
          <w:p w14:paraId="524AD44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86.6 (III 2024)</w:t>
            </w:r>
          </w:p>
        </w:tc>
        <w:tc>
          <w:tcPr>
            <w:tcW w:w="992" w:type="dxa"/>
            <w:tcBorders>
              <w:top w:val="nil"/>
              <w:left w:val="nil"/>
              <w:bottom w:val="single" w:sz="8" w:space="0" w:color="auto"/>
              <w:right w:val="single" w:sz="8" w:space="0" w:color="auto"/>
            </w:tcBorders>
            <w:shd w:val="clear" w:color="auto" w:fill="auto"/>
            <w:vAlign w:val="center"/>
            <w:hideMark/>
          </w:tcPr>
          <w:p w14:paraId="1BBE851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83.3</w:t>
            </w:r>
          </w:p>
        </w:tc>
        <w:tc>
          <w:tcPr>
            <w:tcW w:w="1417" w:type="dxa"/>
            <w:tcBorders>
              <w:top w:val="nil"/>
              <w:left w:val="nil"/>
              <w:bottom w:val="single" w:sz="8" w:space="0" w:color="auto"/>
              <w:right w:val="single" w:sz="8" w:space="0" w:color="auto"/>
            </w:tcBorders>
            <w:shd w:val="clear" w:color="auto" w:fill="auto"/>
            <w:vAlign w:val="center"/>
            <w:hideMark/>
          </w:tcPr>
          <w:p w14:paraId="77042F9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noWrap/>
            <w:vAlign w:val="center"/>
            <w:hideMark/>
          </w:tcPr>
          <w:p w14:paraId="76A1F60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8493FE4"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2B23F7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41</w:t>
            </w:r>
          </w:p>
        </w:tc>
        <w:tc>
          <w:tcPr>
            <w:tcW w:w="793" w:type="dxa"/>
            <w:tcBorders>
              <w:top w:val="nil"/>
              <w:left w:val="nil"/>
              <w:bottom w:val="single" w:sz="8" w:space="0" w:color="auto"/>
              <w:right w:val="single" w:sz="8" w:space="0" w:color="auto"/>
            </w:tcBorders>
            <w:shd w:val="clear" w:color="auto" w:fill="auto"/>
            <w:vAlign w:val="center"/>
            <w:hideMark/>
          </w:tcPr>
          <w:p w14:paraId="2B38924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345007BB"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de 18 años y más, que visualiza una problemática en deficiencias en la red pública de drenaje</w:t>
            </w:r>
          </w:p>
        </w:tc>
        <w:tc>
          <w:tcPr>
            <w:tcW w:w="1134" w:type="dxa"/>
            <w:tcBorders>
              <w:top w:val="nil"/>
              <w:left w:val="nil"/>
              <w:bottom w:val="single" w:sz="8" w:space="0" w:color="auto"/>
              <w:right w:val="single" w:sz="8" w:space="0" w:color="auto"/>
            </w:tcBorders>
            <w:shd w:val="clear" w:color="auto" w:fill="auto"/>
            <w:vAlign w:val="center"/>
            <w:hideMark/>
          </w:tcPr>
          <w:p w14:paraId="7D45604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64.8 (III 2024)</w:t>
            </w:r>
          </w:p>
        </w:tc>
        <w:tc>
          <w:tcPr>
            <w:tcW w:w="992" w:type="dxa"/>
            <w:tcBorders>
              <w:top w:val="nil"/>
              <w:left w:val="nil"/>
              <w:bottom w:val="single" w:sz="8" w:space="0" w:color="auto"/>
              <w:right w:val="single" w:sz="8" w:space="0" w:color="auto"/>
            </w:tcBorders>
            <w:shd w:val="clear" w:color="auto" w:fill="auto"/>
            <w:vAlign w:val="center"/>
            <w:hideMark/>
          </w:tcPr>
          <w:p w14:paraId="698B91B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62.4</w:t>
            </w:r>
          </w:p>
        </w:tc>
        <w:tc>
          <w:tcPr>
            <w:tcW w:w="1417" w:type="dxa"/>
            <w:tcBorders>
              <w:top w:val="nil"/>
              <w:left w:val="nil"/>
              <w:bottom w:val="single" w:sz="8" w:space="0" w:color="auto"/>
              <w:right w:val="single" w:sz="8" w:space="0" w:color="auto"/>
            </w:tcBorders>
            <w:shd w:val="clear" w:color="auto" w:fill="auto"/>
            <w:vAlign w:val="center"/>
            <w:hideMark/>
          </w:tcPr>
          <w:p w14:paraId="2A61A7C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noWrap/>
            <w:vAlign w:val="center"/>
            <w:hideMark/>
          </w:tcPr>
          <w:p w14:paraId="7F6EE4D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739B08B1"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D24CE9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42</w:t>
            </w:r>
          </w:p>
        </w:tc>
        <w:tc>
          <w:tcPr>
            <w:tcW w:w="793" w:type="dxa"/>
            <w:tcBorders>
              <w:top w:val="nil"/>
              <w:left w:val="nil"/>
              <w:bottom w:val="single" w:sz="8" w:space="0" w:color="auto"/>
              <w:right w:val="single" w:sz="8" w:space="0" w:color="auto"/>
            </w:tcBorders>
            <w:shd w:val="clear" w:color="auto" w:fill="auto"/>
            <w:vAlign w:val="center"/>
            <w:hideMark/>
          </w:tcPr>
          <w:p w14:paraId="1815681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08481FC4"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de 18 años y más que visualiza una problemática en alumbrado público insuficiente</w:t>
            </w:r>
          </w:p>
        </w:tc>
        <w:tc>
          <w:tcPr>
            <w:tcW w:w="1134" w:type="dxa"/>
            <w:tcBorders>
              <w:top w:val="nil"/>
              <w:left w:val="nil"/>
              <w:bottom w:val="single" w:sz="8" w:space="0" w:color="auto"/>
              <w:right w:val="single" w:sz="8" w:space="0" w:color="auto"/>
            </w:tcBorders>
            <w:shd w:val="clear" w:color="auto" w:fill="auto"/>
            <w:vAlign w:val="center"/>
            <w:hideMark/>
          </w:tcPr>
          <w:p w14:paraId="51F7660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61.4 (III 2024)</w:t>
            </w:r>
          </w:p>
        </w:tc>
        <w:tc>
          <w:tcPr>
            <w:tcW w:w="992" w:type="dxa"/>
            <w:tcBorders>
              <w:top w:val="nil"/>
              <w:left w:val="nil"/>
              <w:bottom w:val="single" w:sz="8" w:space="0" w:color="auto"/>
              <w:right w:val="single" w:sz="8" w:space="0" w:color="auto"/>
            </w:tcBorders>
            <w:shd w:val="clear" w:color="auto" w:fill="auto"/>
            <w:vAlign w:val="center"/>
            <w:hideMark/>
          </w:tcPr>
          <w:p w14:paraId="1B1169B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59.4</w:t>
            </w:r>
          </w:p>
        </w:tc>
        <w:tc>
          <w:tcPr>
            <w:tcW w:w="1417" w:type="dxa"/>
            <w:tcBorders>
              <w:top w:val="nil"/>
              <w:left w:val="nil"/>
              <w:bottom w:val="single" w:sz="8" w:space="0" w:color="auto"/>
              <w:right w:val="single" w:sz="8" w:space="0" w:color="auto"/>
            </w:tcBorders>
            <w:shd w:val="clear" w:color="auto" w:fill="auto"/>
            <w:vAlign w:val="center"/>
            <w:hideMark/>
          </w:tcPr>
          <w:p w14:paraId="061074A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noWrap/>
            <w:vAlign w:val="center"/>
            <w:hideMark/>
          </w:tcPr>
          <w:p w14:paraId="4058243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7FCFCA44"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DA967E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43</w:t>
            </w:r>
          </w:p>
        </w:tc>
        <w:tc>
          <w:tcPr>
            <w:tcW w:w="793" w:type="dxa"/>
            <w:tcBorders>
              <w:top w:val="nil"/>
              <w:left w:val="nil"/>
              <w:bottom w:val="single" w:sz="8" w:space="0" w:color="auto"/>
              <w:right w:val="single" w:sz="8" w:space="0" w:color="auto"/>
            </w:tcBorders>
            <w:shd w:val="clear" w:color="auto" w:fill="auto"/>
            <w:vAlign w:val="center"/>
            <w:hideMark/>
          </w:tcPr>
          <w:p w14:paraId="070427F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457F06A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de 18 años y más que visualiza una problemática en parques y jardines descuidados</w:t>
            </w:r>
          </w:p>
        </w:tc>
        <w:tc>
          <w:tcPr>
            <w:tcW w:w="1134" w:type="dxa"/>
            <w:tcBorders>
              <w:top w:val="nil"/>
              <w:left w:val="nil"/>
              <w:bottom w:val="single" w:sz="8" w:space="0" w:color="auto"/>
              <w:right w:val="single" w:sz="8" w:space="0" w:color="auto"/>
            </w:tcBorders>
            <w:shd w:val="clear" w:color="auto" w:fill="auto"/>
            <w:vAlign w:val="center"/>
            <w:hideMark/>
          </w:tcPr>
          <w:p w14:paraId="352F042B" w14:textId="2D7C7B40"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54.0 (III 2024)</w:t>
            </w:r>
          </w:p>
        </w:tc>
        <w:tc>
          <w:tcPr>
            <w:tcW w:w="992" w:type="dxa"/>
            <w:tcBorders>
              <w:top w:val="nil"/>
              <w:left w:val="nil"/>
              <w:bottom w:val="single" w:sz="8" w:space="0" w:color="auto"/>
              <w:right w:val="single" w:sz="8" w:space="0" w:color="auto"/>
            </w:tcBorders>
            <w:shd w:val="clear" w:color="auto" w:fill="auto"/>
            <w:vAlign w:val="center"/>
            <w:hideMark/>
          </w:tcPr>
          <w:p w14:paraId="67BFB4BE" w14:textId="6ACB7C70"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52.0</w:t>
            </w:r>
          </w:p>
        </w:tc>
        <w:tc>
          <w:tcPr>
            <w:tcW w:w="1417" w:type="dxa"/>
            <w:tcBorders>
              <w:top w:val="nil"/>
              <w:left w:val="nil"/>
              <w:bottom w:val="single" w:sz="8" w:space="0" w:color="auto"/>
              <w:right w:val="single" w:sz="8" w:space="0" w:color="auto"/>
            </w:tcBorders>
            <w:shd w:val="clear" w:color="auto" w:fill="auto"/>
            <w:vAlign w:val="center"/>
            <w:hideMark/>
          </w:tcPr>
          <w:p w14:paraId="4085D60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noWrap/>
            <w:vAlign w:val="center"/>
            <w:hideMark/>
          </w:tcPr>
          <w:p w14:paraId="6970D82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BF2A6AB"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18F7DA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44</w:t>
            </w:r>
          </w:p>
        </w:tc>
        <w:tc>
          <w:tcPr>
            <w:tcW w:w="793" w:type="dxa"/>
            <w:tcBorders>
              <w:top w:val="nil"/>
              <w:left w:val="nil"/>
              <w:bottom w:val="single" w:sz="8" w:space="0" w:color="auto"/>
              <w:right w:val="single" w:sz="8" w:space="0" w:color="auto"/>
            </w:tcBorders>
            <w:shd w:val="clear" w:color="auto" w:fill="auto"/>
            <w:vAlign w:val="center"/>
            <w:hideMark/>
          </w:tcPr>
          <w:p w14:paraId="58D344C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3C0193F4"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de 18 años y más que visualiza una problemática en coladeras tapadas por acumulación de desechos</w:t>
            </w:r>
          </w:p>
        </w:tc>
        <w:tc>
          <w:tcPr>
            <w:tcW w:w="1134" w:type="dxa"/>
            <w:tcBorders>
              <w:top w:val="nil"/>
              <w:left w:val="nil"/>
              <w:bottom w:val="single" w:sz="8" w:space="0" w:color="auto"/>
              <w:right w:val="single" w:sz="8" w:space="0" w:color="auto"/>
            </w:tcBorders>
            <w:shd w:val="clear" w:color="auto" w:fill="auto"/>
            <w:vAlign w:val="center"/>
            <w:hideMark/>
          </w:tcPr>
          <w:p w14:paraId="2395CA70" w14:textId="3965240E"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62.6 (II 2024)</w:t>
            </w:r>
          </w:p>
        </w:tc>
        <w:tc>
          <w:tcPr>
            <w:tcW w:w="992" w:type="dxa"/>
            <w:tcBorders>
              <w:top w:val="nil"/>
              <w:left w:val="nil"/>
              <w:bottom w:val="single" w:sz="8" w:space="0" w:color="auto"/>
              <w:right w:val="single" w:sz="8" w:space="0" w:color="auto"/>
            </w:tcBorders>
            <w:shd w:val="clear" w:color="auto" w:fill="auto"/>
            <w:vAlign w:val="center"/>
            <w:hideMark/>
          </w:tcPr>
          <w:p w14:paraId="4483F983" w14:textId="68FD8D44"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60.6</w:t>
            </w:r>
          </w:p>
        </w:tc>
        <w:tc>
          <w:tcPr>
            <w:tcW w:w="1417" w:type="dxa"/>
            <w:tcBorders>
              <w:top w:val="nil"/>
              <w:left w:val="nil"/>
              <w:bottom w:val="single" w:sz="8" w:space="0" w:color="auto"/>
              <w:right w:val="single" w:sz="8" w:space="0" w:color="auto"/>
            </w:tcBorders>
            <w:shd w:val="clear" w:color="auto" w:fill="auto"/>
            <w:vAlign w:val="center"/>
            <w:hideMark/>
          </w:tcPr>
          <w:p w14:paraId="1607F3B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noWrap/>
            <w:vAlign w:val="center"/>
            <w:hideMark/>
          </w:tcPr>
          <w:p w14:paraId="4A1DF7F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3109D88C"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6F0DEB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lastRenderedPageBreak/>
              <w:t>45</w:t>
            </w:r>
          </w:p>
        </w:tc>
        <w:tc>
          <w:tcPr>
            <w:tcW w:w="793" w:type="dxa"/>
            <w:tcBorders>
              <w:top w:val="nil"/>
              <w:left w:val="nil"/>
              <w:bottom w:val="single" w:sz="8" w:space="0" w:color="auto"/>
              <w:right w:val="single" w:sz="8" w:space="0" w:color="auto"/>
            </w:tcBorders>
            <w:shd w:val="clear" w:color="auto" w:fill="auto"/>
            <w:vAlign w:val="center"/>
            <w:hideMark/>
          </w:tcPr>
          <w:p w14:paraId="619DD2B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7EA9E9C8"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de 18 años y más que visualiza una problemática en ineficiencia en el servicio de limpia y recolección de basura</w:t>
            </w:r>
          </w:p>
        </w:tc>
        <w:tc>
          <w:tcPr>
            <w:tcW w:w="1134" w:type="dxa"/>
            <w:tcBorders>
              <w:top w:val="nil"/>
              <w:left w:val="nil"/>
              <w:bottom w:val="single" w:sz="8" w:space="0" w:color="auto"/>
              <w:right w:val="single" w:sz="8" w:space="0" w:color="auto"/>
            </w:tcBorders>
            <w:shd w:val="clear" w:color="auto" w:fill="auto"/>
            <w:vAlign w:val="center"/>
            <w:hideMark/>
          </w:tcPr>
          <w:p w14:paraId="577A910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32.0 (III 2024)</w:t>
            </w:r>
          </w:p>
        </w:tc>
        <w:tc>
          <w:tcPr>
            <w:tcW w:w="992" w:type="dxa"/>
            <w:tcBorders>
              <w:top w:val="nil"/>
              <w:left w:val="nil"/>
              <w:bottom w:val="single" w:sz="8" w:space="0" w:color="auto"/>
              <w:right w:val="single" w:sz="8" w:space="0" w:color="auto"/>
            </w:tcBorders>
            <w:shd w:val="clear" w:color="auto" w:fill="auto"/>
            <w:vAlign w:val="center"/>
            <w:hideMark/>
          </w:tcPr>
          <w:p w14:paraId="141B48B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28</w:t>
            </w:r>
          </w:p>
        </w:tc>
        <w:tc>
          <w:tcPr>
            <w:tcW w:w="1417" w:type="dxa"/>
            <w:tcBorders>
              <w:top w:val="nil"/>
              <w:left w:val="nil"/>
              <w:bottom w:val="single" w:sz="8" w:space="0" w:color="auto"/>
              <w:right w:val="single" w:sz="8" w:space="0" w:color="auto"/>
            </w:tcBorders>
            <w:shd w:val="clear" w:color="auto" w:fill="auto"/>
            <w:vAlign w:val="center"/>
            <w:hideMark/>
          </w:tcPr>
          <w:p w14:paraId="75C12F4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noWrap/>
            <w:vAlign w:val="center"/>
            <w:hideMark/>
          </w:tcPr>
          <w:p w14:paraId="0F409E3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4D13115"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1C5423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46</w:t>
            </w:r>
          </w:p>
        </w:tc>
        <w:tc>
          <w:tcPr>
            <w:tcW w:w="793" w:type="dxa"/>
            <w:tcBorders>
              <w:top w:val="nil"/>
              <w:left w:val="nil"/>
              <w:bottom w:val="single" w:sz="8" w:space="0" w:color="auto"/>
              <w:right w:val="single" w:sz="8" w:space="0" w:color="auto"/>
            </w:tcBorders>
            <w:shd w:val="clear" w:color="auto" w:fill="auto"/>
            <w:vAlign w:val="center"/>
            <w:hideMark/>
          </w:tcPr>
          <w:p w14:paraId="6789D2C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2D6903BA"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Prestación de servicios del Organismo Operador de Agua de Hermosillo</w:t>
            </w:r>
          </w:p>
        </w:tc>
        <w:tc>
          <w:tcPr>
            <w:tcW w:w="1134" w:type="dxa"/>
            <w:tcBorders>
              <w:top w:val="nil"/>
              <w:left w:val="nil"/>
              <w:bottom w:val="single" w:sz="8" w:space="0" w:color="auto"/>
              <w:right w:val="single" w:sz="8" w:space="0" w:color="auto"/>
            </w:tcBorders>
            <w:shd w:val="clear" w:color="auto" w:fill="auto"/>
            <w:vAlign w:val="center"/>
            <w:hideMark/>
          </w:tcPr>
          <w:p w14:paraId="30C0B6B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95.52 (2023)</w:t>
            </w:r>
          </w:p>
        </w:tc>
        <w:tc>
          <w:tcPr>
            <w:tcW w:w="992" w:type="dxa"/>
            <w:tcBorders>
              <w:top w:val="nil"/>
              <w:left w:val="nil"/>
              <w:bottom w:val="single" w:sz="8" w:space="0" w:color="auto"/>
              <w:right w:val="single" w:sz="8" w:space="0" w:color="auto"/>
            </w:tcBorders>
            <w:shd w:val="clear" w:color="auto" w:fill="auto"/>
            <w:vAlign w:val="center"/>
            <w:hideMark/>
          </w:tcPr>
          <w:p w14:paraId="6C2E2A2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98%</w:t>
            </w:r>
          </w:p>
        </w:tc>
        <w:tc>
          <w:tcPr>
            <w:tcW w:w="1417" w:type="dxa"/>
            <w:tcBorders>
              <w:top w:val="nil"/>
              <w:left w:val="nil"/>
              <w:bottom w:val="single" w:sz="8" w:space="0" w:color="auto"/>
              <w:right w:val="single" w:sz="8" w:space="0" w:color="auto"/>
            </w:tcBorders>
            <w:shd w:val="clear" w:color="auto" w:fill="auto"/>
            <w:vAlign w:val="center"/>
            <w:hideMark/>
          </w:tcPr>
          <w:p w14:paraId="4214D3D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Agua de Hermosillo.</w:t>
            </w:r>
          </w:p>
        </w:tc>
        <w:tc>
          <w:tcPr>
            <w:tcW w:w="890" w:type="dxa"/>
            <w:tcBorders>
              <w:top w:val="nil"/>
              <w:left w:val="nil"/>
              <w:bottom w:val="single" w:sz="8" w:space="0" w:color="auto"/>
              <w:right w:val="single" w:sz="8" w:space="0" w:color="auto"/>
            </w:tcBorders>
            <w:shd w:val="clear" w:color="auto" w:fill="auto"/>
            <w:vAlign w:val="center"/>
            <w:hideMark/>
          </w:tcPr>
          <w:p w14:paraId="340EE04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229C2CA"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854DDE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47</w:t>
            </w:r>
          </w:p>
        </w:tc>
        <w:tc>
          <w:tcPr>
            <w:tcW w:w="793" w:type="dxa"/>
            <w:tcBorders>
              <w:top w:val="nil"/>
              <w:left w:val="nil"/>
              <w:bottom w:val="single" w:sz="8" w:space="0" w:color="auto"/>
              <w:right w:val="single" w:sz="8" w:space="0" w:color="auto"/>
            </w:tcBorders>
            <w:shd w:val="clear" w:color="auto" w:fill="auto"/>
            <w:vAlign w:val="center"/>
            <w:hideMark/>
          </w:tcPr>
          <w:p w14:paraId="5AD2AB2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5EFC0F9E"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cumplimiento en acciones de movilidad y seguridad vial </w:t>
            </w:r>
          </w:p>
        </w:tc>
        <w:tc>
          <w:tcPr>
            <w:tcW w:w="1134" w:type="dxa"/>
            <w:tcBorders>
              <w:top w:val="nil"/>
              <w:left w:val="nil"/>
              <w:bottom w:val="single" w:sz="8" w:space="0" w:color="auto"/>
              <w:right w:val="single" w:sz="8" w:space="0" w:color="auto"/>
            </w:tcBorders>
            <w:shd w:val="clear" w:color="auto" w:fill="auto"/>
            <w:vAlign w:val="center"/>
            <w:hideMark/>
          </w:tcPr>
          <w:p w14:paraId="06EFF93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81% (2023)</w:t>
            </w:r>
          </w:p>
        </w:tc>
        <w:tc>
          <w:tcPr>
            <w:tcW w:w="992" w:type="dxa"/>
            <w:tcBorders>
              <w:top w:val="nil"/>
              <w:left w:val="nil"/>
              <w:bottom w:val="single" w:sz="8" w:space="0" w:color="auto"/>
              <w:right w:val="single" w:sz="8" w:space="0" w:color="auto"/>
            </w:tcBorders>
            <w:shd w:val="clear" w:color="auto" w:fill="auto"/>
            <w:vAlign w:val="center"/>
            <w:hideMark/>
          </w:tcPr>
          <w:p w14:paraId="3F3789A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75%</w:t>
            </w:r>
          </w:p>
        </w:tc>
        <w:tc>
          <w:tcPr>
            <w:tcW w:w="1417" w:type="dxa"/>
            <w:tcBorders>
              <w:top w:val="nil"/>
              <w:left w:val="nil"/>
              <w:bottom w:val="single" w:sz="8" w:space="0" w:color="auto"/>
              <w:right w:val="single" w:sz="8" w:space="0" w:color="auto"/>
            </w:tcBorders>
            <w:shd w:val="clear" w:color="auto" w:fill="auto"/>
            <w:vAlign w:val="center"/>
            <w:hideMark/>
          </w:tcPr>
          <w:p w14:paraId="50A8454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IMPLAN</w:t>
            </w:r>
          </w:p>
        </w:tc>
        <w:tc>
          <w:tcPr>
            <w:tcW w:w="890" w:type="dxa"/>
            <w:tcBorders>
              <w:top w:val="nil"/>
              <w:left w:val="nil"/>
              <w:bottom w:val="single" w:sz="8" w:space="0" w:color="auto"/>
              <w:right w:val="single" w:sz="8" w:space="0" w:color="auto"/>
            </w:tcBorders>
            <w:shd w:val="clear" w:color="auto" w:fill="auto"/>
            <w:vAlign w:val="center"/>
            <w:hideMark/>
          </w:tcPr>
          <w:p w14:paraId="627763F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B006D08"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722860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48</w:t>
            </w:r>
          </w:p>
        </w:tc>
        <w:tc>
          <w:tcPr>
            <w:tcW w:w="793" w:type="dxa"/>
            <w:tcBorders>
              <w:top w:val="nil"/>
              <w:left w:val="nil"/>
              <w:bottom w:val="single" w:sz="8" w:space="0" w:color="auto"/>
              <w:right w:val="single" w:sz="8" w:space="0" w:color="auto"/>
            </w:tcBorders>
            <w:shd w:val="clear" w:color="auto" w:fill="auto"/>
            <w:vAlign w:val="center"/>
            <w:hideMark/>
          </w:tcPr>
          <w:p w14:paraId="427D127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533B0B9E"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la elaboración o actualización de Programas y Proyectos Urbanos Elaborados</w:t>
            </w:r>
          </w:p>
        </w:tc>
        <w:tc>
          <w:tcPr>
            <w:tcW w:w="1134" w:type="dxa"/>
            <w:tcBorders>
              <w:top w:val="nil"/>
              <w:left w:val="nil"/>
              <w:bottom w:val="single" w:sz="8" w:space="0" w:color="auto"/>
              <w:right w:val="single" w:sz="8" w:space="0" w:color="auto"/>
            </w:tcBorders>
            <w:shd w:val="clear" w:color="auto" w:fill="auto"/>
            <w:vAlign w:val="center"/>
            <w:hideMark/>
          </w:tcPr>
          <w:p w14:paraId="1B398DC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 (2023)</w:t>
            </w:r>
          </w:p>
        </w:tc>
        <w:tc>
          <w:tcPr>
            <w:tcW w:w="992" w:type="dxa"/>
            <w:tcBorders>
              <w:top w:val="nil"/>
              <w:left w:val="nil"/>
              <w:bottom w:val="single" w:sz="8" w:space="0" w:color="auto"/>
              <w:right w:val="single" w:sz="8" w:space="0" w:color="auto"/>
            </w:tcBorders>
            <w:shd w:val="clear" w:color="auto" w:fill="auto"/>
            <w:vAlign w:val="center"/>
            <w:hideMark/>
          </w:tcPr>
          <w:p w14:paraId="0A01F6C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1417" w:type="dxa"/>
            <w:tcBorders>
              <w:top w:val="nil"/>
              <w:left w:val="nil"/>
              <w:bottom w:val="single" w:sz="8" w:space="0" w:color="auto"/>
              <w:right w:val="single" w:sz="8" w:space="0" w:color="auto"/>
            </w:tcBorders>
            <w:shd w:val="clear" w:color="auto" w:fill="auto"/>
            <w:vAlign w:val="center"/>
            <w:hideMark/>
          </w:tcPr>
          <w:p w14:paraId="0864C2B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IMPLAN</w:t>
            </w:r>
          </w:p>
        </w:tc>
        <w:tc>
          <w:tcPr>
            <w:tcW w:w="890" w:type="dxa"/>
            <w:tcBorders>
              <w:top w:val="nil"/>
              <w:left w:val="nil"/>
              <w:bottom w:val="single" w:sz="8" w:space="0" w:color="auto"/>
              <w:right w:val="single" w:sz="8" w:space="0" w:color="auto"/>
            </w:tcBorders>
            <w:shd w:val="clear" w:color="auto" w:fill="auto"/>
            <w:vAlign w:val="center"/>
            <w:hideMark/>
          </w:tcPr>
          <w:p w14:paraId="1C8F274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9A84749"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A6383C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49</w:t>
            </w:r>
          </w:p>
        </w:tc>
        <w:tc>
          <w:tcPr>
            <w:tcW w:w="793" w:type="dxa"/>
            <w:tcBorders>
              <w:top w:val="nil"/>
              <w:left w:val="nil"/>
              <w:bottom w:val="single" w:sz="8" w:space="0" w:color="auto"/>
              <w:right w:val="single" w:sz="8" w:space="0" w:color="auto"/>
            </w:tcBorders>
            <w:shd w:val="clear" w:color="auto" w:fill="auto"/>
            <w:vAlign w:val="center"/>
            <w:hideMark/>
          </w:tcPr>
          <w:p w14:paraId="56C43CA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41575272"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dictámenes emitidos conforme al Programa Municipal de Desarrollo Urbano</w:t>
            </w:r>
          </w:p>
        </w:tc>
        <w:tc>
          <w:tcPr>
            <w:tcW w:w="1134" w:type="dxa"/>
            <w:tcBorders>
              <w:top w:val="nil"/>
              <w:left w:val="nil"/>
              <w:bottom w:val="single" w:sz="8" w:space="0" w:color="auto"/>
              <w:right w:val="single" w:sz="8" w:space="0" w:color="auto"/>
            </w:tcBorders>
            <w:shd w:val="clear" w:color="auto" w:fill="auto"/>
            <w:vAlign w:val="center"/>
            <w:hideMark/>
          </w:tcPr>
          <w:p w14:paraId="4E02A45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5667C85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1417" w:type="dxa"/>
            <w:tcBorders>
              <w:top w:val="nil"/>
              <w:left w:val="nil"/>
              <w:bottom w:val="single" w:sz="8" w:space="0" w:color="auto"/>
              <w:right w:val="single" w:sz="8" w:space="0" w:color="auto"/>
            </w:tcBorders>
            <w:shd w:val="clear" w:color="auto" w:fill="auto"/>
            <w:vAlign w:val="center"/>
            <w:hideMark/>
          </w:tcPr>
          <w:p w14:paraId="667E966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Ordenamiento y Desarrollo Urbano</w:t>
            </w:r>
          </w:p>
        </w:tc>
        <w:tc>
          <w:tcPr>
            <w:tcW w:w="890" w:type="dxa"/>
            <w:tcBorders>
              <w:top w:val="nil"/>
              <w:left w:val="nil"/>
              <w:bottom w:val="single" w:sz="8" w:space="0" w:color="auto"/>
              <w:right w:val="single" w:sz="8" w:space="0" w:color="auto"/>
            </w:tcBorders>
            <w:shd w:val="clear" w:color="auto" w:fill="auto"/>
            <w:vAlign w:val="center"/>
            <w:hideMark/>
          </w:tcPr>
          <w:p w14:paraId="215D394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D675AD8"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7C3847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50</w:t>
            </w:r>
          </w:p>
        </w:tc>
        <w:tc>
          <w:tcPr>
            <w:tcW w:w="793" w:type="dxa"/>
            <w:tcBorders>
              <w:top w:val="nil"/>
              <w:left w:val="nil"/>
              <w:bottom w:val="single" w:sz="8" w:space="0" w:color="auto"/>
              <w:right w:val="single" w:sz="8" w:space="0" w:color="auto"/>
            </w:tcBorders>
            <w:shd w:val="clear" w:color="auto" w:fill="auto"/>
            <w:vAlign w:val="center"/>
            <w:hideMark/>
          </w:tcPr>
          <w:p w14:paraId="52BEF93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036AACB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beneficiada con las obras publicas ejecutadas concertadas.</w:t>
            </w:r>
          </w:p>
        </w:tc>
        <w:tc>
          <w:tcPr>
            <w:tcW w:w="1134" w:type="dxa"/>
            <w:tcBorders>
              <w:top w:val="nil"/>
              <w:left w:val="nil"/>
              <w:bottom w:val="single" w:sz="8" w:space="0" w:color="auto"/>
              <w:right w:val="single" w:sz="8" w:space="0" w:color="auto"/>
            </w:tcBorders>
            <w:shd w:val="clear" w:color="auto" w:fill="auto"/>
            <w:vAlign w:val="center"/>
            <w:hideMark/>
          </w:tcPr>
          <w:p w14:paraId="2E7088C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2E3BF8C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1417" w:type="dxa"/>
            <w:tcBorders>
              <w:top w:val="nil"/>
              <w:left w:val="nil"/>
              <w:bottom w:val="single" w:sz="8" w:space="0" w:color="auto"/>
              <w:right w:val="single" w:sz="8" w:space="0" w:color="auto"/>
            </w:tcBorders>
            <w:shd w:val="clear" w:color="auto" w:fill="auto"/>
            <w:vAlign w:val="center"/>
            <w:hideMark/>
          </w:tcPr>
          <w:p w14:paraId="4DC3FD3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CMCOP</w:t>
            </w:r>
          </w:p>
        </w:tc>
        <w:tc>
          <w:tcPr>
            <w:tcW w:w="890" w:type="dxa"/>
            <w:tcBorders>
              <w:top w:val="nil"/>
              <w:left w:val="nil"/>
              <w:bottom w:val="single" w:sz="8" w:space="0" w:color="auto"/>
              <w:right w:val="single" w:sz="8" w:space="0" w:color="auto"/>
            </w:tcBorders>
            <w:shd w:val="clear" w:color="auto" w:fill="auto"/>
            <w:vAlign w:val="center"/>
            <w:hideMark/>
          </w:tcPr>
          <w:p w14:paraId="72D67B7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11D708C"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1150B8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51</w:t>
            </w:r>
          </w:p>
        </w:tc>
        <w:tc>
          <w:tcPr>
            <w:tcW w:w="793" w:type="dxa"/>
            <w:tcBorders>
              <w:top w:val="nil"/>
              <w:left w:val="nil"/>
              <w:bottom w:val="single" w:sz="8" w:space="0" w:color="auto"/>
              <w:right w:val="single" w:sz="8" w:space="0" w:color="auto"/>
            </w:tcBorders>
            <w:shd w:val="clear" w:color="auto" w:fill="auto"/>
            <w:vAlign w:val="center"/>
            <w:hideMark/>
          </w:tcPr>
          <w:p w14:paraId="7F67111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3007157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cumplimiento en la ejecución de la obra pública concertada. </w:t>
            </w:r>
          </w:p>
        </w:tc>
        <w:tc>
          <w:tcPr>
            <w:tcW w:w="1134" w:type="dxa"/>
            <w:tcBorders>
              <w:top w:val="nil"/>
              <w:left w:val="nil"/>
              <w:bottom w:val="single" w:sz="8" w:space="0" w:color="auto"/>
              <w:right w:val="single" w:sz="8" w:space="0" w:color="auto"/>
            </w:tcBorders>
            <w:shd w:val="clear" w:color="auto" w:fill="auto"/>
            <w:vAlign w:val="center"/>
            <w:hideMark/>
          </w:tcPr>
          <w:p w14:paraId="1ACF50F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1E6212A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90%</w:t>
            </w:r>
          </w:p>
        </w:tc>
        <w:tc>
          <w:tcPr>
            <w:tcW w:w="1417" w:type="dxa"/>
            <w:tcBorders>
              <w:top w:val="nil"/>
              <w:left w:val="nil"/>
              <w:bottom w:val="single" w:sz="8" w:space="0" w:color="auto"/>
              <w:right w:val="single" w:sz="8" w:space="0" w:color="auto"/>
            </w:tcBorders>
            <w:shd w:val="clear" w:color="auto" w:fill="auto"/>
            <w:vAlign w:val="center"/>
            <w:hideMark/>
          </w:tcPr>
          <w:p w14:paraId="3372ABB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CMCOP</w:t>
            </w:r>
          </w:p>
        </w:tc>
        <w:tc>
          <w:tcPr>
            <w:tcW w:w="890" w:type="dxa"/>
            <w:tcBorders>
              <w:top w:val="nil"/>
              <w:left w:val="nil"/>
              <w:bottom w:val="single" w:sz="8" w:space="0" w:color="auto"/>
              <w:right w:val="single" w:sz="8" w:space="0" w:color="auto"/>
            </w:tcBorders>
            <w:shd w:val="clear" w:color="auto" w:fill="auto"/>
            <w:vAlign w:val="center"/>
            <w:hideMark/>
          </w:tcPr>
          <w:p w14:paraId="51319E6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35AE3BE"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1737C0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52</w:t>
            </w:r>
          </w:p>
        </w:tc>
        <w:tc>
          <w:tcPr>
            <w:tcW w:w="793" w:type="dxa"/>
            <w:tcBorders>
              <w:top w:val="nil"/>
              <w:left w:val="nil"/>
              <w:bottom w:val="single" w:sz="8" w:space="0" w:color="auto"/>
              <w:right w:val="single" w:sz="8" w:space="0" w:color="auto"/>
            </w:tcBorders>
            <w:shd w:val="clear" w:color="auto" w:fill="auto"/>
            <w:vAlign w:val="center"/>
            <w:hideMark/>
          </w:tcPr>
          <w:p w14:paraId="766927B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3B24E940"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Mejoramiento la red de pavimento con calidad y durabilidad</w:t>
            </w:r>
          </w:p>
        </w:tc>
        <w:tc>
          <w:tcPr>
            <w:tcW w:w="1134" w:type="dxa"/>
            <w:tcBorders>
              <w:top w:val="nil"/>
              <w:left w:val="nil"/>
              <w:bottom w:val="single" w:sz="8" w:space="0" w:color="auto"/>
              <w:right w:val="single" w:sz="8" w:space="0" w:color="auto"/>
            </w:tcBorders>
            <w:shd w:val="clear" w:color="auto" w:fill="auto"/>
            <w:vAlign w:val="center"/>
            <w:hideMark/>
          </w:tcPr>
          <w:p w14:paraId="1215136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4D95C6A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90%</w:t>
            </w:r>
          </w:p>
        </w:tc>
        <w:tc>
          <w:tcPr>
            <w:tcW w:w="1417" w:type="dxa"/>
            <w:tcBorders>
              <w:top w:val="nil"/>
              <w:left w:val="nil"/>
              <w:bottom w:val="single" w:sz="8" w:space="0" w:color="auto"/>
              <w:right w:val="single" w:sz="8" w:space="0" w:color="auto"/>
            </w:tcBorders>
            <w:shd w:val="clear" w:color="auto" w:fill="auto"/>
            <w:vAlign w:val="center"/>
            <w:hideMark/>
          </w:tcPr>
          <w:p w14:paraId="05F3FBD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Desarrollo de Infraestructura</w:t>
            </w:r>
          </w:p>
        </w:tc>
        <w:tc>
          <w:tcPr>
            <w:tcW w:w="890" w:type="dxa"/>
            <w:tcBorders>
              <w:top w:val="nil"/>
              <w:left w:val="nil"/>
              <w:bottom w:val="single" w:sz="8" w:space="0" w:color="auto"/>
              <w:right w:val="single" w:sz="8" w:space="0" w:color="auto"/>
            </w:tcBorders>
            <w:shd w:val="clear" w:color="auto" w:fill="auto"/>
            <w:vAlign w:val="center"/>
            <w:hideMark/>
          </w:tcPr>
          <w:p w14:paraId="7C125AB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CFFC320"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0DFBAC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53</w:t>
            </w:r>
          </w:p>
        </w:tc>
        <w:tc>
          <w:tcPr>
            <w:tcW w:w="793" w:type="dxa"/>
            <w:tcBorders>
              <w:top w:val="nil"/>
              <w:left w:val="nil"/>
              <w:bottom w:val="single" w:sz="8" w:space="0" w:color="auto"/>
              <w:right w:val="single" w:sz="8" w:space="0" w:color="auto"/>
            </w:tcBorders>
            <w:shd w:val="clear" w:color="auto" w:fill="auto"/>
            <w:vAlign w:val="center"/>
            <w:hideMark/>
          </w:tcPr>
          <w:p w14:paraId="720E2EF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252C105F"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bacheo en las colonias de Hermosillo</w:t>
            </w:r>
          </w:p>
        </w:tc>
        <w:tc>
          <w:tcPr>
            <w:tcW w:w="1134" w:type="dxa"/>
            <w:tcBorders>
              <w:top w:val="nil"/>
              <w:left w:val="nil"/>
              <w:bottom w:val="single" w:sz="8" w:space="0" w:color="auto"/>
              <w:right w:val="single" w:sz="8" w:space="0" w:color="auto"/>
            </w:tcBorders>
            <w:shd w:val="clear" w:color="auto" w:fill="auto"/>
            <w:vAlign w:val="center"/>
            <w:hideMark/>
          </w:tcPr>
          <w:p w14:paraId="267CDC2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1F16EDF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90%</w:t>
            </w:r>
          </w:p>
        </w:tc>
        <w:tc>
          <w:tcPr>
            <w:tcW w:w="1417" w:type="dxa"/>
            <w:tcBorders>
              <w:top w:val="nil"/>
              <w:left w:val="nil"/>
              <w:bottom w:val="single" w:sz="8" w:space="0" w:color="auto"/>
              <w:right w:val="single" w:sz="8" w:space="0" w:color="auto"/>
            </w:tcBorders>
            <w:shd w:val="clear" w:color="auto" w:fill="auto"/>
            <w:vAlign w:val="center"/>
            <w:hideMark/>
          </w:tcPr>
          <w:p w14:paraId="4DB39A6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Desarrollo de Infraestructura</w:t>
            </w:r>
          </w:p>
        </w:tc>
        <w:tc>
          <w:tcPr>
            <w:tcW w:w="890" w:type="dxa"/>
            <w:tcBorders>
              <w:top w:val="nil"/>
              <w:left w:val="nil"/>
              <w:bottom w:val="single" w:sz="8" w:space="0" w:color="auto"/>
              <w:right w:val="single" w:sz="8" w:space="0" w:color="auto"/>
            </w:tcBorders>
            <w:shd w:val="clear" w:color="auto" w:fill="auto"/>
            <w:vAlign w:val="center"/>
            <w:hideMark/>
          </w:tcPr>
          <w:p w14:paraId="7E376FC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CB3A1ED"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AED71E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54</w:t>
            </w:r>
          </w:p>
        </w:tc>
        <w:tc>
          <w:tcPr>
            <w:tcW w:w="793" w:type="dxa"/>
            <w:tcBorders>
              <w:top w:val="nil"/>
              <w:left w:val="nil"/>
              <w:bottom w:val="single" w:sz="8" w:space="0" w:color="auto"/>
              <w:right w:val="single" w:sz="8" w:space="0" w:color="auto"/>
            </w:tcBorders>
            <w:shd w:val="clear" w:color="auto" w:fill="auto"/>
            <w:vAlign w:val="center"/>
            <w:hideMark/>
          </w:tcPr>
          <w:p w14:paraId="3237652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122FCECD"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Índice de cumplimiento de las acciones para mejorar las condiciones del entorno urbano vial</w:t>
            </w:r>
          </w:p>
        </w:tc>
        <w:tc>
          <w:tcPr>
            <w:tcW w:w="1134" w:type="dxa"/>
            <w:tcBorders>
              <w:top w:val="nil"/>
              <w:left w:val="nil"/>
              <w:bottom w:val="single" w:sz="8" w:space="0" w:color="auto"/>
              <w:right w:val="single" w:sz="8" w:space="0" w:color="auto"/>
            </w:tcBorders>
            <w:shd w:val="clear" w:color="auto" w:fill="auto"/>
            <w:vAlign w:val="center"/>
            <w:hideMark/>
          </w:tcPr>
          <w:p w14:paraId="4F1D553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335A97B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w:t>
            </w:r>
          </w:p>
        </w:tc>
        <w:tc>
          <w:tcPr>
            <w:tcW w:w="1417" w:type="dxa"/>
            <w:tcBorders>
              <w:top w:val="nil"/>
              <w:left w:val="nil"/>
              <w:bottom w:val="single" w:sz="8" w:space="0" w:color="auto"/>
              <w:right w:val="single" w:sz="8" w:space="0" w:color="auto"/>
            </w:tcBorders>
            <w:shd w:val="clear" w:color="auto" w:fill="auto"/>
            <w:vAlign w:val="center"/>
            <w:hideMark/>
          </w:tcPr>
          <w:p w14:paraId="357B099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Desarrollo de Infraestructura</w:t>
            </w:r>
          </w:p>
        </w:tc>
        <w:tc>
          <w:tcPr>
            <w:tcW w:w="890" w:type="dxa"/>
            <w:tcBorders>
              <w:top w:val="nil"/>
              <w:left w:val="nil"/>
              <w:bottom w:val="single" w:sz="8" w:space="0" w:color="auto"/>
              <w:right w:val="single" w:sz="8" w:space="0" w:color="auto"/>
            </w:tcBorders>
            <w:shd w:val="clear" w:color="auto" w:fill="auto"/>
            <w:vAlign w:val="center"/>
            <w:hideMark/>
          </w:tcPr>
          <w:p w14:paraId="4C2AE17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BBEFB0F"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257D0A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lastRenderedPageBreak/>
              <w:t>55</w:t>
            </w:r>
          </w:p>
        </w:tc>
        <w:tc>
          <w:tcPr>
            <w:tcW w:w="793" w:type="dxa"/>
            <w:tcBorders>
              <w:top w:val="nil"/>
              <w:left w:val="nil"/>
              <w:bottom w:val="single" w:sz="8" w:space="0" w:color="auto"/>
              <w:right w:val="single" w:sz="8" w:space="0" w:color="auto"/>
            </w:tcBorders>
            <w:shd w:val="clear" w:color="auto" w:fill="auto"/>
            <w:vAlign w:val="center"/>
            <w:hideMark/>
          </w:tcPr>
          <w:p w14:paraId="1DED2C9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2ED3F84B"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acciones de mantenimiento del alumbrado público</w:t>
            </w:r>
          </w:p>
        </w:tc>
        <w:tc>
          <w:tcPr>
            <w:tcW w:w="1134" w:type="dxa"/>
            <w:tcBorders>
              <w:top w:val="nil"/>
              <w:left w:val="nil"/>
              <w:bottom w:val="single" w:sz="8" w:space="0" w:color="auto"/>
              <w:right w:val="single" w:sz="8" w:space="0" w:color="auto"/>
            </w:tcBorders>
            <w:shd w:val="clear" w:color="auto" w:fill="auto"/>
            <w:vAlign w:val="center"/>
            <w:hideMark/>
          </w:tcPr>
          <w:p w14:paraId="14E9168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4D115B1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90%</w:t>
            </w:r>
          </w:p>
        </w:tc>
        <w:tc>
          <w:tcPr>
            <w:tcW w:w="1417" w:type="dxa"/>
            <w:tcBorders>
              <w:top w:val="nil"/>
              <w:left w:val="nil"/>
              <w:bottom w:val="single" w:sz="8" w:space="0" w:color="auto"/>
              <w:right w:val="single" w:sz="8" w:space="0" w:color="auto"/>
            </w:tcBorders>
            <w:shd w:val="clear" w:color="auto" w:fill="auto"/>
            <w:vAlign w:val="center"/>
            <w:hideMark/>
          </w:tcPr>
          <w:p w14:paraId="2DE0170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Agencia Municipal de Energía y Cambio Climático</w:t>
            </w:r>
          </w:p>
        </w:tc>
        <w:tc>
          <w:tcPr>
            <w:tcW w:w="890" w:type="dxa"/>
            <w:tcBorders>
              <w:top w:val="nil"/>
              <w:left w:val="nil"/>
              <w:bottom w:val="single" w:sz="8" w:space="0" w:color="auto"/>
              <w:right w:val="single" w:sz="8" w:space="0" w:color="auto"/>
            </w:tcBorders>
            <w:shd w:val="clear" w:color="auto" w:fill="auto"/>
            <w:vAlign w:val="center"/>
            <w:hideMark/>
          </w:tcPr>
          <w:p w14:paraId="08DF948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27E207B"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8B24EB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56</w:t>
            </w:r>
          </w:p>
        </w:tc>
        <w:tc>
          <w:tcPr>
            <w:tcW w:w="793" w:type="dxa"/>
            <w:tcBorders>
              <w:top w:val="nil"/>
              <w:left w:val="nil"/>
              <w:bottom w:val="single" w:sz="8" w:space="0" w:color="auto"/>
              <w:right w:val="single" w:sz="8" w:space="0" w:color="auto"/>
            </w:tcBorders>
            <w:shd w:val="clear" w:color="auto" w:fill="auto"/>
            <w:vAlign w:val="center"/>
            <w:hideMark/>
          </w:tcPr>
          <w:p w14:paraId="6B83456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260B8393"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la realización de acciones que contribuyen a la prevención y control de la contaminación ambiental.</w:t>
            </w:r>
          </w:p>
        </w:tc>
        <w:tc>
          <w:tcPr>
            <w:tcW w:w="1134" w:type="dxa"/>
            <w:tcBorders>
              <w:top w:val="nil"/>
              <w:left w:val="nil"/>
              <w:bottom w:val="single" w:sz="8" w:space="0" w:color="auto"/>
              <w:right w:val="single" w:sz="8" w:space="0" w:color="auto"/>
            </w:tcBorders>
            <w:shd w:val="clear" w:color="auto" w:fill="auto"/>
            <w:vAlign w:val="center"/>
            <w:hideMark/>
          </w:tcPr>
          <w:p w14:paraId="22C3668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3D4252B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90%</w:t>
            </w:r>
          </w:p>
        </w:tc>
        <w:tc>
          <w:tcPr>
            <w:tcW w:w="1417" w:type="dxa"/>
            <w:tcBorders>
              <w:top w:val="nil"/>
              <w:left w:val="nil"/>
              <w:bottom w:val="single" w:sz="8" w:space="0" w:color="auto"/>
              <w:right w:val="single" w:sz="8" w:space="0" w:color="auto"/>
            </w:tcBorders>
            <w:shd w:val="clear" w:color="auto" w:fill="auto"/>
            <w:vAlign w:val="center"/>
            <w:hideMark/>
          </w:tcPr>
          <w:p w14:paraId="346C1D5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Agencia Municipal de Energía y Cambio Climático</w:t>
            </w:r>
          </w:p>
        </w:tc>
        <w:tc>
          <w:tcPr>
            <w:tcW w:w="890" w:type="dxa"/>
            <w:tcBorders>
              <w:top w:val="nil"/>
              <w:left w:val="nil"/>
              <w:bottom w:val="single" w:sz="8" w:space="0" w:color="auto"/>
              <w:right w:val="single" w:sz="8" w:space="0" w:color="auto"/>
            </w:tcBorders>
            <w:shd w:val="clear" w:color="auto" w:fill="auto"/>
            <w:vAlign w:val="center"/>
            <w:hideMark/>
          </w:tcPr>
          <w:p w14:paraId="32AF14F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0B8D9780"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BB101D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57</w:t>
            </w:r>
          </w:p>
        </w:tc>
        <w:tc>
          <w:tcPr>
            <w:tcW w:w="793" w:type="dxa"/>
            <w:tcBorders>
              <w:top w:val="nil"/>
              <w:left w:val="nil"/>
              <w:bottom w:val="single" w:sz="8" w:space="0" w:color="auto"/>
              <w:right w:val="single" w:sz="8" w:space="0" w:color="auto"/>
            </w:tcBorders>
            <w:shd w:val="clear" w:color="auto" w:fill="auto"/>
            <w:vAlign w:val="center"/>
            <w:hideMark/>
          </w:tcPr>
          <w:p w14:paraId="60A0D9A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w:t>
            </w:r>
          </w:p>
        </w:tc>
        <w:tc>
          <w:tcPr>
            <w:tcW w:w="3119" w:type="dxa"/>
            <w:tcBorders>
              <w:top w:val="nil"/>
              <w:left w:val="nil"/>
              <w:bottom w:val="single" w:sz="8" w:space="0" w:color="auto"/>
              <w:right w:val="single" w:sz="8" w:space="0" w:color="auto"/>
            </w:tcBorders>
            <w:shd w:val="clear" w:color="auto" w:fill="auto"/>
            <w:vAlign w:val="center"/>
            <w:hideMark/>
          </w:tcPr>
          <w:p w14:paraId="15CA536E"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Promedio simple de la Atención integral y prevención de enfermedades a caninos y felinos brindada</w:t>
            </w:r>
          </w:p>
        </w:tc>
        <w:tc>
          <w:tcPr>
            <w:tcW w:w="1134" w:type="dxa"/>
            <w:tcBorders>
              <w:top w:val="nil"/>
              <w:left w:val="nil"/>
              <w:bottom w:val="single" w:sz="8" w:space="0" w:color="auto"/>
              <w:right w:val="single" w:sz="8" w:space="0" w:color="auto"/>
            </w:tcBorders>
            <w:shd w:val="clear" w:color="auto" w:fill="auto"/>
            <w:vAlign w:val="center"/>
            <w:hideMark/>
          </w:tcPr>
          <w:p w14:paraId="0DEF573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31F0971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1417" w:type="dxa"/>
            <w:tcBorders>
              <w:top w:val="nil"/>
              <w:left w:val="nil"/>
              <w:bottom w:val="single" w:sz="8" w:space="0" w:color="auto"/>
              <w:right w:val="single" w:sz="8" w:space="0" w:color="auto"/>
            </w:tcBorders>
            <w:shd w:val="clear" w:color="auto" w:fill="auto"/>
            <w:vAlign w:val="center"/>
            <w:hideMark/>
          </w:tcPr>
          <w:p w14:paraId="75E03DB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 xml:space="preserve">Servicios Público Municipales </w:t>
            </w:r>
          </w:p>
        </w:tc>
        <w:tc>
          <w:tcPr>
            <w:tcW w:w="890" w:type="dxa"/>
            <w:tcBorders>
              <w:top w:val="nil"/>
              <w:left w:val="nil"/>
              <w:bottom w:val="single" w:sz="8" w:space="0" w:color="auto"/>
              <w:right w:val="single" w:sz="8" w:space="0" w:color="auto"/>
            </w:tcBorders>
            <w:shd w:val="clear" w:color="auto" w:fill="auto"/>
            <w:vAlign w:val="center"/>
            <w:hideMark/>
          </w:tcPr>
          <w:p w14:paraId="36AC8DD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39C7DD40"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1F9CE8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58</w:t>
            </w:r>
          </w:p>
        </w:tc>
        <w:tc>
          <w:tcPr>
            <w:tcW w:w="793" w:type="dxa"/>
            <w:tcBorders>
              <w:top w:val="nil"/>
              <w:left w:val="nil"/>
              <w:bottom w:val="single" w:sz="8" w:space="0" w:color="auto"/>
              <w:right w:val="single" w:sz="8" w:space="0" w:color="auto"/>
            </w:tcBorders>
            <w:shd w:val="clear" w:color="auto" w:fill="auto"/>
            <w:vAlign w:val="center"/>
            <w:hideMark/>
          </w:tcPr>
          <w:p w14:paraId="7774363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3119" w:type="dxa"/>
            <w:tcBorders>
              <w:top w:val="nil"/>
              <w:left w:val="nil"/>
              <w:bottom w:val="single" w:sz="8" w:space="0" w:color="auto"/>
              <w:right w:val="single" w:sz="8" w:space="0" w:color="auto"/>
            </w:tcBorders>
            <w:shd w:val="clear" w:color="auto" w:fill="auto"/>
            <w:vAlign w:val="center"/>
            <w:hideMark/>
          </w:tcPr>
          <w:p w14:paraId="40514994"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Ranking del Índice de Competitividad Urbana**</w:t>
            </w:r>
          </w:p>
        </w:tc>
        <w:tc>
          <w:tcPr>
            <w:tcW w:w="1134" w:type="dxa"/>
            <w:tcBorders>
              <w:top w:val="nil"/>
              <w:left w:val="nil"/>
              <w:bottom w:val="single" w:sz="8" w:space="0" w:color="auto"/>
              <w:right w:val="single" w:sz="8" w:space="0" w:color="auto"/>
            </w:tcBorders>
            <w:shd w:val="clear" w:color="auto" w:fill="auto"/>
            <w:vAlign w:val="center"/>
            <w:hideMark/>
          </w:tcPr>
          <w:p w14:paraId="09808C0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 (2023)</w:t>
            </w:r>
          </w:p>
        </w:tc>
        <w:tc>
          <w:tcPr>
            <w:tcW w:w="992" w:type="dxa"/>
            <w:tcBorders>
              <w:top w:val="nil"/>
              <w:left w:val="nil"/>
              <w:bottom w:val="single" w:sz="8" w:space="0" w:color="auto"/>
              <w:right w:val="single" w:sz="8" w:space="0" w:color="auto"/>
            </w:tcBorders>
            <w:shd w:val="clear" w:color="auto" w:fill="auto"/>
            <w:vAlign w:val="center"/>
            <w:hideMark/>
          </w:tcPr>
          <w:p w14:paraId="2387E90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1417" w:type="dxa"/>
            <w:tcBorders>
              <w:top w:val="nil"/>
              <w:left w:val="nil"/>
              <w:bottom w:val="single" w:sz="8" w:space="0" w:color="auto"/>
              <w:right w:val="single" w:sz="8" w:space="0" w:color="auto"/>
            </w:tcBorders>
            <w:shd w:val="clear" w:color="auto" w:fill="auto"/>
            <w:vAlign w:val="center"/>
            <w:hideMark/>
          </w:tcPr>
          <w:p w14:paraId="3003127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IMCO</w:t>
            </w:r>
          </w:p>
        </w:tc>
        <w:tc>
          <w:tcPr>
            <w:tcW w:w="890" w:type="dxa"/>
            <w:tcBorders>
              <w:top w:val="nil"/>
              <w:left w:val="nil"/>
              <w:bottom w:val="single" w:sz="8" w:space="0" w:color="auto"/>
              <w:right w:val="single" w:sz="8" w:space="0" w:color="auto"/>
            </w:tcBorders>
            <w:shd w:val="clear" w:color="auto" w:fill="auto"/>
            <w:vAlign w:val="center"/>
            <w:hideMark/>
          </w:tcPr>
          <w:p w14:paraId="00E7910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0284AEAA" w14:textId="77777777" w:rsidTr="0008162A">
        <w:trPr>
          <w:trHeight w:val="31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37FBD9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59</w:t>
            </w:r>
          </w:p>
        </w:tc>
        <w:tc>
          <w:tcPr>
            <w:tcW w:w="793" w:type="dxa"/>
            <w:tcBorders>
              <w:top w:val="nil"/>
              <w:left w:val="nil"/>
              <w:bottom w:val="single" w:sz="8" w:space="0" w:color="auto"/>
              <w:right w:val="single" w:sz="8" w:space="0" w:color="auto"/>
            </w:tcBorders>
            <w:shd w:val="clear" w:color="auto" w:fill="auto"/>
            <w:vAlign w:val="center"/>
            <w:hideMark/>
          </w:tcPr>
          <w:p w14:paraId="1699EFF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3119" w:type="dxa"/>
            <w:tcBorders>
              <w:top w:val="nil"/>
              <w:left w:val="nil"/>
              <w:bottom w:val="single" w:sz="8" w:space="0" w:color="auto"/>
              <w:right w:val="single" w:sz="8" w:space="0" w:color="auto"/>
            </w:tcBorders>
            <w:shd w:val="clear" w:color="auto" w:fill="auto"/>
            <w:vAlign w:val="center"/>
            <w:hideMark/>
          </w:tcPr>
          <w:p w14:paraId="2A9714CC"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Tasa de desocupación en Hermosillo</w:t>
            </w:r>
          </w:p>
        </w:tc>
        <w:tc>
          <w:tcPr>
            <w:tcW w:w="1134" w:type="dxa"/>
            <w:tcBorders>
              <w:top w:val="nil"/>
              <w:left w:val="nil"/>
              <w:bottom w:val="single" w:sz="8" w:space="0" w:color="auto"/>
              <w:right w:val="single" w:sz="8" w:space="0" w:color="auto"/>
            </w:tcBorders>
            <w:shd w:val="clear" w:color="auto" w:fill="auto"/>
            <w:vAlign w:val="center"/>
            <w:hideMark/>
          </w:tcPr>
          <w:p w14:paraId="01058F9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2.9 (2023)</w:t>
            </w:r>
          </w:p>
        </w:tc>
        <w:tc>
          <w:tcPr>
            <w:tcW w:w="992" w:type="dxa"/>
            <w:tcBorders>
              <w:top w:val="nil"/>
              <w:left w:val="nil"/>
              <w:bottom w:val="single" w:sz="8" w:space="0" w:color="auto"/>
              <w:right w:val="single" w:sz="8" w:space="0" w:color="auto"/>
            </w:tcBorders>
            <w:shd w:val="clear" w:color="auto" w:fill="auto"/>
            <w:vAlign w:val="center"/>
            <w:hideMark/>
          </w:tcPr>
          <w:p w14:paraId="4D6206D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2.7</w:t>
            </w:r>
          </w:p>
        </w:tc>
        <w:tc>
          <w:tcPr>
            <w:tcW w:w="1417" w:type="dxa"/>
            <w:tcBorders>
              <w:top w:val="nil"/>
              <w:left w:val="nil"/>
              <w:bottom w:val="single" w:sz="8" w:space="0" w:color="auto"/>
              <w:right w:val="single" w:sz="8" w:space="0" w:color="auto"/>
            </w:tcBorders>
            <w:shd w:val="clear" w:color="auto" w:fill="auto"/>
            <w:vAlign w:val="center"/>
            <w:hideMark/>
          </w:tcPr>
          <w:p w14:paraId="44AC68E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ENOE</w:t>
            </w:r>
          </w:p>
        </w:tc>
        <w:tc>
          <w:tcPr>
            <w:tcW w:w="890" w:type="dxa"/>
            <w:tcBorders>
              <w:top w:val="nil"/>
              <w:left w:val="nil"/>
              <w:bottom w:val="single" w:sz="8" w:space="0" w:color="auto"/>
              <w:right w:val="single" w:sz="8" w:space="0" w:color="auto"/>
            </w:tcBorders>
            <w:shd w:val="clear" w:color="auto" w:fill="auto"/>
            <w:noWrap/>
            <w:vAlign w:val="center"/>
            <w:hideMark/>
          </w:tcPr>
          <w:p w14:paraId="2541373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05C409A5" w14:textId="77777777" w:rsidTr="0008162A">
        <w:trPr>
          <w:trHeight w:val="5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72D534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60</w:t>
            </w:r>
          </w:p>
        </w:tc>
        <w:tc>
          <w:tcPr>
            <w:tcW w:w="793" w:type="dxa"/>
            <w:tcBorders>
              <w:top w:val="nil"/>
              <w:left w:val="nil"/>
              <w:bottom w:val="single" w:sz="8" w:space="0" w:color="auto"/>
              <w:right w:val="single" w:sz="8" w:space="0" w:color="auto"/>
            </w:tcBorders>
            <w:shd w:val="clear" w:color="auto" w:fill="auto"/>
            <w:vAlign w:val="center"/>
            <w:hideMark/>
          </w:tcPr>
          <w:p w14:paraId="60E0820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3119" w:type="dxa"/>
            <w:tcBorders>
              <w:top w:val="nil"/>
              <w:left w:val="nil"/>
              <w:bottom w:val="single" w:sz="8" w:space="0" w:color="auto"/>
              <w:right w:val="single" w:sz="8" w:space="0" w:color="auto"/>
            </w:tcBorders>
            <w:shd w:val="clear" w:color="auto" w:fill="auto"/>
            <w:vAlign w:val="center"/>
            <w:hideMark/>
          </w:tcPr>
          <w:p w14:paraId="1FE8BF4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Tasa de informalidad laboral en Hermosillo</w:t>
            </w:r>
          </w:p>
        </w:tc>
        <w:tc>
          <w:tcPr>
            <w:tcW w:w="1134" w:type="dxa"/>
            <w:tcBorders>
              <w:top w:val="nil"/>
              <w:left w:val="nil"/>
              <w:bottom w:val="single" w:sz="8" w:space="0" w:color="auto"/>
              <w:right w:val="single" w:sz="8" w:space="0" w:color="auto"/>
            </w:tcBorders>
            <w:shd w:val="clear" w:color="auto" w:fill="auto"/>
            <w:vAlign w:val="center"/>
            <w:hideMark/>
          </w:tcPr>
          <w:p w14:paraId="3EFEC8E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32.6 (2023)</w:t>
            </w:r>
          </w:p>
        </w:tc>
        <w:tc>
          <w:tcPr>
            <w:tcW w:w="992" w:type="dxa"/>
            <w:tcBorders>
              <w:top w:val="nil"/>
              <w:left w:val="nil"/>
              <w:bottom w:val="single" w:sz="8" w:space="0" w:color="auto"/>
              <w:right w:val="single" w:sz="8" w:space="0" w:color="auto"/>
            </w:tcBorders>
            <w:shd w:val="clear" w:color="auto" w:fill="auto"/>
            <w:vAlign w:val="center"/>
            <w:hideMark/>
          </w:tcPr>
          <w:p w14:paraId="4F6D418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30</w:t>
            </w:r>
          </w:p>
        </w:tc>
        <w:tc>
          <w:tcPr>
            <w:tcW w:w="1417" w:type="dxa"/>
            <w:tcBorders>
              <w:top w:val="nil"/>
              <w:left w:val="nil"/>
              <w:bottom w:val="single" w:sz="8" w:space="0" w:color="auto"/>
              <w:right w:val="single" w:sz="8" w:space="0" w:color="auto"/>
            </w:tcBorders>
            <w:shd w:val="clear" w:color="auto" w:fill="auto"/>
            <w:vAlign w:val="center"/>
            <w:hideMark/>
          </w:tcPr>
          <w:p w14:paraId="2D7766B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ENOE</w:t>
            </w:r>
          </w:p>
        </w:tc>
        <w:tc>
          <w:tcPr>
            <w:tcW w:w="890" w:type="dxa"/>
            <w:tcBorders>
              <w:top w:val="nil"/>
              <w:left w:val="nil"/>
              <w:bottom w:val="single" w:sz="8" w:space="0" w:color="auto"/>
              <w:right w:val="single" w:sz="8" w:space="0" w:color="auto"/>
            </w:tcBorders>
            <w:shd w:val="clear" w:color="auto" w:fill="auto"/>
            <w:noWrap/>
            <w:vAlign w:val="center"/>
            <w:hideMark/>
          </w:tcPr>
          <w:p w14:paraId="58ACDE7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F21DEF2"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CB2A72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61</w:t>
            </w:r>
          </w:p>
        </w:tc>
        <w:tc>
          <w:tcPr>
            <w:tcW w:w="793" w:type="dxa"/>
            <w:tcBorders>
              <w:top w:val="nil"/>
              <w:left w:val="nil"/>
              <w:bottom w:val="single" w:sz="8" w:space="0" w:color="auto"/>
              <w:right w:val="single" w:sz="8" w:space="0" w:color="auto"/>
            </w:tcBorders>
            <w:shd w:val="clear" w:color="auto" w:fill="auto"/>
            <w:vAlign w:val="center"/>
            <w:hideMark/>
          </w:tcPr>
          <w:p w14:paraId="7CC457F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3119" w:type="dxa"/>
            <w:tcBorders>
              <w:top w:val="nil"/>
              <w:left w:val="nil"/>
              <w:bottom w:val="single" w:sz="8" w:space="0" w:color="auto"/>
              <w:right w:val="single" w:sz="8" w:space="0" w:color="auto"/>
            </w:tcBorders>
            <w:shd w:val="clear" w:color="auto" w:fill="auto"/>
            <w:vAlign w:val="center"/>
            <w:hideMark/>
          </w:tcPr>
          <w:p w14:paraId="136E964A"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Variación porcentual de los empleos dados de alta ante el IMSS</w:t>
            </w:r>
          </w:p>
        </w:tc>
        <w:tc>
          <w:tcPr>
            <w:tcW w:w="1134" w:type="dxa"/>
            <w:tcBorders>
              <w:top w:val="nil"/>
              <w:left w:val="nil"/>
              <w:bottom w:val="single" w:sz="8" w:space="0" w:color="auto"/>
              <w:right w:val="single" w:sz="8" w:space="0" w:color="auto"/>
            </w:tcBorders>
            <w:shd w:val="clear" w:color="auto" w:fill="auto"/>
            <w:vAlign w:val="center"/>
            <w:hideMark/>
          </w:tcPr>
          <w:p w14:paraId="1488515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4.40%</w:t>
            </w:r>
          </w:p>
        </w:tc>
        <w:tc>
          <w:tcPr>
            <w:tcW w:w="992" w:type="dxa"/>
            <w:tcBorders>
              <w:top w:val="nil"/>
              <w:left w:val="nil"/>
              <w:bottom w:val="single" w:sz="8" w:space="0" w:color="auto"/>
              <w:right w:val="single" w:sz="8" w:space="0" w:color="auto"/>
            </w:tcBorders>
            <w:shd w:val="clear" w:color="auto" w:fill="auto"/>
            <w:vAlign w:val="center"/>
            <w:hideMark/>
          </w:tcPr>
          <w:p w14:paraId="4CA5B39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1417" w:type="dxa"/>
            <w:tcBorders>
              <w:top w:val="nil"/>
              <w:left w:val="nil"/>
              <w:bottom w:val="single" w:sz="8" w:space="0" w:color="auto"/>
              <w:right w:val="single" w:sz="8" w:space="0" w:color="auto"/>
            </w:tcBorders>
            <w:shd w:val="clear" w:color="auto" w:fill="auto"/>
            <w:vAlign w:val="center"/>
            <w:hideMark/>
          </w:tcPr>
          <w:p w14:paraId="0BE6EBF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IMSS</w:t>
            </w:r>
          </w:p>
        </w:tc>
        <w:tc>
          <w:tcPr>
            <w:tcW w:w="890" w:type="dxa"/>
            <w:tcBorders>
              <w:top w:val="nil"/>
              <w:left w:val="nil"/>
              <w:bottom w:val="single" w:sz="8" w:space="0" w:color="auto"/>
              <w:right w:val="single" w:sz="8" w:space="0" w:color="auto"/>
            </w:tcBorders>
            <w:shd w:val="clear" w:color="auto" w:fill="auto"/>
            <w:noWrap/>
            <w:vAlign w:val="center"/>
            <w:hideMark/>
          </w:tcPr>
          <w:p w14:paraId="34F81DB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DFDB3CD" w14:textId="77777777" w:rsidTr="008A271D">
        <w:trPr>
          <w:trHeight w:val="61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172EBC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62</w:t>
            </w:r>
          </w:p>
        </w:tc>
        <w:tc>
          <w:tcPr>
            <w:tcW w:w="793" w:type="dxa"/>
            <w:tcBorders>
              <w:top w:val="nil"/>
              <w:left w:val="nil"/>
              <w:bottom w:val="single" w:sz="4" w:space="0" w:color="auto"/>
              <w:right w:val="single" w:sz="8" w:space="0" w:color="auto"/>
            </w:tcBorders>
            <w:shd w:val="clear" w:color="auto" w:fill="auto"/>
            <w:vAlign w:val="center"/>
            <w:hideMark/>
          </w:tcPr>
          <w:p w14:paraId="30CB8FC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3119" w:type="dxa"/>
            <w:tcBorders>
              <w:top w:val="nil"/>
              <w:left w:val="nil"/>
              <w:bottom w:val="single" w:sz="4" w:space="0" w:color="auto"/>
              <w:right w:val="single" w:sz="8" w:space="0" w:color="auto"/>
            </w:tcBorders>
            <w:shd w:val="clear" w:color="auto" w:fill="auto"/>
            <w:vAlign w:val="center"/>
            <w:hideMark/>
          </w:tcPr>
          <w:p w14:paraId="0C587DE6"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Salario promedio cotizado ante el IMSS</w:t>
            </w:r>
          </w:p>
        </w:tc>
        <w:tc>
          <w:tcPr>
            <w:tcW w:w="1134" w:type="dxa"/>
            <w:tcBorders>
              <w:top w:val="nil"/>
              <w:left w:val="nil"/>
              <w:bottom w:val="single" w:sz="4" w:space="0" w:color="auto"/>
              <w:right w:val="single" w:sz="8" w:space="0" w:color="auto"/>
            </w:tcBorders>
            <w:shd w:val="clear" w:color="auto" w:fill="auto"/>
            <w:vAlign w:val="center"/>
            <w:hideMark/>
          </w:tcPr>
          <w:p w14:paraId="39E2980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496.30 (2023)</w:t>
            </w:r>
          </w:p>
        </w:tc>
        <w:tc>
          <w:tcPr>
            <w:tcW w:w="992" w:type="dxa"/>
            <w:tcBorders>
              <w:top w:val="nil"/>
              <w:left w:val="nil"/>
              <w:bottom w:val="single" w:sz="4" w:space="0" w:color="auto"/>
              <w:right w:val="single" w:sz="8" w:space="0" w:color="auto"/>
            </w:tcBorders>
            <w:shd w:val="clear" w:color="auto" w:fill="auto"/>
            <w:vAlign w:val="center"/>
            <w:hideMark/>
          </w:tcPr>
          <w:p w14:paraId="44EF91A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550</w:t>
            </w:r>
          </w:p>
        </w:tc>
        <w:tc>
          <w:tcPr>
            <w:tcW w:w="1417" w:type="dxa"/>
            <w:tcBorders>
              <w:top w:val="nil"/>
              <w:left w:val="nil"/>
              <w:bottom w:val="single" w:sz="4" w:space="0" w:color="auto"/>
              <w:right w:val="single" w:sz="8" w:space="0" w:color="auto"/>
            </w:tcBorders>
            <w:shd w:val="clear" w:color="auto" w:fill="auto"/>
            <w:vAlign w:val="center"/>
            <w:hideMark/>
          </w:tcPr>
          <w:p w14:paraId="35B3D04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IMSS</w:t>
            </w:r>
          </w:p>
        </w:tc>
        <w:tc>
          <w:tcPr>
            <w:tcW w:w="890" w:type="dxa"/>
            <w:tcBorders>
              <w:top w:val="nil"/>
              <w:left w:val="nil"/>
              <w:bottom w:val="single" w:sz="4" w:space="0" w:color="auto"/>
              <w:right w:val="single" w:sz="8" w:space="0" w:color="auto"/>
            </w:tcBorders>
            <w:shd w:val="clear" w:color="auto" w:fill="auto"/>
            <w:noWrap/>
            <w:vAlign w:val="center"/>
            <w:hideMark/>
          </w:tcPr>
          <w:p w14:paraId="4E49B2A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F70E369" w14:textId="77777777" w:rsidTr="008A271D">
        <w:trPr>
          <w:trHeight w:val="222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7B9A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63</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B2BD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EAD74"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Evaluación promedio de satisfacción con la gestión del municipio en fomento económico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111C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 (2023)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3186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C8BA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Hermosillo ¿Cómo Vamos?, Encuesta de Percepción Ciudadana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6522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AAA1CBD" w14:textId="77777777" w:rsidTr="008A271D">
        <w:trPr>
          <w:trHeight w:val="12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0E50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64</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FD62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75302"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Evaluación promedio de satisfacción con la gestión del municipio en Turismo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8607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5.7 (2023)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8E4C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CBD2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Hermosillo ¿Cómo Vamos?, Encuesta de Percepción Ciudadana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1FA8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7235195" w14:textId="77777777" w:rsidTr="008A271D">
        <w:trPr>
          <w:trHeight w:val="121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D723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65</w:t>
            </w:r>
          </w:p>
        </w:tc>
        <w:tc>
          <w:tcPr>
            <w:tcW w:w="793" w:type="dxa"/>
            <w:tcBorders>
              <w:top w:val="single" w:sz="4" w:space="0" w:color="auto"/>
              <w:left w:val="nil"/>
              <w:bottom w:val="single" w:sz="8" w:space="0" w:color="auto"/>
              <w:right w:val="single" w:sz="8" w:space="0" w:color="auto"/>
            </w:tcBorders>
            <w:shd w:val="clear" w:color="auto" w:fill="auto"/>
            <w:vAlign w:val="center"/>
            <w:hideMark/>
          </w:tcPr>
          <w:p w14:paraId="53B2EBD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3119" w:type="dxa"/>
            <w:tcBorders>
              <w:top w:val="single" w:sz="4" w:space="0" w:color="auto"/>
              <w:left w:val="nil"/>
              <w:bottom w:val="single" w:sz="8" w:space="0" w:color="auto"/>
              <w:right w:val="single" w:sz="8" w:space="0" w:color="auto"/>
            </w:tcBorders>
            <w:shd w:val="clear" w:color="auto" w:fill="auto"/>
            <w:vAlign w:val="center"/>
            <w:hideMark/>
          </w:tcPr>
          <w:p w14:paraId="120D69E0"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trámites municipales hechos en línea en Hermosillo </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27A36BA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6.6 (2023)</w:t>
            </w:r>
          </w:p>
        </w:tc>
        <w:tc>
          <w:tcPr>
            <w:tcW w:w="992" w:type="dxa"/>
            <w:tcBorders>
              <w:top w:val="single" w:sz="4" w:space="0" w:color="auto"/>
              <w:left w:val="nil"/>
              <w:bottom w:val="single" w:sz="8" w:space="0" w:color="auto"/>
              <w:right w:val="single" w:sz="8" w:space="0" w:color="auto"/>
            </w:tcBorders>
            <w:shd w:val="clear" w:color="auto" w:fill="auto"/>
            <w:vAlign w:val="center"/>
            <w:hideMark/>
          </w:tcPr>
          <w:p w14:paraId="43659EC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6.8</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2C88886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Hermosillo ¿Cómo Vamos?, Encuesta de Percepción Ciudadana</w:t>
            </w:r>
          </w:p>
        </w:tc>
        <w:tc>
          <w:tcPr>
            <w:tcW w:w="890" w:type="dxa"/>
            <w:tcBorders>
              <w:top w:val="single" w:sz="4" w:space="0" w:color="auto"/>
              <w:left w:val="nil"/>
              <w:bottom w:val="single" w:sz="8" w:space="0" w:color="auto"/>
              <w:right w:val="single" w:sz="8" w:space="0" w:color="auto"/>
            </w:tcBorders>
            <w:shd w:val="clear" w:color="auto" w:fill="auto"/>
            <w:noWrap/>
            <w:vAlign w:val="center"/>
            <w:hideMark/>
          </w:tcPr>
          <w:p w14:paraId="0CE621B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CC85CE8"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10FD826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lastRenderedPageBreak/>
              <w:t>66</w:t>
            </w:r>
          </w:p>
        </w:tc>
        <w:tc>
          <w:tcPr>
            <w:tcW w:w="793" w:type="dxa"/>
            <w:tcBorders>
              <w:top w:val="nil"/>
              <w:left w:val="nil"/>
              <w:bottom w:val="single" w:sz="8" w:space="0" w:color="auto"/>
              <w:right w:val="single" w:sz="8" w:space="0" w:color="auto"/>
            </w:tcBorders>
            <w:shd w:val="clear" w:color="auto" w:fill="auto"/>
            <w:vAlign w:val="center"/>
            <w:hideMark/>
          </w:tcPr>
          <w:p w14:paraId="6880182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w:t>
            </w:r>
          </w:p>
        </w:tc>
        <w:tc>
          <w:tcPr>
            <w:tcW w:w="3119" w:type="dxa"/>
            <w:tcBorders>
              <w:top w:val="nil"/>
              <w:left w:val="nil"/>
              <w:bottom w:val="single" w:sz="8" w:space="0" w:color="auto"/>
              <w:right w:val="single" w:sz="8" w:space="0" w:color="auto"/>
            </w:tcBorders>
            <w:shd w:val="clear" w:color="auto" w:fill="auto"/>
            <w:vAlign w:val="center"/>
            <w:hideMark/>
          </w:tcPr>
          <w:p w14:paraId="152CA575"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el apoyo a empresas nacionales e internacionales para su instalación en la ciudad de Hermosillo</w:t>
            </w:r>
          </w:p>
        </w:tc>
        <w:tc>
          <w:tcPr>
            <w:tcW w:w="1134" w:type="dxa"/>
            <w:tcBorders>
              <w:top w:val="nil"/>
              <w:left w:val="nil"/>
              <w:bottom w:val="single" w:sz="8" w:space="0" w:color="auto"/>
              <w:right w:val="single" w:sz="8" w:space="0" w:color="auto"/>
            </w:tcBorders>
            <w:shd w:val="clear" w:color="auto" w:fill="auto"/>
            <w:vAlign w:val="center"/>
            <w:hideMark/>
          </w:tcPr>
          <w:p w14:paraId="6CD43FE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25A5AA2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75%</w:t>
            </w:r>
          </w:p>
        </w:tc>
        <w:tc>
          <w:tcPr>
            <w:tcW w:w="1417" w:type="dxa"/>
            <w:tcBorders>
              <w:top w:val="nil"/>
              <w:left w:val="nil"/>
              <w:bottom w:val="single" w:sz="8" w:space="0" w:color="auto"/>
              <w:right w:val="single" w:sz="8" w:space="0" w:color="auto"/>
            </w:tcBorders>
            <w:shd w:val="clear" w:color="auto" w:fill="auto"/>
            <w:vAlign w:val="center"/>
            <w:hideMark/>
          </w:tcPr>
          <w:p w14:paraId="5F7CD35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AMDE</w:t>
            </w:r>
          </w:p>
        </w:tc>
        <w:tc>
          <w:tcPr>
            <w:tcW w:w="890" w:type="dxa"/>
            <w:tcBorders>
              <w:top w:val="nil"/>
              <w:left w:val="nil"/>
              <w:bottom w:val="single" w:sz="8" w:space="0" w:color="auto"/>
              <w:right w:val="single" w:sz="8" w:space="0" w:color="auto"/>
            </w:tcBorders>
            <w:shd w:val="clear" w:color="auto" w:fill="auto"/>
            <w:vAlign w:val="center"/>
            <w:hideMark/>
          </w:tcPr>
          <w:p w14:paraId="52C557A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095FF3D4"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DA11B3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67</w:t>
            </w:r>
          </w:p>
        </w:tc>
        <w:tc>
          <w:tcPr>
            <w:tcW w:w="793" w:type="dxa"/>
            <w:tcBorders>
              <w:top w:val="nil"/>
              <w:left w:val="nil"/>
              <w:bottom w:val="single" w:sz="8" w:space="0" w:color="auto"/>
              <w:right w:val="single" w:sz="8" w:space="0" w:color="auto"/>
            </w:tcBorders>
            <w:shd w:val="clear" w:color="auto" w:fill="auto"/>
            <w:vAlign w:val="center"/>
            <w:hideMark/>
          </w:tcPr>
          <w:p w14:paraId="689D7B7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w:t>
            </w:r>
          </w:p>
        </w:tc>
        <w:tc>
          <w:tcPr>
            <w:tcW w:w="3119" w:type="dxa"/>
            <w:tcBorders>
              <w:top w:val="nil"/>
              <w:left w:val="nil"/>
              <w:bottom w:val="single" w:sz="8" w:space="0" w:color="auto"/>
              <w:right w:val="single" w:sz="8" w:space="0" w:color="auto"/>
            </w:tcBorders>
            <w:shd w:val="clear" w:color="auto" w:fill="auto"/>
            <w:vAlign w:val="center"/>
            <w:hideMark/>
          </w:tcPr>
          <w:p w14:paraId="7C95B148"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Evaluación promedio de satisfacción con la gestión del municipio en cultura y arte</w:t>
            </w:r>
          </w:p>
        </w:tc>
        <w:tc>
          <w:tcPr>
            <w:tcW w:w="1134" w:type="dxa"/>
            <w:tcBorders>
              <w:top w:val="nil"/>
              <w:left w:val="nil"/>
              <w:bottom w:val="single" w:sz="8" w:space="0" w:color="auto"/>
              <w:right w:val="single" w:sz="8" w:space="0" w:color="auto"/>
            </w:tcBorders>
            <w:shd w:val="clear" w:color="auto" w:fill="auto"/>
            <w:vAlign w:val="center"/>
            <w:hideMark/>
          </w:tcPr>
          <w:p w14:paraId="15BF147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6.2 (2023)</w:t>
            </w:r>
          </w:p>
        </w:tc>
        <w:tc>
          <w:tcPr>
            <w:tcW w:w="992" w:type="dxa"/>
            <w:tcBorders>
              <w:top w:val="nil"/>
              <w:left w:val="nil"/>
              <w:bottom w:val="single" w:sz="8" w:space="0" w:color="auto"/>
              <w:right w:val="single" w:sz="8" w:space="0" w:color="auto"/>
            </w:tcBorders>
            <w:shd w:val="clear" w:color="auto" w:fill="auto"/>
            <w:vAlign w:val="center"/>
            <w:hideMark/>
          </w:tcPr>
          <w:p w14:paraId="5E7FDB2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6.5</w:t>
            </w:r>
          </w:p>
        </w:tc>
        <w:tc>
          <w:tcPr>
            <w:tcW w:w="1417" w:type="dxa"/>
            <w:tcBorders>
              <w:top w:val="nil"/>
              <w:left w:val="nil"/>
              <w:bottom w:val="single" w:sz="8" w:space="0" w:color="auto"/>
              <w:right w:val="single" w:sz="8" w:space="0" w:color="auto"/>
            </w:tcBorders>
            <w:shd w:val="clear" w:color="auto" w:fill="auto"/>
            <w:vAlign w:val="center"/>
            <w:hideMark/>
          </w:tcPr>
          <w:p w14:paraId="6A06AE5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Hermosillo ¿Cómo Vamos?, Encuesta de Percepción Ciudadana</w:t>
            </w:r>
          </w:p>
        </w:tc>
        <w:tc>
          <w:tcPr>
            <w:tcW w:w="890" w:type="dxa"/>
            <w:tcBorders>
              <w:top w:val="nil"/>
              <w:left w:val="nil"/>
              <w:bottom w:val="single" w:sz="8" w:space="0" w:color="auto"/>
              <w:right w:val="single" w:sz="8" w:space="0" w:color="auto"/>
            </w:tcBorders>
            <w:shd w:val="clear" w:color="auto" w:fill="auto"/>
            <w:vAlign w:val="center"/>
            <w:hideMark/>
          </w:tcPr>
          <w:p w14:paraId="1D5C587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1DDC58E"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119CA4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68</w:t>
            </w:r>
          </w:p>
        </w:tc>
        <w:tc>
          <w:tcPr>
            <w:tcW w:w="793" w:type="dxa"/>
            <w:tcBorders>
              <w:top w:val="nil"/>
              <w:left w:val="nil"/>
              <w:bottom w:val="single" w:sz="8" w:space="0" w:color="auto"/>
              <w:right w:val="single" w:sz="8" w:space="0" w:color="auto"/>
            </w:tcBorders>
            <w:shd w:val="clear" w:color="auto" w:fill="auto"/>
            <w:vAlign w:val="center"/>
            <w:hideMark/>
          </w:tcPr>
          <w:p w14:paraId="157203D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w:t>
            </w:r>
          </w:p>
        </w:tc>
        <w:tc>
          <w:tcPr>
            <w:tcW w:w="3119" w:type="dxa"/>
            <w:tcBorders>
              <w:top w:val="nil"/>
              <w:left w:val="nil"/>
              <w:bottom w:val="single" w:sz="8" w:space="0" w:color="auto"/>
              <w:right w:val="single" w:sz="8" w:space="0" w:color="auto"/>
            </w:tcBorders>
            <w:shd w:val="clear" w:color="auto" w:fill="auto"/>
            <w:vAlign w:val="center"/>
            <w:hideMark/>
          </w:tcPr>
          <w:p w14:paraId="52097D0F"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Evaluación promedio de satisfacción con la gestión del municipio en deporte</w:t>
            </w:r>
          </w:p>
        </w:tc>
        <w:tc>
          <w:tcPr>
            <w:tcW w:w="1134" w:type="dxa"/>
            <w:tcBorders>
              <w:top w:val="nil"/>
              <w:left w:val="nil"/>
              <w:bottom w:val="single" w:sz="8" w:space="0" w:color="auto"/>
              <w:right w:val="single" w:sz="8" w:space="0" w:color="auto"/>
            </w:tcBorders>
            <w:shd w:val="clear" w:color="auto" w:fill="auto"/>
            <w:vAlign w:val="center"/>
            <w:hideMark/>
          </w:tcPr>
          <w:p w14:paraId="510F864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6.9 (2023)</w:t>
            </w:r>
          </w:p>
        </w:tc>
        <w:tc>
          <w:tcPr>
            <w:tcW w:w="992" w:type="dxa"/>
            <w:tcBorders>
              <w:top w:val="nil"/>
              <w:left w:val="nil"/>
              <w:bottom w:val="single" w:sz="8" w:space="0" w:color="auto"/>
              <w:right w:val="single" w:sz="8" w:space="0" w:color="auto"/>
            </w:tcBorders>
            <w:shd w:val="clear" w:color="auto" w:fill="auto"/>
            <w:vAlign w:val="center"/>
            <w:hideMark/>
          </w:tcPr>
          <w:p w14:paraId="5B9E7BB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7.2</w:t>
            </w:r>
          </w:p>
        </w:tc>
        <w:tc>
          <w:tcPr>
            <w:tcW w:w="1417" w:type="dxa"/>
            <w:tcBorders>
              <w:top w:val="nil"/>
              <w:left w:val="nil"/>
              <w:bottom w:val="single" w:sz="8" w:space="0" w:color="auto"/>
              <w:right w:val="single" w:sz="8" w:space="0" w:color="auto"/>
            </w:tcBorders>
            <w:shd w:val="clear" w:color="auto" w:fill="auto"/>
            <w:vAlign w:val="center"/>
            <w:hideMark/>
          </w:tcPr>
          <w:p w14:paraId="69FC672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Hermosillo ¿Cómo Vamos?, Encuesta de Percepción Ciudadana</w:t>
            </w:r>
          </w:p>
        </w:tc>
        <w:tc>
          <w:tcPr>
            <w:tcW w:w="890" w:type="dxa"/>
            <w:tcBorders>
              <w:top w:val="nil"/>
              <w:left w:val="nil"/>
              <w:bottom w:val="single" w:sz="8" w:space="0" w:color="auto"/>
              <w:right w:val="single" w:sz="8" w:space="0" w:color="auto"/>
            </w:tcBorders>
            <w:shd w:val="clear" w:color="auto" w:fill="auto"/>
            <w:noWrap/>
            <w:vAlign w:val="center"/>
            <w:hideMark/>
          </w:tcPr>
          <w:p w14:paraId="130F31C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6766ECA1"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3F0A9A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69</w:t>
            </w:r>
          </w:p>
        </w:tc>
        <w:tc>
          <w:tcPr>
            <w:tcW w:w="793" w:type="dxa"/>
            <w:tcBorders>
              <w:top w:val="nil"/>
              <w:left w:val="nil"/>
              <w:bottom w:val="single" w:sz="8" w:space="0" w:color="auto"/>
              <w:right w:val="single" w:sz="8" w:space="0" w:color="auto"/>
            </w:tcBorders>
            <w:shd w:val="clear" w:color="auto" w:fill="auto"/>
            <w:vAlign w:val="center"/>
            <w:hideMark/>
          </w:tcPr>
          <w:p w14:paraId="52A9806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w:t>
            </w:r>
          </w:p>
        </w:tc>
        <w:tc>
          <w:tcPr>
            <w:tcW w:w="3119" w:type="dxa"/>
            <w:tcBorders>
              <w:top w:val="nil"/>
              <w:left w:val="nil"/>
              <w:bottom w:val="single" w:sz="8" w:space="0" w:color="auto"/>
              <w:right w:val="single" w:sz="8" w:space="0" w:color="auto"/>
            </w:tcBorders>
            <w:shd w:val="clear" w:color="auto" w:fill="auto"/>
            <w:vAlign w:val="center"/>
            <w:hideMark/>
          </w:tcPr>
          <w:p w14:paraId="4BAFB83F"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Variación porcentual de los nuevos casos de dengue de Hermosillo</w:t>
            </w:r>
          </w:p>
        </w:tc>
        <w:tc>
          <w:tcPr>
            <w:tcW w:w="1134" w:type="dxa"/>
            <w:tcBorders>
              <w:top w:val="nil"/>
              <w:left w:val="nil"/>
              <w:bottom w:val="single" w:sz="8" w:space="0" w:color="auto"/>
              <w:right w:val="single" w:sz="8" w:space="0" w:color="auto"/>
            </w:tcBorders>
            <w:shd w:val="clear" w:color="auto" w:fill="auto"/>
            <w:vAlign w:val="center"/>
            <w:hideMark/>
          </w:tcPr>
          <w:p w14:paraId="2F3C380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343D668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w:t>
            </w:r>
          </w:p>
        </w:tc>
        <w:tc>
          <w:tcPr>
            <w:tcW w:w="1417" w:type="dxa"/>
            <w:tcBorders>
              <w:top w:val="nil"/>
              <w:left w:val="nil"/>
              <w:bottom w:val="single" w:sz="8" w:space="0" w:color="auto"/>
              <w:right w:val="single" w:sz="8" w:space="0" w:color="auto"/>
            </w:tcBorders>
            <w:shd w:val="clear" w:color="auto" w:fill="auto"/>
            <w:vAlign w:val="center"/>
            <w:hideMark/>
          </w:tcPr>
          <w:p w14:paraId="32929BD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Salud Pública</w:t>
            </w:r>
          </w:p>
        </w:tc>
        <w:tc>
          <w:tcPr>
            <w:tcW w:w="890" w:type="dxa"/>
            <w:tcBorders>
              <w:top w:val="nil"/>
              <w:left w:val="nil"/>
              <w:bottom w:val="single" w:sz="8" w:space="0" w:color="auto"/>
              <w:right w:val="single" w:sz="8" w:space="0" w:color="auto"/>
            </w:tcBorders>
            <w:shd w:val="clear" w:color="auto" w:fill="auto"/>
            <w:noWrap/>
            <w:vAlign w:val="center"/>
            <w:hideMark/>
          </w:tcPr>
          <w:p w14:paraId="3D7232D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AC954BC"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290B84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70</w:t>
            </w:r>
          </w:p>
        </w:tc>
        <w:tc>
          <w:tcPr>
            <w:tcW w:w="793" w:type="dxa"/>
            <w:tcBorders>
              <w:top w:val="nil"/>
              <w:left w:val="nil"/>
              <w:bottom w:val="single" w:sz="8" w:space="0" w:color="auto"/>
              <w:right w:val="single" w:sz="8" w:space="0" w:color="auto"/>
            </w:tcBorders>
            <w:shd w:val="clear" w:color="auto" w:fill="auto"/>
            <w:vAlign w:val="center"/>
            <w:hideMark/>
          </w:tcPr>
          <w:p w14:paraId="34FA42D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w:t>
            </w:r>
          </w:p>
        </w:tc>
        <w:tc>
          <w:tcPr>
            <w:tcW w:w="3119" w:type="dxa"/>
            <w:tcBorders>
              <w:top w:val="nil"/>
              <w:left w:val="nil"/>
              <w:bottom w:val="single" w:sz="8" w:space="0" w:color="auto"/>
              <w:right w:val="single" w:sz="8" w:space="0" w:color="auto"/>
            </w:tcBorders>
            <w:shd w:val="clear" w:color="auto" w:fill="auto"/>
            <w:vAlign w:val="center"/>
            <w:hideMark/>
          </w:tcPr>
          <w:p w14:paraId="7FE279FB"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población vulnerable del área urbana del Municipio de Hermosillo beneficiada (en programas sociales)</w:t>
            </w:r>
          </w:p>
        </w:tc>
        <w:tc>
          <w:tcPr>
            <w:tcW w:w="1134" w:type="dxa"/>
            <w:tcBorders>
              <w:top w:val="nil"/>
              <w:left w:val="nil"/>
              <w:bottom w:val="single" w:sz="8" w:space="0" w:color="auto"/>
              <w:right w:val="single" w:sz="8" w:space="0" w:color="auto"/>
            </w:tcBorders>
            <w:shd w:val="clear" w:color="auto" w:fill="auto"/>
            <w:vAlign w:val="center"/>
            <w:hideMark/>
          </w:tcPr>
          <w:p w14:paraId="2E6E908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62AAD50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50%</w:t>
            </w:r>
          </w:p>
        </w:tc>
        <w:tc>
          <w:tcPr>
            <w:tcW w:w="1417" w:type="dxa"/>
            <w:tcBorders>
              <w:top w:val="nil"/>
              <w:left w:val="nil"/>
              <w:bottom w:val="single" w:sz="8" w:space="0" w:color="auto"/>
              <w:right w:val="single" w:sz="8" w:space="0" w:color="auto"/>
            </w:tcBorders>
            <w:shd w:val="clear" w:color="auto" w:fill="auto"/>
            <w:vAlign w:val="center"/>
            <w:hideMark/>
          </w:tcPr>
          <w:p w14:paraId="4EBAFC1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Participación Ciudadana</w:t>
            </w:r>
          </w:p>
        </w:tc>
        <w:tc>
          <w:tcPr>
            <w:tcW w:w="890" w:type="dxa"/>
            <w:tcBorders>
              <w:top w:val="nil"/>
              <w:left w:val="nil"/>
              <w:bottom w:val="single" w:sz="8" w:space="0" w:color="auto"/>
              <w:right w:val="single" w:sz="8" w:space="0" w:color="auto"/>
            </w:tcBorders>
            <w:shd w:val="clear" w:color="auto" w:fill="auto"/>
            <w:vAlign w:val="center"/>
            <w:hideMark/>
          </w:tcPr>
          <w:p w14:paraId="76656E3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E69AE1F"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8C485D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71</w:t>
            </w:r>
          </w:p>
        </w:tc>
        <w:tc>
          <w:tcPr>
            <w:tcW w:w="793" w:type="dxa"/>
            <w:tcBorders>
              <w:top w:val="nil"/>
              <w:left w:val="nil"/>
              <w:bottom w:val="single" w:sz="8" w:space="0" w:color="auto"/>
              <w:right w:val="single" w:sz="8" w:space="0" w:color="auto"/>
            </w:tcBorders>
            <w:shd w:val="clear" w:color="auto" w:fill="auto"/>
            <w:vAlign w:val="center"/>
            <w:hideMark/>
          </w:tcPr>
          <w:p w14:paraId="765059C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w:t>
            </w:r>
          </w:p>
        </w:tc>
        <w:tc>
          <w:tcPr>
            <w:tcW w:w="3119" w:type="dxa"/>
            <w:tcBorders>
              <w:top w:val="nil"/>
              <w:left w:val="nil"/>
              <w:bottom w:val="single" w:sz="8" w:space="0" w:color="auto"/>
              <w:right w:val="single" w:sz="8" w:space="0" w:color="auto"/>
            </w:tcBorders>
            <w:shd w:val="clear" w:color="auto" w:fill="auto"/>
            <w:vAlign w:val="center"/>
            <w:hideMark/>
          </w:tcPr>
          <w:p w14:paraId="0390459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la realización de acciones para contribuir a la ejecución de programas y fondos federales</w:t>
            </w:r>
          </w:p>
        </w:tc>
        <w:tc>
          <w:tcPr>
            <w:tcW w:w="1134" w:type="dxa"/>
            <w:tcBorders>
              <w:top w:val="nil"/>
              <w:left w:val="nil"/>
              <w:bottom w:val="single" w:sz="8" w:space="0" w:color="auto"/>
              <w:right w:val="single" w:sz="8" w:space="0" w:color="auto"/>
            </w:tcBorders>
            <w:shd w:val="clear" w:color="auto" w:fill="auto"/>
            <w:vAlign w:val="center"/>
            <w:hideMark/>
          </w:tcPr>
          <w:p w14:paraId="50CA6AB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006D363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70%</w:t>
            </w:r>
          </w:p>
        </w:tc>
        <w:tc>
          <w:tcPr>
            <w:tcW w:w="1417" w:type="dxa"/>
            <w:tcBorders>
              <w:top w:val="nil"/>
              <w:left w:val="nil"/>
              <w:bottom w:val="single" w:sz="8" w:space="0" w:color="auto"/>
              <w:right w:val="single" w:sz="8" w:space="0" w:color="auto"/>
            </w:tcBorders>
            <w:shd w:val="clear" w:color="auto" w:fill="auto"/>
            <w:vAlign w:val="center"/>
            <w:hideMark/>
          </w:tcPr>
          <w:p w14:paraId="78C6A5B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Participación Ciudadana</w:t>
            </w:r>
          </w:p>
        </w:tc>
        <w:tc>
          <w:tcPr>
            <w:tcW w:w="890" w:type="dxa"/>
            <w:tcBorders>
              <w:top w:val="nil"/>
              <w:left w:val="nil"/>
              <w:bottom w:val="single" w:sz="8" w:space="0" w:color="auto"/>
              <w:right w:val="single" w:sz="8" w:space="0" w:color="auto"/>
            </w:tcBorders>
            <w:shd w:val="clear" w:color="auto" w:fill="auto"/>
            <w:vAlign w:val="center"/>
            <w:hideMark/>
          </w:tcPr>
          <w:p w14:paraId="77D12CD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D394C4F"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7499BB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72</w:t>
            </w:r>
          </w:p>
        </w:tc>
        <w:tc>
          <w:tcPr>
            <w:tcW w:w="793" w:type="dxa"/>
            <w:tcBorders>
              <w:top w:val="nil"/>
              <w:left w:val="nil"/>
              <w:bottom w:val="single" w:sz="8" w:space="0" w:color="auto"/>
              <w:right w:val="single" w:sz="8" w:space="0" w:color="auto"/>
            </w:tcBorders>
            <w:shd w:val="clear" w:color="auto" w:fill="auto"/>
            <w:vAlign w:val="center"/>
            <w:hideMark/>
          </w:tcPr>
          <w:p w14:paraId="3DE703F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w:t>
            </w:r>
          </w:p>
        </w:tc>
        <w:tc>
          <w:tcPr>
            <w:tcW w:w="3119" w:type="dxa"/>
            <w:tcBorders>
              <w:top w:val="nil"/>
              <w:left w:val="nil"/>
              <w:bottom w:val="single" w:sz="8" w:space="0" w:color="auto"/>
              <w:right w:val="single" w:sz="8" w:space="0" w:color="auto"/>
            </w:tcBorders>
            <w:shd w:val="clear" w:color="auto" w:fill="auto"/>
            <w:vAlign w:val="center"/>
            <w:hideMark/>
          </w:tcPr>
          <w:p w14:paraId="628FB75A" w14:textId="4D21F561"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Variación porcentual en la participación ciudadana en la jornada de votación del programa "Presupuesto CRECES"</w:t>
            </w:r>
          </w:p>
        </w:tc>
        <w:tc>
          <w:tcPr>
            <w:tcW w:w="1134" w:type="dxa"/>
            <w:tcBorders>
              <w:top w:val="nil"/>
              <w:left w:val="nil"/>
              <w:bottom w:val="single" w:sz="8" w:space="0" w:color="auto"/>
              <w:right w:val="single" w:sz="8" w:space="0" w:color="auto"/>
            </w:tcBorders>
            <w:shd w:val="clear" w:color="auto" w:fill="auto"/>
            <w:vAlign w:val="center"/>
            <w:hideMark/>
          </w:tcPr>
          <w:p w14:paraId="3E79E05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64A16CD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w:t>
            </w:r>
          </w:p>
        </w:tc>
        <w:tc>
          <w:tcPr>
            <w:tcW w:w="1417" w:type="dxa"/>
            <w:tcBorders>
              <w:top w:val="nil"/>
              <w:left w:val="nil"/>
              <w:bottom w:val="single" w:sz="8" w:space="0" w:color="auto"/>
              <w:right w:val="single" w:sz="8" w:space="0" w:color="auto"/>
            </w:tcBorders>
            <w:shd w:val="clear" w:color="auto" w:fill="auto"/>
            <w:vAlign w:val="center"/>
            <w:hideMark/>
          </w:tcPr>
          <w:p w14:paraId="1FD91CC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Participación Ciudadana</w:t>
            </w:r>
          </w:p>
        </w:tc>
        <w:tc>
          <w:tcPr>
            <w:tcW w:w="890" w:type="dxa"/>
            <w:tcBorders>
              <w:top w:val="nil"/>
              <w:left w:val="nil"/>
              <w:bottom w:val="single" w:sz="8" w:space="0" w:color="auto"/>
              <w:right w:val="single" w:sz="8" w:space="0" w:color="auto"/>
            </w:tcBorders>
            <w:shd w:val="clear" w:color="auto" w:fill="auto"/>
            <w:vAlign w:val="center"/>
            <w:hideMark/>
          </w:tcPr>
          <w:p w14:paraId="6732636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5FB3761"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A316D3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73</w:t>
            </w:r>
          </w:p>
        </w:tc>
        <w:tc>
          <w:tcPr>
            <w:tcW w:w="793" w:type="dxa"/>
            <w:tcBorders>
              <w:top w:val="nil"/>
              <w:left w:val="nil"/>
              <w:bottom w:val="single" w:sz="8" w:space="0" w:color="auto"/>
              <w:right w:val="single" w:sz="8" w:space="0" w:color="auto"/>
            </w:tcBorders>
            <w:shd w:val="clear" w:color="auto" w:fill="auto"/>
            <w:vAlign w:val="center"/>
            <w:hideMark/>
          </w:tcPr>
          <w:p w14:paraId="5537636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w:t>
            </w:r>
          </w:p>
        </w:tc>
        <w:tc>
          <w:tcPr>
            <w:tcW w:w="3119" w:type="dxa"/>
            <w:tcBorders>
              <w:top w:val="nil"/>
              <w:left w:val="nil"/>
              <w:bottom w:val="single" w:sz="8" w:space="0" w:color="auto"/>
              <w:right w:val="single" w:sz="8" w:space="0" w:color="auto"/>
            </w:tcBorders>
            <w:shd w:val="clear" w:color="auto" w:fill="auto"/>
            <w:vAlign w:val="center"/>
            <w:hideMark/>
          </w:tcPr>
          <w:p w14:paraId="48EDDFB4"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jóvenes apoyados con iniciativas promovidas para su desarrollo integral. </w:t>
            </w:r>
          </w:p>
        </w:tc>
        <w:tc>
          <w:tcPr>
            <w:tcW w:w="1134" w:type="dxa"/>
            <w:tcBorders>
              <w:top w:val="nil"/>
              <w:left w:val="nil"/>
              <w:bottom w:val="single" w:sz="8" w:space="0" w:color="auto"/>
              <w:right w:val="single" w:sz="8" w:space="0" w:color="auto"/>
            </w:tcBorders>
            <w:shd w:val="clear" w:color="auto" w:fill="auto"/>
            <w:vAlign w:val="center"/>
            <w:hideMark/>
          </w:tcPr>
          <w:p w14:paraId="68ABE27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251AF20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1417" w:type="dxa"/>
            <w:tcBorders>
              <w:top w:val="nil"/>
              <w:left w:val="nil"/>
              <w:bottom w:val="single" w:sz="8" w:space="0" w:color="auto"/>
              <w:right w:val="single" w:sz="8" w:space="0" w:color="auto"/>
            </w:tcBorders>
            <w:shd w:val="clear" w:color="auto" w:fill="auto"/>
            <w:vAlign w:val="center"/>
            <w:hideMark/>
          </w:tcPr>
          <w:p w14:paraId="15C3BC6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Dirección General de Participación Ciudadana</w:t>
            </w:r>
          </w:p>
        </w:tc>
        <w:tc>
          <w:tcPr>
            <w:tcW w:w="890" w:type="dxa"/>
            <w:tcBorders>
              <w:top w:val="nil"/>
              <w:left w:val="nil"/>
              <w:bottom w:val="single" w:sz="8" w:space="0" w:color="auto"/>
              <w:right w:val="single" w:sz="8" w:space="0" w:color="auto"/>
            </w:tcBorders>
            <w:shd w:val="clear" w:color="auto" w:fill="auto"/>
            <w:vAlign w:val="center"/>
            <w:hideMark/>
          </w:tcPr>
          <w:p w14:paraId="111E93C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7DD4BDC1"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1883D2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74</w:t>
            </w:r>
          </w:p>
        </w:tc>
        <w:tc>
          <w:tcPr>
            <w:tcW w:w="793" w:type="dxa"/>
            <w:tcBorders>
              <w:top w:val="nil"/>
              <w:left w:val="nil"/>
              <w:bottom w:val="single" w:sz="8" w:space="0" w:color="auto"/>
              <w:right w:val="single" w:sz="8" w:space="0" w:color="auto"/>
            </w:tcBorders>
            <w:shd w:val="clear" w:color="auto" w:fill="auto"/>
            <w:vAlign w:val="center"/>
            <w:hideMark/>
          </w:tcPr>
          <w:p w14:paraId="52A00FB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61879893"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percepción de efectividad que el gobierno de la ciudad tiene para resolver problemáticas (algo o muy efectivo)</w:t>
            </w:r>
          </w:p>
        </w:tc>
        <w:tc>
          <w:tcPr>
            <w:tcW w:w="1134" w:type="dxa"/>
            <w:tcBorders>
              <w:top w:val="nil"/>
              <w:left w:val="nil"/>
              <w:bottom w:val="single" w:sz="8" w:space="0" w:color="auto"/>
              <w:right w:val="single" w:sz="8" w:space="0" w:color="auto"/>
            </w:tcBorders>
            <w:shd w:val="clear" w:color="auto" w:fill="auto"/>
            <w:vAlign w:val="center"/>
            <w:hideMark/>
          </w:tcPr>
          <w:p w14:paraId="29F528F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39.1 (III 2024)</w:t>
            </w:r>
          </w:p>
        </w:tc>
        <w:tc>
          <w:tcPr>
            <w:tcW w:w="992" w:type="dxa"/>
            <w:tcBorders>
              <w:top w:val="nil"/>
              <w:left w:val="nil"/>
              <w:bottom w:val="single" w:sz="8" w:space="0" w:color="auto"/>
              <w:right w:val="single" w:sz="8" w:space="0" w:color="auto"/>
            </w:tcBorders>
            <w:shd w:val="clear" w:color="auto" w:fill="auto"/>
            <w:vAlign w:val="center"/>
            <w:hideMark/>
          </w:tcPr>
          <w:p w14:paraId="3D31D60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42</w:t>
            </w:r>
          </w:p>
        </w:tc>
        <w:tc>
          <w:tcPr>
            <w:tcW w:w="1417" w:type="dxa"/>
            <w:tcBorders>
              <w:top w:val="nil"/>
              <w:left w:val="nil"/>
              <w:bottom w:val="single" w:sz="8" w:space="0" w:color="auto"/>
              <w:right w:val="single" w:sz="8" w:space="0" w:color="auto"/>
            </w:tcBorders>
            <w:shd w:val="clear" w:color="auto" w:fill="auto"/>
            <w:vAlign w:val="center"/>
            <w:hideMark/>
          </w:tcPr>
          <w:p w14:paraId="3BED019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(ENSU)</w:t>
            </w:r>
          </w:p>
        </w:tc>
        <w:tc>
          <w:tcPr>
            <w:tcW w:w="890" w:type="dxa"/>
            <w:tcBorders>
              <w:top w:val="nil"/>
              <w:left w:val="nil"/>
              <w:bottom w:val="single" w:sz="8" w:space="0" w:color="auto"/>
              <w:right w:val="single" w:sz="8" w:space="0" w:color="auto"/>
            </w:tcBorders>
            <w:shd w:val="clear" w:color="auto" w:fill="auto"/>
            <w:vAlign w:val="center"/>
            <w:hideMark/>
          </w:tcPr>
          <w:p w14:paraId="0E62F46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C9B2B96"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5807FB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75</w:t>
            </w:r>
          </w:p>
        </w:tc>
        <w:tc>
          <w:tcPr>
            <w:tcW w:w="793" w:type="dxa"/>
            <w:tcBorders>
              <w:top w:val="nil"/>
              <w:left w:val="nil"/>
              <w:bottom w:val="single" w:sz="8" w:space="0" w:color="auto"/>
              <w:right w:val="single" w:sz="8" w:space="0" w:color="auto"/>
            </w:tcBorders>
            <w:shd w:val="clear" w:color="auto" w:fill="auto"/>
            <w:vAlign w:val="center"/>
            <w:hideMark/>
          </w:tcPr>
          <w:p w14:paraId="0DB13B6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634155D4"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Calificación de confianza en el gobierno municipal </w:t>
            </w:r>
          </w:p>
        </w:tc>
        <w:tc>
          <w:tcPr>
            <w:tcW w:w="1134" w:type="dxa"/>
            <w:tcBorders>
              <w:top w:val="nil"/>
              <w:left w:val="nil"/>
              <w:bottom w:val="single" w:sz="8" w:space="0" w:color="auto"/>
              <w:right w:val="single" w:sz="8" w:space="0" w:color="auto"/>
            </w:tcBorders>
            <w:shd w:val="clear" w:color="auto" w:fill="auto"/>
            <w:vAlign w:val="center"/>
            <w:hideMark/>
          </w:tcPr>
          <w:p w14:paraId="5C869DA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6.0 (2023)</w:t>
            </w:r>
          </w:p>
        </w:tc>
        <w:tc>
          <w:tcPr>
            <w:tcW w:w="992" w:type="dxa"/>
            <w:tcBorders>
              <w:top w:val="nil"/>
              <w:left w:val="nil"/>
              <w:bottom w:val="single" w:sz="8" w:space="0" w:color="auto"/>
              <w:right w:val="single" w:sz="8" w:space="0" w:color="auto"/>
            </w:tcBorders>
            <w:shd w:val="clear" w:color="auto" w:fill="auto"/>
            <w:vAlign w:val="center"/>
            <w:hideMark/>
          </w:tcPr>
          <w:p w14:paraId="335BD2C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6.2</w:t>
            </w:r>
          </w:p>
        </w:tc>
        <w:tc>
          <w:tcPr>
            <w:tcW w:w="1417" w:type="dxa"/>
            <w:tcBorders>
              <w:top w:val="nil"/>
              <w:left w:val="nil"/>
              <w:bottom w:val="single" w:sz="8" w:space="0" w:color="auto"/>
              <w:right w:val="single" w:sz="8" w:space="0" w:color="auto"/>
            </w:tcBorders>
            <w:shd w:val="clear" w:color="auto" w:fill="auto"/>
            <w:vAlign w:val="center"/>
            <w:hideMark/>
          </w:tcPr>
          <w:p w14:paraId="64B13F4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7ED6839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50525F6F"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7E411F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lastRenderedPageBreak/>
              <w:t>76</w:t>
            </w:r>
          </w:p>
        </w:tc>
        <w:tc>
          <w:tcPr>
            <w:tcW w:w="793" w:type="dxa"/>
            <w:tcBorders>
              <w:top w:val="nil"/>
              <w:left w:val="nil"/>
              <w:bottom w:val="single" w:sz="8" w:space="0" w:color="auto"/>
              <w:right w:val="single" w:sz="8" w:space="0" w:color="auto"/>
            </w:tcBorders>
            <w:shd w:val="clear" w:color="auto" w:fill="auto"/>
            <w:vAlign w:val="center"/>
            <w:hideMark/>
          </w:tcPr>
          <w:p w14:paraId="139280A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765E88E4"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la población de 18 años y más satisfecho con los servicios provistos por el municipio</w:t>
            </w:r>
          </w:p>
        </w:tc>
        <w:tc>
          <w:tcPr>
            <w:tcW w:w="1134" w:type="dxa"/>
            <w:tcBorders>
              <w:top w:val="nil"/>
              <w:left w:val="nil"/>
              <w:bottom w:val="single" w:sz="8" w:space="0" w:color="auto"/>
              <w:right w:val="single" w:sz="8" w:space="0" w:color="auto"/>
            </w:tcBorders>
            <w:shd w:val="clear" w:color="auto" w:fill="auto"/>
            <w:vAlign w:val="center"/>
            <w:hideMark/>
          </w:tcPr>
          <w:p w14:paraId="23B6873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55.2 (2023)</w:t>
            </w:r>
          </w:p>
        </w:tc>
        <w:tc>
          <w:tcPr>
            <w:tcW w:w="992" w:type="dxa"/>
            <w:tcBorders>
              <w:top w:val="nil"/>
              <w:left w:val="nil"/>
              <w:bottom w:val="single" w:sz="8" w:space="0" w:color="auto"/>
              <w:right w:val="single" w:sz="8" w:space="0" w:color="auto"/>
            </w:tcBorders>
            <w:shd w:val="clear" w:color="auto" w:fill="auto"/>
            <w:vAlign w:val="center"/>
            <w:hideMark/>
          </w:tcPr>
          <w:p w14:paraId="2C6D401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58</w:t>
            </w:r>
          </w:p>
        </w:tc>
        <w:tc>
          <w:tcPr>
            <w:tcW w:w="1417" w:type="dxa"/>
            <w:tcBorders>
              <w:top w:val="nil"/>
              <w:left w:val="nil"/>
              <w:bottom w:val="single" w:sz="8" w:space="0" w:color="auto"/>
              <w:right w:val="single" w:sz="8" w:space="0" w:color="auto"/>
            </w:tcBorders>
            <w:shd w:val="clear" w:color="auto" w:fill="auto"/>
            <w:vAlign w:val="center"/>
            <w:hideMark/>
          </w:tcPr>
          <w:p w14:paraId="76406B4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INEGI/ ENCIG</w:t>
            </w:r>
          </w:p>
        </w:tc>
        <w:tc>
          <w:tcPr>
            <w:tcW w:w="890" w:type="dxa"/>
            <w:tcBorders>
              <w:top w:val="nil"/>
              <w:left w:val="nil"/>
              <w:bottom w:val="single" w:sz="8" w:space="0" w:color="auto"/>
              <w:right w:val="single" w:sz="8" w:space="0" w:color="auto"/>
            </w:tcBorders>
            <w:shd w:val="clear" w:color="auto" w:fill="auto"/>
            <w:noWrap/>
            <w:vAlign w:val="center"/>
            <w:hideMark/>
          </w:tcPr>
          <w:p w14:paraId="2061449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Bienal</w:t>
            </w:r>
          </w:p>
        </w:tc>
      </w:tr>
      <w:tr w:rsidR="0008162A" w:rsidRPr="0008162A" w14:paraId="548D2063"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323F86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77</w:t>
            </w:r>
          </w:p>
        </w:tc>
        <w:tc>
          <w:tcPr>
            <w:tcW w:w="793" w:type="dxa"/>
            <w:tcBorders>
              <w:top w:val="nil"/>
              <w:left w:val="nil"/>
              <w:bottom w:val="single" w:sz="8" w:space="0" w:color="auto"/>
              <w:right w:val="single" w:sz="8" w:space="0" w:color="auto"/>
            </w:tcBorders>
            <w:shd w:val="clear" w:color="auto" w:fill="auto"/>
            <w:vAlign w:val="center"/>
            <w:hideMark/>
          </w:tcPr>
          <w:p w14:paraId="15FE0B9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4E0EACB1"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Índice de implementación del PbR-SED</w:t>
            </w:r>
          </w:p>
        </w:tc>
        <w:tc>
          <w:tcPr>
            <w:tcW w:w="1134" w:type="dxa"/>
            <w:tcBorders>
              <w:top w:val="nil"/>
              <w:left w:val="nil"/>
              <w:bottom w:val="single" w:sz="8" w:space="0" w:color="auto"/>
              <w:right w:val="single" w:sz="8" w:space="0" w:color="auto"/>
            </w:tcBorders>
            <w:shd w:val="clear" w:color="auto" w:fill="auto"/>
            <w:vAlign w:val="center"/>
            <w:hideMark/>
          </w:tcPr>
          <w:p w14:paraId="2403EC2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71.5 (2024)</w:t>
            </w:r>
          </w:p>
        </w:tc>
        <w:tc>
          <w:tcPr>
            <w:tcW w:w="992" w:type="dxa"/>
            <w:tcBorders>
              <w:top w:val="nil"/>
              <w:left w:val="nil"/>
              <w:bottom w:val="single" w:sz="8" w:space="0" w:color="auto"/>
              <w:right w:val="single" w:sz="8" w:space="0" w:color="auto"/>
            </w:tcBorders>
            <w:shd w:val="clear" w:color="auto" w:fill="auto"/>
            <w:vAlign w:val="center"/>
            <w:hideMark/>
          </w:tcPr>
          <w:p w14:paraId="4588471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74</w:t>
            </w:r>
          </w:p>
        </w:tc>
        <w:tc>
          <w:tcPr>
            <w:tcW w:w="1417" w:type="dxa"/>
            <w:tcBorders>
              <w:top w:val="nil"/>
              <w:left w:val="nil"/>
              <w:bottom w:val="single" w:sz="8" w:space="0" w:color="auto"/>
              <w:right w:val="single" w:sz="8" w:space="0" w:color="auto"/>
            </w:tcBorders>
            <w:shd w:val="clear" w:color="auto" w:fill="auto"/>
            <w:vAlign w:val="center"/>
            <w:hideMark/>
          </w:tcPr>
          <w:p w14:paraId="181B7DB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Secretaría de Hacienda</w:t>
            </w:r>
          </w:p>
        </w:tc>
        <w:tc>
          <w:tcPr>
            <w:tcW w:w="890" w:type="dxa"/>
            <w:tcBorders>
              <w:top w:val="nil"/>
              <w:left w:val="nil"/>
              <w:bottom w:val="single" w:sz="8" w:space="0" w:color="auto"/>
              <w:right w:val="single" w:sz="8" w:space="0" w:color="auto"/>
            </w:tcBorders>
            <w:shd w:val="clear" w:color="auto" w:fill="auto"/>
            <w:noWrap/>
            <w:vAlign w:val="center"/>
            <w:hideMark/>
          </w:tcPr>
          <w:p w14:paraId="71B3B3B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43B9C478" w14:textId="77777777" w:rsidTr="0008162A">
        <w:trPr>
          <w:trHeight w:val="144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52048B0"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78</w:t>
            </w:r>
          </w:p>
        </w:tc>
        <w:tc>
          <w:tcPr>
            <w:tcW w:w="793" w:type="dxa"/>
            <w:tcBorders>
              <w:top w:val="nil"/>
              <w:left w:val="nil"/>
              <w:bottom w:val="single" w:sz="8" w:space="0" w:color="auto"/>
              <w:right w:val="single" w:sz="8" w:space="0" w:color="auto"/>
            </w:tcBorders>
            <w:shd w:val="clear" w:color="auto" w:fill="auto"/>
            <w:vAlign w:val="center"/>
            <w:hideMark/>
          </w:tcPr>
          <w:p w14:paraId="02914FC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1BAF0001"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Semáforo del sistema de alertas de la deuda pública municipal</w:t>
            </w:r>
          </w:p>
        </w:tc>
        <w:tc>
          <w:tcPr>
            <w:tcW w:w="1134" w:type="dxa"/>
            <w:tcBorders>
              <w:top w:val="nil"/>
              <w:left w:val="nil"/>
              <w:bottom w:val="single" w:sz="8" w:space="0" w:color="auto"/>
              <w:right w:val="single" w:sz="8" w:space="0" w:color="auto"/>
            </w:tcBorders>
            <w:shd w:val="clear" w:color="auto" w:fill="auto"/>
            <w:vAlign w:val="center"/>
            <w:hideMark/>
          </w:tcPr>
          <w:p w14:paraId="239FF75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Endeudamiento sostenible</w:t>
            </w:r>
          </w:p>
        </w:tc>
        <w:tc>
          <w:tcPr>
            <w:tcW w:w="992" w:type="dxa"/>
            <w:tcBorders>
              <w:top w:val="nil"/>
              <w:left w:val="nil"/>
              <w:bottom w:val="single" w:sz="8" w:space="0" w:color="auto"/>
              <w:right w:val="single" w:sz="8" w:space="0" w:color="auto"/>
            </w:tcBorders>
            <w:shd w:val="clear" w:color="auto" w:fill="auto"/>
            <w:vAlign w:val="center"/>
            <w:hideMark/>
          </w:tcPr>
          <w:p w14:paraId="4AE182D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Endeudamiento sostenible</w:t>
            </w:r>
          </w:p>
        </w:tc>
        <w:tc>
          <w:tcPr>
            <w:tcW w:w="1417" w:type="dxa"/>
            <w:tcBorders>
              <w:top w:val="nil"/>
              <w:left w:val="nil"/>
              <w:bottom w:val="single" w:sz="8" w:space="0" w:color="auto"/>
              <w:right w:val="single" w:sz="8" w:space="0" w:color="auto"/>
            </w:tcBorders>
            <w:shd w:val="clear" w:color="auto" w:fill="auto"/>
            <w:vAlign w:val="center"/>
            <w:hideMark/>
          </w:tcPr>
          <w:p w14:paraId="4864C2E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SHCP</w:t>
            </w:r>
          </w:p>
        </w:tc>
        <w:tc>
          <w:tcPr>
            <w:tcW w:w="890" w:type="dxa"/>
            <w:tcBorders>
              <w:top w:val="nil"/>
              <w:left w:val="nil"/>
              <w:bottom w:val="single" w:sz="8" w:space="0" w:color="auto"/>
              <w:right w:val="single" w:sz="8" w:space="0" w:color="auto"/>
            </w:tcBorders>
            <w:shd w:val="clear" w:color="auto" w:fill="auto"/>
            <w:noWrap/>
            <w:vAlign w:val="center"/>
            <w:hideMark/>
          </w:tcPr>
          <w:p w14:paraId="5C95E11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818EBC2"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8B2F77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79</w:t>
            </w:r>
          </w:p>
        </w:tc>
        <w:tc>
          <w:tcPr>
            <w:tcW w:w="793" w:type="dxa"/>
            <w:tcBorders>
              <w:top w:val="nil"/>
              <w:left w:val="nil"/>
              <w:bottom w:val="single" w:sz="8" w:space="0" w:color="auto"/>
              <w:right w:val="single" w:sz="8" w:space="0" w:color="auto"/>
            </w:tcBorders>
            <w:shd w:val="clear" w:color="auto" w:fill="auto"/>
            <w:vAlign w:val="center"/>
            <w:hideMark/>
          </w:tcPr>
          <w:p w14:paraId="14CBD80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6B2BA244" w14:textId="0729BF63"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observaciones sin solventar al momento del cierre de la cuenta pública</w:t>
            </w:r>
          </w:p>
        </w:tc>
        <w:tc>
          <w:tcPr>
            <w:tcW w:w="1134" w:type="dxa"/>
            <w:tcBorders>
              <w:top w:val="nil"/>
              <w:left w:val="nil"/>
              <w:bottom w:val="single" w:sz="8" w:space="0" w:color="auto"/>
              <w:right w:val="single" w:sz="8" w:space="0" w:color="auto"/>
            </w:tcBorders>
            <w:shd w:val="clear" w:color="auto" w:fill="auto"/>
            <w:vAlign w:val="center"/>
            <w:hideMark/>
          </w:tcPr>
          <w:p w14:paraId="03FCF21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15.2% (2023)</w:t>
            </w:r>
          </w:p>
        </w:tc>
        <w:tc>
          <w:tcPr>
            <w:tcW w:w="992" w:type="dxa"/>
            <w:tcBorders>
              <w:top w:val="nil"/>
              <w:left w:val="nil"/>
              <w:bottom w:val="single" w:sz="8" w:space="0" w:color="auto"/>
              <w:right w:val="single" w:sz="8" w:space="0" w:color="auto"/>
            </w:tcBorders>
            <w:shd w:val="clear" w:color="auto" w:fill="auto"/>
            <w:vAlign w:val="center"/>
            <w:hideMark/>
          </w:tcPr>
          <w:p w14:paraId="19E0C2C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13%</w:t>
            </w:r>
          </w:p>
        </w:tc>
        <w:tc>
          <w:tcPr>
            <w:tcW w:w="1417" w:type="dxa"/>
            <w:tcBorders>
              <w:top w:val="nil"/>
              <w:left w:val="nil"/>
              <w:bottom w:val="single" w:sz="8" w:space="0" w:color="auto"/>
              <w:right w:val="single" w:sz="8" w:space="0" w:color="auto"/>
            </w:tcBorders>
            <w:shd w:val="clear" w:color="auto" w:fill="auto"/>
            <w:vAlign w:val="center"/>
            <w:hideMark/>
          </w:tcPr>
          <w:p w14:paraId="5E9C7B3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ISAF</w:t>
            </w:r>
          </w:p>
        </w:tc>
        <w:tc>
          <w:tcPr>
            <w:tcW w:w="890" w:type="dxa"/>
            <w:tcBorders>
              <w:top w:val="nil"/>
              <w:left w:val="nil"/>
              <w:bottom w:val="single" w:sz="8" w:space="0" w:color="auto"/>
              <w:right w:val="single" w:sz="8" w:space="0" w:color="auto"/>
            </w:tcBorders>
            <w:shd w:val="clear" w:color="auto" w:fill="auto"/>
            <w:noWrap/>
            <w:vAlign w:val="center"/>
            <w:hideMark/>
          </w:tcPr>
          <w:p w14:paraId="342FFF0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4DAC1BB"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F1925C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80</w:t>
            </w:r>
          </w:p>
        </w:tc>
        <w:tc>
          <w:tcPr>
            <w:tcW w:w="793" w:type="dxa"/>
            <w:tcBorders>
              <w:top w:val="nil"/>
              <w:left w:val="nil"/>
              <w:bottom w:val="single" w:sz="8" w:space="0" w:color="auto"/>
              <w:right w:val="single" w:sz="8" w:space="0" w:color="auto"/>
            </w:tcBorders>
            <w:shd w:val="clear" w:color="auto" w:fill="auto"/>
            <w:vAlign w:val="center"/>
            <w:hideMark/>
          </w:tcPr>
          <w:p w14:paraId="52CB14E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53ED4140"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incremento de los ingresos por recaudación de impuesto predial en Hermosillo </w:t>
            </w:r>
          </w:p>
        </w:tc>
        <w:tc>
          <w:tcPr>
            <w:tcW w:w="1134" w:type="dxa"/>
            <w:tcBorders>
              <w:top w:val="nil"/>
              <w:left w:val="nil"/>
              <w:bottom w:val="single" w:sz="8" w:space="0" w:color="auto"/>
              <w:right w:val="single" w:sz="8" w:space="0" w:color="auto"/>
            </w:tcBorders>
            <w:shd w:val="clear" w:color="auto" w:fill="auto"/>
            <w:vAlign w:val="center"/>
            <w:hideMark/>
          </w:tcPr>
          <w:p w14:paraId="4FED069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19.3 (2024)</w:t>
            </w:r>
          </w:p>
        </w:tc>
        <w:tc>
          <w:tcPr>
            <w:tcW w:w="992" w:type="dxa"/>
            <w:tcBorders>
              <w:top w:val="nil"/>
              <w:left w:val="nil"/>
              <w:bottom w:val="single" w:sz="8" w:space="0" w:color="auto"/>
              <w:right w:val="single" w:sz="8" w:space="0" w:color="auto"/>
            </w:tcBorders>
            <w:shd w:val="clear" w:color="auto" w:fill="auto"/>
            <w:vAlign w:val="center"/>
            <w:hideMark/>
          </w:tcPr>
          <w:p w14:paraId="5322E6F6"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w:t>
            </w:r>
          </w:p>
        </w:tc>
        <w:tc>
          <w:tcPr>
            <w:tcW w:w="1417" w:type="dxa"/>
            <w:tcBorders>
              <w:top w:val="nil"/>
              <w:left w:val="nil"/>
              <w:bottom w:val="single" w:sz="8" w:space="0" w:color="auto"/>
              <w:right w:val="single" w:sz="8" w:space="0" w:color="auto"/>
            </w:tcBorders>
            <w:shd w:val="clear" w:color="auto" w:fill="auto"/>
            <w:vAlign w:val="center"/>
            <w:hideMark/>
          </w:tcPr>
          <w:p w14:paraId="7D033AD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Ayuntamiento de Hmo</w:t>
            </w:r>
          </w:p>
        </w:tc>
        <w:tc>
          <w:tcPr>
            <w:tcW w:w="890" w:type="dxa"/>
            <w:tcBorders>
              <w:top w:val="nil"/>
              <w:left w:val="nil"/>
              <w:bottom w:val="single" w:sz="8" w:space="0" w:color="auto"/>
              <w:right w:val="single" w:sz="8" w:space="0" w:color="auto"/>
            </w:tcBorders>
            <w:shd w:val="clear" w:color="auto" w:fill="auto"/>
            <w:noWrap/>
            <w:vAlign w:val="center"/>
            <w:hideMark/>
          </w:tcPr>
          <w:p w14:paraId="7FF625C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17EC364A"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746E8E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81</w:t>
            </w:r>
          </w:p>
        </w:tc>
        <w:tc>
          <w:tcPr>
            <w:tcW w:w="793" w:type="dxa"/>
            <w:tcBorders>
              <w:top w:val="nil"/>
              <w:left w:val="nil"/>
              <w:bottom w:val="single" w:sz="8" w:space="0" w:color="auto"/>
              <w:right w:val="single" w:sz="8" w:space="0" w:color="auto"/>
            </w:tcBorders>
            <w:shd w:val="clear" w:color="auto" w:fill="auto"/>
            <w:vAlign w:val="center"/>
            <w:hideMark/>
          </w:tcPr>
          <w:p w14:paraId="66624BD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6405954F"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Variación porcentual de ahorro en el consumo de energías en los vehículos eléctricos y de gas natural, del Ayuntamiento.</w:t>
            </w:r>
          </w:p>
        </w:tc>
        <w:tc>
          <w:tcPr>
            <w:tcW w:w="1134" w:type="dxa"/>
            <w:tcBorders>
              <w:top w:val="nil"/>
              <w:left w:val="nil"/>
              <w:bottom w:val="single" w:sz="8" w:space="0" w:color="auto"/>
              <w:right w:val="single" w:sz="8" w:space="0" w:color="auto"/>
            </w:tcBorders>
            <w:shd w:val="clear" w:color="auto" w:fill="auto"/>
            <w:vAlign w:val="center"/>
            <w:hideMark/>
          </w:tcPr>
          <w:p w14:paraId="453DD5B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703D658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-20%</w:t>
            </w:r>
          </w:p>
        </w:tc>
        <w:tc>
          <w:tcPr>
            <w:tcW w:w="1417" w:type="dxa"/>
            <w:tcBorders>
              <w:top w:val="nil"/>
              <w:left w:val="nil"/>
              <w:bottom w:val="single" w:sz="8" w:space="0" w:color="auto"/>
              <w:right w:val="single" w:sz="8" w:space="0" w:color="auto"/>
            </w:tcBorders>
            <w:shd w:val="clear" w:color="auto" w:fill="auto"/>
            <w:vAlign w:val="center"/>
            <w:hideMark/>
          </w:tcPr>
          <w:p w14:paraId="7E6E1E1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Oficialía Mayor</w:t>
            </w:r>
          </w:p>
        </w:tc>
        <w:tc>
          <w:tcPr>
            <w:tcW w:w="890" w:type="dxa"/>
            <w:tcBorders>
              <w:top w:val="nil"/>
              <w:left w:val="nil"/>
              <w:bottom w:val="single" w:sz="8" w:space="0" w:color="auto"/>
              <w:right w:val="single" w:sz="8" w:space="0" w:color="auto"/>
            </w:tcBorders>
            <w:shd w:val="clear" w:color="auto" w:fill="auto"/>
            <w:noWrap/>
            <w:vAlign w:val="center"/>
            <w:hideMark/>
          </w:tcPr>
          <w:p w14:paraId="6185AEB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5024B3CA"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BEB617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82</w:t>
            </w:r>
          </w:p>
        </w:tc>
        <w:tc>
          <w:tcPr>
            <w:tcW w:w="793" w:type="dxa"/>
            <w:tcBorders>
              <w:top w:val="nil"/>
              <w:left w:val="nil"/>
              <w:bottom w:val="single" w:sz="8" w:space="0" w:color="auto"/>
              <w:right w:val="single" w:sz="8" w:space="0" w:color="auto"/>
            </w:tcBorders>
            <w:shd w:val="clear" w:color="auto" w:fill="auto"/>
            <w:vAlign w:val="center"/>
            <w:hideMark/>
          </w:tcPr>
          <w:p w14:paraId="7006EEF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550B5B2B"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incremento del total de Ingreso captado</w:t>
            </w:r>
          </w:p>
        </w:tc>
        <w:tc>
          <w:tcPr>
            <w:tcW w:w="1134" w:type="dxa"/>
            <w:tcBorders>
              <w:top w:val="nil"/>
              <w:left w:val="nil"/>
              <w:bottom w:val="single" w:sz="8" w:space="0" w:color="auto"/>
              <w:right w:val="single" w:sz="8" w:space="0" w:color="auto"/>
            </w:tcBorders>
            <w:shd w:val="clear" w:color="auto" w:fill="auto"/>
            <w:vAlign w:val="center"/>
            <w:hideMark/>
          </w:tcPr>
          <w:p w14:paraId="2FB552D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5A36FFBB"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4.00%</w:t>
            </w:r>
          </w:p>
        </w:tc>
        <w:tc>
          <w:tcPr>
            <w:tcW w:w="1417" w:type="dxa"/>
            <w:tcBorders>
              <w:top w:val="nil"/>
              <w:left w:val="nil"/>
              <w:bottom w:val="single" w:sz="8" w:space="0" w:color="auto"/>
              <w:right w:val="single" w:sz="8" w:space="0" w:color="auto"/>
            </w:tcBorders>
            <w:shd w:val="clear" w:color="auto" w:fill="auto"/>
            <w:vAlign w:val="center"/>
            <w:hideMark/>
          </w:tcPr>
          <w:p w14:paraId="0AFD80A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Cuenta Pública del Ayuntamiento de Hermosillo</w:t>
            </w:r>
          </w:p>
        </w:tc>
        <w:tc>
          <w:tcPr>
            <w:tcW w:w="890" w:type="dxa"/>
            <w:tcBorders>
              <w:top w:val="nil"/>
              <w:left w:val="nil"/>
              <w:bottom w:val="single" w:sz="8" w:space="0" w:color="auto"/>
              <w:right w:val="single" w:sz="8" w:space="0" w:color="auto"/>
            </w:tcBorders>
            <w:shd w:val="clear" w:color="auto" w:fill="auto"/>
            <w:vAlign w:val="center"/>
            <w:hideMark/>
          </w:tcPr>
          <w:p w14:paraId="3A3E3B3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3B9BCB72"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B122E0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83</w:t>
            </w:r>
          </w:p>
        </w:tc>
        <w:tc>
          <w:tcPr>
            <w:tcW w:w="793" w:type="dxa"/>
            <w:tcBorders>
              <w:top w:val="nil"/>
              <w:left w:val="nil"/>
              <w:bottom w:val="single" w:sz="8" w:space="0" w:color="auto"/>
              <w:right w:val="single" w:sz="8" w:space="0" w:color="auto"/>
            </w:tcBorders>
            <w:shd w:val="clear" w:color="auto" w:fill="auto"/>
            <w:vAlign w:val="center"/>
            <w:hideMark/>
          </w:tcPr>
          <w:p w14:paraId="737C286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7D267577"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la atención de solicitudes de acceso a la información pública y Derecho ARCO</w:t>
            </w:r>
          </w:p>
        </w:tc>
        <w:tc>
          <w:tcPr>
            <w:tcW w:w="1134" w:type="dxa"/>
            <w:tcBorders>
              <w:top w:val="nil"/>
              <w:left w:val="nil"/>
              <w:bottom w:val="single" w:sz="8" w:space="0" w:color="auto"/>
              <w:right w:val="single" w:sz="8" w:space="0" w:color="auto"/>
            </w:tcBorders>
            <w:shd w:val="clear" w:color="auto" w:fill="auto"/>
            <w:vAlign w:val="center"/>
            <w:hideMark/>
          </w:tcPr>
          <w:p w14:paraId="4775613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7D1F9F7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w:t>
            </w:r>
          </w:p>
        </w:tc>
        <w:tc>
          <w:tcPr>
            <w:tcW w:w="1417" w:type="dxa"/>
            <w:tcBorders>
              <w:top w:val="nil"/>
              <w:left w:val="nil"/>
              <w:bottom w:val="single" w:sz="8" w:space="0" w:color="auto"/>
              <w:right w:val="single" w:sz="8" w:space="0" w:color="auto"/>
            </w:tcBorders>
            <w:shd w:val="clear" w:color="auto" w:fill="auto"/>
            <w:vAlign w:val="center"/>
            <w:hideMark/>
          </w:tcPr>
          <w:p w14:paraId="4134CD27"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Unidad de Transparencia del Municipio de Hermosillo.</w:t>
            </w:r>
          </w:p>
        </w:tc>
        <w:tc>
          <w:tcPr>
            <w:tcW w:w="890" w:type="dxa"/>
            <w:tcBorders>
              <w:top w:val="nil"/>
              <w:left w:val="nil"/>
              <w:bottom w:val="single" w:sz="8" w:space="0" w:color="auto"/>
              <w:right w:val="single" w:sz="8" w:space="0" w:color="auto"/>
            </w:tcBorders>
            <w:shd w:val="clear" w:color="auto" w:fill="auto"/>
            <w:vAlign w:val="center"/>
            <w:hideMark/>
          </w:tcPr>
          <w:p w14:paraId="21AF2B0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2551E803" w14:textId="77777777" w:rsidTr="0008162A">
        <w:trPr>
          <w:trHeight w:val="58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62D8A2A3"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84</w:t>
            </w:r>
          </w:p>
        </w:tc>
        <w:tc>
          <w:tcPr>
            <w:tcW w:w="793" w:type="dxa"/>
            <w:tcBorders>
              <w:top w:val="nil"/>
              <w:left w:val="nil"/>
              <w:bottom w:val="single" w:sz="8" w:space="0" w:color="auto"/>
              <w:right w:val="single" w:sz="8" w:space="0" w:color="auto"/>
            </w:tcBorders>
            <w:shd w:val="clear" w:color="auto" w:fill="auto"/>
            <w:vAlign w:val="center"/>
            <w:hideMark/>
          </w:tcPr>
          <w:p w14:paraId="2BE4395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6D783DDB"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cumplimiento en la ejecución de auditorías</w:t>
            </w:r>
          </w:p>
        </w:tc>
        <w:tc>
          <w:tcPr>
            <w:tcW w:w="1134" w:type="dxa"/>
            <w:tcBorders>
              <w:top w:val="nil"/>
              <w:left w:val="nil"/>
              <w:bottom w:val="single" w:sz="8" w:space="0" w:color="auto"/>
              <w:right w:val="single" w:sz="8" w:space="0" w:color="auto"/>
            </w:tcBorders>
            <w:shd w:val="clear" w:color="auto" w:fill="auto"/>
            <w:vAlign w:val="center"/>
            <w:hideMark/>
          </w:tcPr>
          <w:p w14:paraId="38E9DB7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noWrap/>
            <w:vAlign w:val="center"/>
            <w:hideMark/>
          </w:tcPr>
          <w:p w14:paraId="7E9452A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w:t>
            </w:r>
          </w:p>
        </w:tc>
        <w:tc>
          <w:tcPr>
            <w:tcW w:w="1417" w:type="dxa"/>
            <w:tcBorders>
              <w:top w:val="nil"/>
              <w:left w:val="nil"/>
              <w:bottom w:val="single" w:sz="8" w:space="0" w:color="auto"/>
              <w:right w:val="single" w:sz="8" w:space="0" w:color="auto"/>
            </w:tcBorders>
            <w:shd w:val="clear" w:color="auto" w:fill="auto"/>
            <w:vAlign w:val="center"/>
            <w:hideMark/>
          </w:tcPr>
          <w:p w14:paraId="1B33608E"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 xml:space="preserve">Órgano de Control Interno </w:t>
            </w:r>
          </w:p>
        </w:tc>
        <w:tc>
          <w:tcPr>
            <w:tcW w:w="890" w:type="dxa"/>
            <w:tcBorders>
              <w:top w:val="nil"/>
              <w:left w:val="nil"/>
              <w:bottom w:val="single" w:sz="8" w:space="0" w:color="auto"/>
              <w:right w:val="single" w:sz="8" w:space="0" w:color="auto"/>
            </w:tcBorders>
            <w:shd w:val="clear" w:color="auto" w:fill="auto"/>
            <w:vAlign w:val="center"/>
            <w:hideMark/>
          </w:tcPr>
          <w:p w14:paraId="1D0BEE8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704728F3" w14:textId="77777777" w:rsidTr="0008162A">
        <w:trPr>
          <w:trHeight w:val="1155"/>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23E77B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85</w:t>
            </w:r>
          </w:p>
        </w:tc>
        <w:tc>
          <w:tcPr>
            <w:tcW w:w="793" w:type="dxa"/>
            <w:tcBorders>
              <w:top w:val="nil"/>
              <w:left w:val="nil"/>
              <w:bottom w:val="single" w:sz="8" w:space="0" w:color="auto"/>
              <w:right w:val="single" w:sz="8" w:space="0" w:color="auto"/>
            </w:tcBorders>
            <w:shd w:val="clear" w:color="auto" w:fill="auto"/>
            <w:vAlign w:val="center"/>
            <w:hideMark/>
          </w:tcPr>
          <w:p w14:paraId="41833292"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6137E061"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Porcentaje de renovación del padrón de sujetos obligados para la declaración de situación patrimonial conforme a lo que establece la normatividad aplicable.</w:t>
            </w:r>
          </w:p>
        </w:tc>
        <w:tc>
          <w:tcPr>
            <w:tcW w:w="1134" w:type="dxa"/>
            <w:tcBorders>
              <w:top w:val="nil"/>
              <w:left w:val="nil"/>
              <w:bottom w:val="single" w:sz="8" w:space="0" w:color="auto"/>
              <w:right w:val="single" w:sz="8" w:space="0" w:color="auto"/>
            </w:tcBorders>
            <w:shd w:val="clear" w:color="auto" w:fill="auto"/>
            <w:vAlign w:val="center"/>
            <w:hideMark/>
          </w:tcPr>
          <w:p w14:paraId="37A7E52C"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3F0F8D18"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100</w:t>
            </w:r>
          </w:p>
        </w:tc>
        <w:tc>
          <w:tcPr>
            <w:tcW w:w="1417" w:type="dxa"/>
            <w:tcBorders>
              <w:top w:val="nil"/>
              <w:left w:val="nil"/>
              <w:bottom w:val="single" w:sz="8" w:space="0" w:color="auto"/>
              <w:right w:val="single" w:sz="8" w:space="0" w:color="auto"/>
            </w:tcBorders>
            <w:shd w:val="clear" w:color="auto" w:fill="auto"/>
            <w:vAlign w:val="center"/>
            <w:hideMark/>
          </w:tcPr>
          <w:p w14:paraId="52A4AFD4"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 xml:space="preserve">Órgano de Control Interno </w:t>
            </w:r>
          </w:p>
        </w:tc>
        <w:tc>
          <w:tcPr>
            <w:tcW w:w="890" w:type="dxa"/>
            <w:tcBorders>
              <w:top w:val="nil"/>
              <w:left w:val="nil"/>
              <w:bottom w:val="single" w:sz="8" w:space="0" w:color="auto"/>
              <w:right w:val="single" w:sz="8" w:space="0" w:color="auto"/>
            </w:tcBorders>
            <w:shd w:val="clear" w:color="auto" w:fill="auto"/>
            <w:vAlign w:val="center"/>
            <w:hideMark/>
          </w:tcPr>
          <w:p w14:paraId="12FA3741"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r w:rsidR="0008162A" w:rsidRPr="0008162A" w14:paraId="31E53801" w14:textId="77777777" w:rsidTr="0008162A">
        <w:trPr>
          <w:trHeight w:val="87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4FADB79"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86</w:t>
            </w:r>
          </w:p>
        </w:tc>
        <w:tc>
          <w:tcPr>
            <w:tcW w:w="793" w:type="dxa"/>
            <w:tcBorders>
              <w:top w:val="nil"/>
              <w:left w:val="nil"/>
              <w:bottom w:val="single" w:sz="8" w:space="0" w:color="auto"/>
              <w:right w:val="single" w:sz="8" w:space="0" w:color="auto"/>
            </w:tcBorders>
            <w:shd w:val="clear" w:color="auto" w:fill="auto"/>
            <w:vAlign w:val="center"/>
            <w:hideMark/>
          </w:tcPr>
          <w:p w14:paraId="56C2B20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5</w:t>
            </w:r>
          </w:p>
        </w:tc>
        <w:tc>
          <w:tcPr>
            <w:tcW w:w="3119" w:type="dxa"/>
            <w:tcBorders>
              <w:top w:val="nil"/>
              <w:left w:val="nil"/>
              <w:bottom w:val="single" w:sz="8" w:space="0" w:color="auto"/>
              <w:right w:val="single" w:sz="8" w:space="0" w:color="auto"/>
            </w:tcBorders>
            <w:shd w:val="clear" w:color="auto" w:fill="auto"/>
            <w:vAlign w:val="center"/>
            <w:hideMark/>
          </w:tcPr>
          <w:p w14:paraId="0635C218" w14:textId="77777777" w:rsidR="0008162A" w:rsidRPr="0008162A" w:rsidRDefault="0008162A" w:rsidP="0008162A">
            <w:pPr>
              <w:spacing w:after="0" w:line="240" w:lineRule="auto"/>
              <w:jc w:val="left"/>
              <w:rPr>
                <w:rFonts w:eastAsia="Times New Roman" w:cs="Arial"/>
                <w:color w:val="000000"/>
                <w:lang w:val="es-MX" w:eastAsia="es-MX" w:bidi="ar-SA"/>
              </w:rPr>
            </w:pPr>
            <w:r w:rsidRPr="0008162A">
              <w:rPr>
                <w:rFonts w:eastAsia="Times New Roman" w:cs="Arial"/>
                <w:color w:val="000000"/>
                <w:lang w:val="es-MX" w:eastAsia="es-MX" w:bidi="ar-SA"/>
              </w:rPr>
              <w:t xml:space="preserve">Porcentaje de cumplimiento en la atención de solicitudes de trámites y servicios presentadas por la ciudadanía  </w:t>
            </w:r>
          </w:p>
        </w:tc>
        <w:tc>
          <w:tcPr>
            <w:tcW w:w="1134" w:type="dxa"/>
            <w:tcBorders>
              <w:top w:val="nil"/>
              <w:left w:val="nil"/>
              <w:bottom w:val="single" w:sz="8" w:space="0" w:color="auto"/>
              <w:right w:val="single" w:sz="8" w:space="0" w:color="auto"/>
            </w:tcBorders>
            <w:shd w:val="clear" w:color="auto" w:fill="auto"/>
            <w:vAlign w:val="center"/>
            <w:hideMark/>
          </w:tcPr>
          <w:p w14:paraId="5763C19F"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ND</w:t>
            </w:r>
          </w:p>
        </w:tc>
        <w:tc>
          <w:tcPr>
            <w:tcW w:w="992" w:type="dxa"/>
            <w:tcBorders>
              <w:top w:val="nil"/>
              <w:left w:val="nil"/>
              <w:bottom w:val="single" w:sz="8" w:space="0" w:color="auto"/>
              <w:right w:val="single" w:sz="8" w:space="0" w:color="auto"/>
            </w:tcBorders>
            <w:shd w:val="clear" w:color="auto" w:fill="auto"/>
            <w:vAlign w:val="center"/>
            <w:hideMark/>
          </w:tcPr>
          <w:p w14:paraId="2907E5BA"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90%</w:t>
            </w:r>
          </w:p>
        </w:tc>
        <w:tc>
          <w:tcPr>
            <w:tcW w:w="1417" w:type="dxa"/>
            <w:tcBorders>
              <w:top w:val="nil"/>
              <w:left w:val="nil"/>
              <w:bottom w:val="single" w:sz="8" w:space="0" w:color="auto"/>
              <w:right w:val="single" w:sz="8" w:space="0" w:color="auto"/>
            </w:tcBorders>
            <w:shd w:val="clear" w:color="auto" w:fill="auto"/>
            <w:vAlign w:val="center"/>
            <w:hideMark/>
          </w:tcPr>
          <w:p w14:paraId="2F04D8CD"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Sistema Único de Atención Ciudadana</w:t>
            </w:r>
          </w:p>
        </w:tc>
        <w:tc>
          <w:tcPr>
            <w:tcW w:w="890" w:type="dxa"/>
            <w:tcBorders>
              <w:top w:val="nil"/>
              <w:left w:val="nil"/>
              <w:bottom w:val="single" w:sz="8" w:space="0" w:color="auto"/>
              <w:right w:val="single" w:sz="8" w:space="0" w:color="auto"/>
            </w:tcBorders>
            <w:shd w:val="clear" w:color="auto" w:fill="auto"/>
            <w:vAlign w:val="center"/>
            <w:hideMark/>
          </w:tcPr>
          <w:p w14:paraId="67FE0E35" w14:textId="77777777" w:rsidR="0008162A" w:rsidRPr="0008162A" w:rsidRDefault="0008162A" w:rsidP="0008162A">
            <w:pPr>
              <w:spacing w:after="0" w:line="240" w:lineRule="auto"/>
              <w:jc w:val="center"/>
              <w:rPr>
                <w:rFonts w:eastAsia="Times New Roman" w:cs="Arial"/>
                <w:color w:val="000000"/>
                <w:lang w:val="es-MX" w:eastAsia="es-MX" w:bidi="ar-SA"/>
              </w:rPr>
            </w:pPr>
            <w:r w:rsidRPr="0008162A">
              <w:rPr>
                <w:rFonts w:eastAsia="Times New Roman" w:cs="Arial"/>
                <w:color w:val="000000"/>
                <w:lang w:val="es-MX" w:eastAsia="es-MX" w:bidi="ar-SA"/>
              </w:rPr>
              <w:t>Anual</w:t>
            </w:r>
          </w:p>
        </w:tc>
      </w:tr>
    </w:tbl>
    <w:p w14:paraId="131287F3" w14:textId="77777777" w:rsidR="00C15D49" w:rsidRPr="00075F02" w:rsidRDefault="00C15D49" w:rsidP="00B205BA">
      <w:pPr>
        <w:spacing w:after="120" w:line="240" w:lineRule="auto"/>
        <w:jc w:val="left"/>
        <w:rPr>
          <w:rFonts w:eastAsiaTheme="minorHAnsi" w:cs="Arial"/>
          <w:b/>
          <w:bCs/>
          <w:sz w:val="24"/>
          <w:szCs w:val="24"/>
          <w:lang w:val="es-MX" w:bidi="ar-SA"/>
        </w:rPr>
      </w:pPr>
    </w:p>
    <w:p w14:paraId="670D30DF" w14:textId="77777777" w:rsidR="00626AB9" w:rsidRDefault="00626AB9" w:rsidP="00B205BA">
      <w:pPr>
        <w:spacing w:before="100" w:beforeAutospacing="1" w:after="120" w:line="240" w:lineRule="auto"/>
        <w:rPr>
          <w:rFonts w:eastAsia="Times New Roman" w:cs="Arial"/>
          <w:b/>
          <w:bCs/>
          <w:sz w:val="24"/>
          <w:szCs w:val="24"/>
          <w:lang w:val="es-MX" w:eastAsia="es-ES_tradnl" w:bidi="ar-SA"/>
        </w:rPr>
      </w:pPr>
    </w:p>
    <w:p w14:paraId="65C656EC"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2416B96E"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7945B45F"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665D098D"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56C039DC"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098B0EB0"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26047BF1"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1C8F0420"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5D5A7A7C"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7C6A7C6C"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6EB292D0"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33D24244"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10D6D8C1"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3D6F7ED8"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205E121E" w14:textId="77777777" w:rsidR="0008162A" w:rsidRDefault="0008162A" w:rsidP="00B205BA">
      <w:pPr>
        <w:spacing w:before="100" w:beforeAutospacing="1" w:after="120" w:line="240" w:lineRule="auto"/>
        <w:rPr>
          <w:rFonts w:eastAsia="Times New Roman" w:cs="Arial"/>
          <w:b/>
          <w:bCs/>
          <w:sz w:val="24"/>
          <w:szCs w:val="24"/>
          <w:lang w:val="es-MX" w:eastAsia="es-ES_tradnl" w:bidi="ar-SA"/>
        </w:rPr>
      </w:pPr>
    </w:p>
    <w:p w14:paraId="3594B048" w14:textId="65512810" w:rsidR="00661833" w:rsidRPr="00661833" w:rsidRDefault="008511B6" w:rsidP="00626AB9">
      <w:pPr>
        <w:pStyle w:val="Ttulo2"/>
        <w:rPr>
          <w:rFonts w:eastAsia="Times New Roman"/>
          <w:lang w:eastAsia="es-ES_tradnl"/>
        </w:rPr>
      </w:pPr>
      <w:bookmarkStart w:id="32" w:name="_Toc187396129"/>
      <w:r w:rsidRPr="00661833">
        <w:rPr>
          <w:rFonts w:eastAsia="Times New Roman"/>
          <w:lang w:eastAsia="es-ES_tradnl"/>
        </w:rPr>
        <w:t>ANEXO 2. ALINEACIÓN DEL PLAN MUNICIPAL DE DESARROLLO Y LOS OBJETIVOS DE DESARROLLO SOSTENIBLE</w:t>
      </w:r>
      <w:bookmarkEnd w:id="32"/>
    </w:p>
    <w:p w14:paraId="243B87B6" w14:textId="77777777" w:rsidR="00661833" w:rsidRPr="00661833" w:rsidRDefault="00661833" w:rsidP="00B205BA">
      <w:pPr>
        <w:spacing w:before="100" w:beforeAutospacing="1" w:after="120" w:line="240" w:lineRule="auto"/>
        <w:rPr>
          <w:rFonts w:eastAsia="Times New Roman" w:cs="Arial"/>
          <w:lang w:val="es-MX" w:eastAsia="es-ES_tradnl" w:bidi="ar-SA"/>
        </w:rPr>
      </w:pPr>
      <w:r w:rsidRPr="00661833">
        <w:rPr>
          <w:rFonts w:eastAsia="Times New Roman" w:cs="Arial"/>
          <w:lang w:val="es-MX" w:eastAsia="es-ES_tradnl" w:bidi="ar-SA"/>
        </w:rPr>
        <w:t xml:space="preserve">En la Cumbre de Desarrollo Sostenible de las Naciones Unidas en 2015, los líderes mundiales de 193 países adoptaron los Objetivos de Desarrollo Sostenible que giran alrededor de cinco ejes principales: planeta, personas, prosperidad, paz y alianzas. </w:t>
      </w:r>
    </w:p>
    <w:p w14:paraId="1AD20485" w14:textId="399A036E" w:rsidR="00661833" w:rsidRPr="00661833" w:rsidRDefault="00661833" w:rsidP="00B205BA">
      <w:pPr>
        <w:spacing w:before="100" w:beforeAutospacing="1" w:after="120" w:line="240" w:lineRule="auto"/>
        <w:rPr>
          <w:rFonts w:eastAsia="Times New Roman" w:cs="Arial"/>
          <w:lang w:val="es-MX" w:eastAsia="es-ES_tradnl" w:bidi="ar-SA"/>
        </w:rPr>
      </w:pPr>
      <w:r w:rsidRPr="00661833">
        <w:rPr>
          <w:rFonts w:eastAsia="Times New Roman" w:cs="Arial"/>
          <w:lang w:val="es-MX" w:eastAsia="es-ES_tradnl" w:bidi="ar-SA"/>
        </w:rPr>
        <w:t>La Agenda 2030 propone compromisos globales y retos de desarrollo, los cuales tienen que ser adoptados y materializados en l</w:t>
      </w:r>
      <w:r w:rsidR="00FE5465">
        <w:rPr>
          <w:rFonts w:eastAsia="Times New Roman" w:cs="Arial"/>
          <w:lang w:val="es-MX" w:eastAsia="es-ES_tradnl" w:bidi="ar-SA"/>
        </w:rPr>
        <w:t>o</w:t>
      </w:r>
      <w:r w:rsidRPr="00661833">
        <w:rPr>
          <w:rFonts w:eastAsia="Times New Roman" w:cs="Arial"/>
          <w:lang w:val="es-MX" w:eastAsia="es-ES_tradnl" w:bidi="ar-SA"/>
        </w:rPr>
        <w:t xml:space="preserve">s países y a niveles locales de acuerdo a sus características y circunstancias específicas. </w:t>
      </w:r>
    </w:p>
    <w:p w14:paraId="06042D06" w14:textId="64825B6A" w:rsidR="00661833" w:rsidRPr="00661833" w:rsidRDefault="00661833" w:rsidP="00B205BA">
      <w:pPr>
        <w:spacing w:before="100" w:beforeAutospacing="1" w:after="120" w:line="240" w:lineRule="auto"/>
        <w:rPr>
          <w:rFonts w:eastAsia="Times New Roman" w:cs="Arial"/>
          <w:lang w:val="es-MX" w:eastAsia="es-ES_tradnl" w:bidi="ar-SA"/>
        </w:rPr>
      </w:pPr>
      <w:r w:rsidRPr="00661833">
        <w:rPr>
          <w:rFonts w:eastAsia="Times New Roman" w:cs="Arial"/>
          <w:lang w:val="es-MX" w:eastAsia="es-ES_tradnl" w:bidi="ar-SA"/>
        </w:rPr>
        <w:lastRenderedPageBreak/>
        <w:t xml:space="preserve">Su estructura esta cimentada en 17 Objetivos para el Desarrollo Sostenible (ODS) los cuales van enfocados a poner fin con la pobreza, luchar contra la desigualdad y la injusticia, y poner freno al cambio climático en el horizonte del año 2030 y otros temas de relevancia para el desarrollo integral de las naciones. </w:t>
      </w:r>
    </w:p>
    <w:p w14:paraId="55D9C25D" w14:textId="17BA659D" w:rsidR="00661833" w:rsidRPr="00661833" w:rsidRDefault="00661833" w:rsidP="00B205BA">
      <w:pPr>
        <w:spacing w:before="100" w:beforeAutospacing="1" w:after="120" w:line="240" w:lineRule="auto"/>
        <w:rPr>
          <w:rFonts w:eastAsia="Times New Roman" w:cs="Arial"/>
          <w:lang w:val="es-MX" w:eastAsia="es-ES_tradnl" w:bidi="ar-SA"/>
        </w:rPr>
      </w:pPr>
      <w:r w:rsidRPr="00661833">
        <w:rPr>
          <w:rFonts w:eastAsia="Times New Roman" w:cs="Arial"/>
          <w:lang w:val="es-MX" w:eastAsia="es-ES_tradnl" w:bidi="ar-SA"/>
        </w:rPr>
        <w:t xml:space="preserve">La Agenda 2030 se concibió reconociendo el papel clave </w:t>
      </w:r>
      <w:r w:rsidR="008511B6">
        <w:rPr>
          <w:rFonts w:eastAsia="Times New Roman" w:cs="Arial"/>
          <w:lang w:val="es-MX" w:eastAsia="es-ES_tradnl" w:bidi="ar-SA"/>
        </w:rPr>
        <w:t>de los municipios y de los estados</w:t>
      </w:r>
      <w:r w:rsidRPr="00661833">
        <w:rPr>
          <w:rFonts w:eastAsia="Times New Roman" w:cs="Arial"/>
          <w:lang w:val="es-MX" w:eastAsia="es-ES_tradnl" w:bidi="ar-SA"/>
        </w:rPr>
        <w:t xml:space="preserve"> para su cumplimiento. El gobierno municipal es el órgano administrativo más próximo a la ciudadanía, por tanto, se encuentra en una posición ideal para enfocar los objetivos y las metas de la Agenda 2030 de una manera pragmática, integrándolos en su contexto particular, con acciones para atender de primera mano los problemas que enfrentan las personas en la comunidad.</w:t>
      </w:r>
      <w:r w:rsidR="00B2461A">
        <w:rPr>
          <w:rFonts w:eastAsia="Times New Roman" w:cs="Arial"/>
          <w:lang w:val="es-MX" w:eastAsia="es-ES_tradnl" w:bidi="ar-SA"/>
        </w:rPr>
        <w:t>*</w:t>
      </w:r>
    </w:p>
    <w:p w14:paraId="542FF2B4" w14:textId="51634407" w:rsidR="00FE5465" w:rsidRPr="00661833" w:rsidRDefault="00661833" w:rsidP="00B205BA">
      <w:pPr>
        <w:spacing w:before="100" w:beforeAutospacing="1" w:after="120" w:line="240" w:lineRule="auto"/>
        <w:rPr>
          <w:rFonts w:eastAsia="Times New Roman" w:cs="Arial"/>
          <w:lang w:val="es-MX" w:eastAsia="es-ES_tradnl" w:bidi="ar-SA"/>
        </w:rPr>
      </w:pPr>
      <w:r w:rsidRPr="00661833">
        <w:rPr>
          <w:rFonts w:eastAsia="Times New Roman" w:cs="Arial"/>
          <w:lang w:val="es-MX" w:eastAsia="es-ES_tradnl" w:bidi="ar-SA"/>
        </w:rPr>
        <w:t>En esta tabla se muestra la alineación de cada uno de los Objetivos del Desarrollo Sostenible con las líneas de acción del Plan Municipal de Desarrollo 202</w:t>
      </w:r>
      <w:r w:rsidR="008511B6">
        <w:rPr>
          <w:rFonts w:eastAsia="Times New Roman" w:cs="Arial"/>
          <w:lang w:val="es-MX" w:eastAsia="es-ES_tradnl" w:bidi="ar-SA"/>
        </w:rPr>
        <w:t>5</w:t>
      </w:r>
      <w:r w:rsidRPr="00661833">
        <w:rPr>
          <w:rFonts w:eastAsia="Times New Roman" w:cs="Arial"/>
          <w:lang w:val="es-MX" w:eastAsia="es-ES_tradnl" w:bidi="ar-SA"/>
        </w:rPr>
        <w:t xml:space="preserve">-2027, con objeto de tener un mapa que direccione las acciones y avances del </w:t>
      </w:r>
      <w:r w:rsidR="00FE5465">
        <w:rPr>
          <w:rFonts w:eastAsia="Times New Roman" w:cs="Arial"/>
          <w:lang w:val="es-MX" w:eastAsia="es-ES_tradnl" w:bidi="ar-SA"/>
        </w:rPr>
        <w:t>a</w:t>
      </w:r>
      <w:r w:rsidRPr="00661833">
        <w:rPr>
          <w:rFonts w:eastAsia="Times New Roman" w:cs="Arial"/>
          <w:lang w:val="es-MX" w:eastAsia="es-ES_tradnl" w:bidi="ar-SA"/>
        </w:rPr>
        <w:t>yuntamiento de Hermosillo a estos objetivos globales</w:t>
      </w:r>
    </w:p>
    <w:p w14:paraId="687B024B" w14:textId="62A30E2B" w:rsidR="00661833" w:rsidRPr="00661833" w:rsidRDefault="00661833" w:rsidP="00B205BA">
      <w:pPr>
        <w:spacing w:before="100" w:beforeAutospacing="1" w:after="120" w:line="240" w:lineRule="auto"/>
        <w:jc w:val="center"/>
        <w:rPr>
          <w:rFonts w:eastAsia="Times New Roman" w:cs="Arial"/>
          <w:b/>
          <w:bCs/>
          <w:lang w:val="es-MX" w:eastAsia="es-ES_tradnl" w:bidi="ar-SA"/>
        </w:rPr>
      </w:pPr>
      <w:r w:rsidRPr="00661833">
        <w:rPr>
          <w:rFonts w:eastAsia="Times New Roman" w:cs="Arial"/>
          <w:b/>
          <w:bCs/>
          <w:lang w:val="es-MX" w:eastAsia="es-ES_tradnl" w:bidi="ar-SA"/>
        </w:rPr>
        <w:t>Tabla. Alineación de la ODS con las Líneas de acción</w:t>
      </w:r>
      <w:r w:rsidR="008511B6">
        <w:rPr>
          <w:rFonts w:eastAsia="Times New Roman" w:cs="Arial"/>
          <w:b/>
          <w:bCs/>
          <w:lang w:val="es-MX" w:eastAsia="es-ES_tradnl" w:bidi="ar-SA"/>
        </w:rPr>
        <w:t xml:space="preserve"> del PMD 2025-2027</w:t>
      </w:r>
      <w:r w:rsidRPr="00661833">
        <w:rPr>
          <w:rFonts w:eastAsia="Times New Roman" w:cs="Arial"/>
          <w:b/>
          <w:bCs/>
          <w:lang w:val="es-MX" w:eastAsia="es-ES_tradnl"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0"/>
        <w:gridCol w:w="793"/>
        <w:gridCol w:w="5265"/>
      </w:tblGrid>
      <w:tr w:rsidR="00FF3550" w:rsidRPr="0048787F" w14:paraId="0FCE5E2C" w14:textId="77777777" w:rsidTr="00D0556A">
        <w:trPr>
          <w:trHeight w:val="300"/>
          <w:tblHeader/>
        </w:trPr>
        <w:tc>
          <w:tcPr>
            <w:tcW w:w="1569" w:type="pct"/>
            <w:shd w:val="clear" w:color="auto" w:fill="D9D9D9" w:themeFill="background1" w:themeFillShade="D9"/>
            <w:noWrap/>
            <w:vAlign w:val="center"/>
            <w:hideMark/>
          </w:tcPr>
          <w:p w14:paraId="217DA036" w14:textId="77777777" w:rsidR="00FF3550" w:rsidRPr="0048787F" w:rsidRDefault="00FF3550" w:rsidP="00D0556A">
            <w:pPr>
              <w:jc w:val="center"/>
              <w:rPr>
                <w:rFonts w:eastAsia="Times New Roman" w:cs="Arial"/>
                <w:b/>
                <w:bCs/>
                <w:color w:val="000000"/>
                <w:lang w:eastAsia="es-MX"/>
              </w:rPr>
            </w:pPr>
            <w:r w:rsidRPr="0048787F">
              <w:rPr>
                <w:rFonts w:eastAsia="Times New Roman" w:cs="Arial"/>
                <w:b/>
                <w:bCs/>
                <w:color w:val="000000"/>
                <w:lang w:eastAsia="es-MX"/>
              </w:rPr>
              <w:t>Objetivo del Desarrollo Sostenible de la Agenda 2030</w:t>
            </w:r>
          </w:p>
        </w:tc>
        <w:tc>
          <w:tcPr>
            <w:tcW w:w="449" w:type="pct"/>
            <w:shd w:val="clear" w:color="auto" w:fill="D9D9D9" w:themeFill="background1" w:themeFillShade="D9"/>
            <w:noWrap/>
            <w:vAlign w:val="center"/>
            <w:hideMark/>
          </w:tcPr>
          <w:p w14:paraId="6B780DC8" w14:textId="77777777" w:rsidR="00FF3550" w:rsidRPr="0048787F" w:rsidRDefault="00FF3550" w:rsidP="00D0556A">
            <w:pPr>
              <w:jc w:val="center"/>
              <w:rPr>
                <w:rFonts w:eastAsia="Times New Roman" w:cs="Arial"/>
                <w:b/>
                <w:bCs/>
                <w:color w:val="000000"/>
                <w:lang w:eastAsia="es-MX"/>
              </w:rPr>
            </w:pPr>
            <w:r w:rsidRPr="0048787F">
              <w:rPr>
                <w:rFonts w:eastAsia="Times New Roman" w:cs="Arial"/>
                <w:b/>
                <w:bCs/>
                <w:color w:val="000000"/>
                <w:lang w:eastAsia="es-MX"/>
              </w:rPr>
              <w:t>FRENTE</w:t>
            </w:r>
          </w:p>
        </w:tc>
        <w:tc>
          <w:tcPr>
            <w:tcW w:w="2982" w:type="pct"/>
            <w:shd w:val="clear" w:color="auto" w:fill="D9D9D9" w:themeFill="background1" w:themeFillShade="D9"/>
            <w:noWrap/>
            <w:vAlign w:val="center"/>
            <w:hideMark/>
          </w:tcPr>
          <w:p w14:paraId="77B5AD82" w14:textId="77777777" w:rsidR="00FF3550" w:rsidRPr="0048787F" w:rsidRDefault="00FF3550" w:rsidP="00D0556A">
            <w:pPr>
              <w:jc w:val="center"/>
              <w:rPr>
                <w:rFonts w:eastAsia="Times New Roman" w:cs="Arial"/>
                <w:b/>
                <w:bCs/>
                <w:color w:val="000000"/>
                <w:lang w:eastAsia="es-MX"/>
              </w:rPr>
            </w:pPr>
            <w:r w:rsidRPr="0048787F">
              <w:rPr>
                <w:rFonts w:eastAsia="Times New Roman" w:cs="Arial"/>
                <w:b/>
                <w:bCs/>
                <w:color w:val="000000"/>
                <w:lang w:eastAsia="es-MX"/>
              </w:rPr>
              <w:t>LÍNEAS DE ACCIÓN</w:t>
            </w:r>
          </w:p>
        </w:tc>
      </w:tr>
      <w:tr w:rsidR="00FF3550" w:rsidRPr="0048787F" w14:paraId="01792CAE" w14:textId="77777777" w:rsidTr="00D0556A">
        <w:trPr>
          <w:trHeight w:val="1140"/>
        </w:trPr>
        <w:tc>
          <w:tcPr>
            <w:tcW w:w="1569" w:type="pct"/>
            <w:shd w:val="clear" w:color="auto" w:fill="auto"/>
            <w:vAlign w:val="center"/>
            <w:hideMark/>
          </w:tcPr>
          <w:p w14:paraId="7AFF80E4"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1. Fin de la pobreza</w:t>
            </w:r>
            <w:r w:rsidRPr="0048787F">
              <w:rPr>
                <w:rFonts w:eastAsia="Times New Roman" w:cs="Arial"/>
                <w:color w:val="000000"/>
                <w:lang w:eastAsia="es-MX"/>
              </w:rPr>
              <w:t>: Erradicar la pobreza en todas sus formas en el mundo.</w:t>
            </w:r>
          </w:p>
        </w:tc>
        <w:tc>
          <w:tcPr>
            <w:tcW w:w="449" w:type="pct"/>
            <w:shd w:val="clear" w:color="auto" w:fill="auto"/>
            <w:noWrap/>
            <w:vAlign w:val="center"/>
            <w:hideMark/>
          </w:tcPr>
          <w:p w14:paraId="3700B2E6"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4</w:t>
            </w:r>
          </w:p>
        </w:tc>
        <w:tc>
          <w:tcPr>
            <w:tcW w:w="2982" w:type="pct"/>
            <w:shd w:val="clear" w:color="auto" w:fill="auto"/>
            <w:vAlign w:val="center"/>
            <w:hideMark/>
          </w:tcPr>
          <w:p w14:paraId="30DBF600"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04010101, 04010102, 04010103, 04010104, 04010105, 04010106, 04010107, 04010201, 04010202, 04010203, 04010204, 04100101, 04100102, 04100103, 04100104, 04100105, 04100106, 04100201, 04100202, 04100203, 04100204, 04100301, 04100302, 04100303, 04100304, 04100305, 04100306, 04100401, 04100402, 04100403, 04100404, 04100405, 04100504, 04100601, 04100602, 04100603, 04100604, 04100701, 04100702, 04100703, 04100704, 04100705</w:t>
            </w:r>
          </w:p>
        </w:tc>
      </w:tr>
      <w:tr w:rsidR="00FF3550" w:rsidRPr="0048787F" w14:paraId="4E3E4865" w14:textId="77777777" w:rsidTr="00D0556A">
        <w:trPr>
          <w:trHeight w:val="870"/>
        </w:trPr>
        <w:tc>
          <w:tcPr>
            <w:tcW w:w="1569" w:type="pct"/>
            <w:shd w:val="clear" w:color="auto" w:fill="auto"/>
            <w:vAlign w:val="center"/>
            <w:hideMark/>
          </w:tcPr>
          <w:p w14:paraId="20B3B80D"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2. Hambre cero</w:t>
            </w:r>
            <w:r w:rsidRPr="0048787F">
              <w:rPr>
                <w:rFonts w:eastAsia="Times New Roman" w:cs="Arial"/>
                <w:color w:val="000000"/>
                <w:lang w:eastAsia="es-MX"/>
              </w:rPr>
              <w:t xml:space="preserve">: Acabar con el hambre, lograr la seguridad alimentaria, mejorar la nutrición y </w:t>
            </w:r>
            <w:r w:rsidRPr="0048787F">
              <w:rPr>
                <w:rFonts w:eastAsia="Times New Roman" w:cs="Arial"/>
                <w:color w:val="000000"/>
                <w:lang w:eastAsia="es-MX"/>
              </w:rPr>
              <w:lastRenderedPageBreak/>
              <w:t>promover la agricultura sostenible.</w:t>
            </w:r>
          </w:p>
        </w:tc>
        <w:tc>
          <w:tcPr>
            <w:tcW w:w="449" w:type="pct"/>
            <w:shd w:val="clear" w:color="auto" w:fill="auto"/>
            <w:noWrap/>
            <w:vAlign w:val="center"/>
            <w:hideMark/>
          </w:tcPr>
          <w:p w14:paraId="29A87DFA"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lastRenderedPageBreak/>
              <w:t>4</w:t>
            </w:r>
          </w:p>
        </w:tc>
        <w:tc>
          <w:tcPr>
            <w:tcW w:w="2982" w:type="pct"/>
            <w:shd w:val="clear" w:color="auto" w:fill="auto"/>
            <w:noWrap/>
            <w:vAlign w:val="center"/>
            <w:hideMark/>
          </w:tcPr>
          <w:p w14:paraId="3FF5A817"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04010301, 04010302, 04010303</w:t>
            </w:r>
          </w:p>
        </w:tc>
      </w:tr>
      <w:tr w:rsidR="00FF3550" w:rsidRPr="0048787F" w14:paraId="0EBC80CE" w14:textId="77777777" w:rsidTr="00D0556A">
        <w:trPr>
          <w:trHeight w:val="1140"/>
        </w:trPr>
        <w:tc>
          <w:tcPr>
            <w:tcW w:w="1569" w:type="pct"/>
            <w:shd w:val="clear" w:color="auto" w:fill="auto"/>
            <w:vAlign w:val="center"/>
            <w:hideMark/>
          </w:tcPr>
          <w:p w14:paraId="466C182B"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3. Salud y bienestar</w:t>
            </w:r>
            <w:r w:rsidRPr="0048787F">
              <w:rPr>
                <w:rFonts w:eastAsia="Times New Roman" w:cs="Arial"/>
                <w:color w:val="000000"/>
                <w:lang w:eastAsia="es-MX"/>
              </w:rPr>
              <w:t>: Garantizar una vida saludable y promover el bienestar para todas las personas en todas las edades.</w:t>
            </w:r>
          </w:p>
        </w:tc>
        <w:tc>
          <w:tcPr>
            <w:tcW w:w="449" w:type="pct"/>
            <w:shd w:val="clear" w:color="auto" w:fill="auto"/>
            <w:noWrap/>
            <w:vAlign w:val="center"/>
            <w:hideMark/>
          </w:tcPr>
          <w:p w14:paraId="3BE7FC6B"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4</w:t>
            </w:r>
          </w:p>
        </w:tc>
        <w:tc>
          <w:tcPr>
            <w:tcW w:w="2982" w:type="pct"/>
            <w:shd w:val="clear" w:color="auto" w:fill="auto"/>
            <w:vAlign w:val="center"/>
            <w:hideMark/>
          </w:tcPr>
          <w:p w14:paraId="4DCB63B2"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04020101, 04020102, 04020103, 04020104, 04020105, 04020106, 04020107, 04030101, 04030102, 04030103, 04030104, 04030201, 04030202, 04030203, 04030301, 04030302, 04030303, 04030304, 04030305, 04030306, 04040101, 04040102, 04040103, 04040104, 04040105, 04050101, 04050102, 04050103, 04050104, 04050105, 04060101, 04060102, 04060103, 04070101, 04070102, 04070103</w:t>
            </w:r>
          </w:p>
        </w:tc>
      </w:tr>
      <w:tr w:rsidR="00FF3550" w:rsidRPr="0048787F" w14:paraId="2AFD901F" w14:textId="77777777" w:rsidTr="00D0556A">
        <w:trPr>
          <w:trHeight w:val="870"/>
        </w:trPr>
        <w:tc>
          <w:tcPr>
            <w:tcW w:w="1569" w:type="pct"/>
            <w:shd w:val="clear" w:color="auto" w:fill="auto"/>
            <w:vAlign w:val="center"/>
            <w:hideMark/>
          </w:tcPr>
          <w:p w14:paraId="70A609D8"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4. Educación de calidad</w:t>
            </w:r>
            <w:r w:rsidRPr="0048787F">
              <w:rPr>
                <w:rFonts w:eastAsia="Times New Roman" w:cs="Arial"/>
                <w:color w:val="000000"/>
                <w:lang w:eastAsia="es-MX"/>
              </w:rPr>
              <w:t>: Asegurar una educación inclusiva, equitativa y de calidad, y promover oportunidades de aprendizaje para todos.</w:t>
            </w:r>
          </w:p>
        </w:tc>
        <w:tc>
          <w:tcPr>
            <w:tcW w:w="449" w:type="pct"/>
            <w:shd w:val="clear" w:color="auto" w:fill="auto"/>
            <w:noWrap/>
            <w:vAlign w:val="center"/>
            <w:hideMark/>
          </w:tcPr>
          <w:p w14:paraId="2CD4875A"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4</w:t>
            </w:r>
          </w:p>
        </w:tc>
        <w:tc>
          <w:tcPr>
            <w:tcW w:w="2982" w:type="pct"/>
            <w:shd w:val="clear" w:color="auto" w:fill="auto"/>
            <w:noWrap/>
            <w:vAlign w:val="center"/>
            <w:hideMark/>
          </w:tcPr>
          <w:p w14:paraId="7059401D"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04100501</w:t>
            </w:r>
          </w:p>
        </w:tc>
      </w:tr>
      <w:tr w:rsidR="00FF3550" w:rsidRPr="0048787F" w14:paraId="75B14CA3" w14:textId="77777777" w:rsidTr="00D0556A">
        <w:trPr>
          <w:trHeight w:val="855"/>
        </w:trPr>
        <w:tc>
          <w:tcPr>
            <w:tcW w:w="1569" w:type="pct"/>
            <w:shd w:val="clear" w:color="auto" w:fill="auto"/>
            <w:vAlign w:val="center"/>
            <w:hideMark/>
          </w:tcPr>
          <w:p w14:paraId="5C8ECB34"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5. Igualdad de género</w:t>
            </w:r>
            <w:r w:rsidRPr="0048787F">
              <w:rPr>
                <w:rFonts w:eastAsia="Times New Roman" w:cs="Arial"/>
                <w:color w:val="000000"/>
                <w:lang w:eastAsia="es-MX"/>
              </w:rPr>
              <w:t>: Lograr la igualdad entre los géneros y empoderar a todas las mujeres y niñas.</w:t>
            </w:r>
          </w:p>
        </w:tc>
        <w:tc>
          <w:tcPr>
            <w:tcW w:w="449" w:type="pct"/>
            <w:shd w:val="clear" w:color="auto" w:fill="auto"/>
            <w:noWrap/>
            <w:vAlign w:val="center"/>
            <w:hideMark/>
          </w:tcPr>
          <w:p w14:paraId="6D1670D7"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1</w:t>
            </w:r>
          </w:p>
        </w:tc>
        <w:tc>
          <w:tcPr>
            <w:tcW w:w="2982" w:type="pct"/>
            <w:shd w:val="clear" w:color="auto" w:fill="auto"/>
            <w:vAlign w:val="center"/>
            <w:hideMark/>
          </w:tcPr>
          <w:p w14:paraId="10F3D7FA"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01060101, 01060102, 01060103, 01060104, 01060105, 01060106, 01060107, 01060108, 01060201, 01060202, 01060203, 01060204, 01060205, 01070101, 01070102, 01070103, 01070201, 01070202, 01070203, 01070204, 01070301, 01070302, 01070303, 01070304</w:t>
            </w:r>
          </w:p>
        </w:tc>
      </w:tr>
      <w:tr w:rsidR="00FF3550" w:rsidRPr="0048787F" w14:paraId="0201E7E9" w14:textId="77777777" w:rsidTr="00D0556A">
        <w:trPr>
          <w:trHeight w:val="870"/>
        </w:trPr>
        <w:tc>
          <w:tcPr>
            <w:tcW w:w="1569" w:type="pct"/>
            <w:shd w:val="clear" w:color="auto" w:fill="auto"/>
            <w:vAlign w:val="center"/>
            <w:hideMark/>
          </w:tcPr>
          <w:p w14:paraId="2DD5F99C"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6. Agua limpia y saneamiento</w:t>
            </w:r>
            <w:r w:rsidRPr="0048787F">
              <w:rPr>
                <w:rFonts w:eastAsia="Times New Roman" w:cs="Arial"/>
                <w:color w:val="000000"/>
                <w:lang w:eastAsia="es-MX"/>
              </w:rPr>
              <w:t xml:space="preserve">: Garantizar la disponibilidad de agua y su gestión sostenible, así </w:t>
            </w:r>
            <w:r w:rsidRPr="0048787F">
              <w:rPr>
                <w:rFonts w:eastAsia="Times New Roman" w:cs="Arial"/>
                <w:color w:val="000000"/>
                <w:lang w:eastAsia="es-MX"/>
              </w:rPr>
              <w:lastRenderedPageBreak/>
              <w:t>como el saneamiento para todos.</w:t>
            </w:r>
          </w:p>
        </w:tc>
        <w:tc>
          <w:tcPr>
            <w:tcW w:w="449" w:type="pct"/>
            <w:shd w:val="clear" w:color="auto" w:fill="auto"/>
            <w:noWrap/>
            <w:vAlign w:val="center"/>
            <w:hideMark/>
          </w:tcPr>
          <w:p w14:paraId="04D59AD6"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lastRenderedPageBreak/>
              <w:t>2</w:t>
            </w:r>
          </w:p>
        </w:tc>
        <w:tc>
          <w:tcPr>
            <w:tcW w:w="2982" w:type="pct"/>
            <w:shd w:val="clear" w:color="auto" w:fill="auto"/>
            <w:vAlign w:val="center"/>
            <w:hideMark/>
          </w:tcPr>
          <w:p w14:paraId="11A1A9F5"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 xml:space="preserve">02080101, 02080102, 02080103, 02080104, 02080105, 02080201, 02080202, 02080203, 02080204, 02090101, 02090102, 02090103, 02090104, 02090105, 02090106, 02090107, </w:t>
            </w:r>
            <w:r w:rsidRPr="0048787F">
              <w:rPr>
                <w:rFonts w:eastAsia="Times New Roman" w:cs="Arial"/>
                <w:color w:val="000000"/>
                <w:lang w:eastAsia="es-MX"/>
              </w:rPr>
              <w:lastRenderedPageBreak/>
              <w:t>02090201, 02090202, 02090203, 02090204, 02090205, 02090206, 02090207, 02090208</w:t>
            </w:r>
          </w:p>
        </w:tc>
      </w:tr>
      <w:tr w:rsidR="00FF3550" w:rsidRPr="0048787F" w14:paraId="276DE9B5" w14:textId="77777777" w:rsidTr="00D0556A">
        <w:trPr>
          <w:trHeight w:val="870"/>
        </w:trPr>
        <w:tc>
          <w:tcPr>
            <w:tcW w:w="1569" w:type="pct"/>
            <w:shd w:val="clear" w:color="auto" w:fill="auto"/>
            <w:vAlign w:val="center"/>
            <w:hideMark/>
          </w:tcPr>
          <w:p w14:paraId="1E2A8933"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lastRenderedPageBreak/>
              <w:t>7. Energía asequible y no contaminante</w:t>
            </w:r>
            <w:r w:rsidRPr="0048787F">
              <w:rPr>
                <w:rFonts w:eastAsia="Times New Roman" w:cs="Arial"/>
                <w:color w:val="000000"/>
                <w:lang w:eastAsia="es-MX"/>
              </w:rPr>
              <w:t>: Asegurar el acceso a energía asequible, fiable, sostenible y moderna.</w:t>
            </w:r>
          </w:p>
        </w:tc>
        <w:tc>
          <w:tcPr>
            <w:tcW w:w="449" w:type="pct"/>
            <w:shd w:val="clear" w:color="auto" w:fill="auto"/>
            <w:noWrap/>
            <w:vAlign w:val="center"/>
            <w:hideMark/>
          </w:tcPr>
          <w:p w14:paraId="60DE1BCE"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1,2,3,4,5</w:t>
            </w:r>
          </w:p>
        </w:tc>
        <w:tc>
          <w:tcPr>
            <w:tcW w:w="2982" w:type="pct"/>
            <w:shd w:val="clear" w:color="auto" w:fill="auto"/>
            <w:noWrap/>
            <w:vAlign w:val="center"/>
            <w:hideMark/>
          </w:tcPr>
          <w:p w14:paraId="43DD9A1B"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02120105, 02130101, 02130102, 02130201, 02140102, 03030103, 04010105, 05040104, 05040404</w:t>
            </w:r>
          </w:p>
        </w:tc>
      </w:tr>
      <w:tr w:rsidR="00FF3550" w:rsidRPr="0048787F" w14:paraId="17EFE727" w14:textId="77777777" w:rsidTr="00D0556A">
        <w:trPr>
          <w:trHeight w:val="1155"/>
        </w:trPr>
        <w:tc>
          <w:tcPr>
            <w:tcW w:w="1569" w:type="pct"/>
            <w:shd w:val="clear" w:color="auto" w:fill="auto"/>
            <w:vAlign w:val="center"/>
            <w:hideMark/>
          </w:tcPr>
          <w:p w14:paraId="3EAB8DCF"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8. Trabajo decente y crecimiento económico</w:t>
            </w:r>
            <w:r w:rsidRPr="0048787F">
              <w:rPr>
                <w:rFonts w:eastAsia="Times New Roman" w:cs="Arial"/>
                <w:color w:val="000000"/>
                <w:lang w:eastAsia="es-MX"/>
              </w:rPr>
              <w:t>: Promover un crecimiento económico sostenido, inclusivo y sostenible, así como empleo pleno y productivo para todos.</w:t>
            </w:r>
          </w:p>
        </w:tc>
        <w:tc>
          <w:tcPr>
            <w:tcW w:w="449" w:type="pct"/>
            <w:shd w:val="clear" w:color="auto" w:fill="auto"/>
            <w:noWrap/>
            <w:vAlign w:val="center"/>
            <w:hideMark/>
          </w:tcPr>
          <w:p w14:paraId="566C1BDC"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3</w:t>
            </w:r>
          </w:p>
        </w:tc>
        <w:tc>
          <w:tcPr>
            <w:tcW w:w="2982" w:type="pct"/>
            <w:shd w:val="clear" w:color="auto" w:fill="auto"/>
            <w:vAlign w:val="center"/>
            <w:hideMark/>
          </w:tcPr>
          <w:p w14:paraId="0C75A2B6"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03060206, 03070101, 03070102, 03070103, 03070104, 03070105, 03080101, 03080102, 03080103, 03080104, 03080105, 03080201, 03080202, 03080203, 03080204, 03090101, 03090102, 03090103, 03090104, 03090105, 03090106, 03090201, 03090202, 03090203, 03090204</w:t>
            </w:r>
          </w:p>
        </w:tc>
      </w:tr>
      <w:tr w:rsidR="00FF3550" w:rsidRPr="0048787F" w14:paraId="6A3DC92C" w14:textId="77777777" w:rsidTr="00D0556A">
        <w:trPr>
          <w:trHeight w:val="870"/>
        </w:trPr>
        <w:tc>
          <w:tcPr>
            <w:tcW w:w="1569" w:type="pct"/>
            <w:shd w:val="clear" w:color="auto" w:fill="auto"/>
            <w:vAlign w:val="center"/>
            <w:hideMark/>
          </w:tcPr>
          <w:p w14:paraId="69837E22"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9. Industria, innovación e infraestructura</w:t>
            </w:r>
            <w:r w:rsidRPr="0048787F">
              <w:rPr>
                <w:rFonts w:eastAsia="Times New Roman" w:cs="Arial"/>
                <w:color w:val="000000"/>
                <w:lang w:eastAsia="es-MX"/>
              </w:rPr>
              <w:t>: Construir infraestructuras resilientes, promover la industrialización inclusiva y sostenible, y fomentar la innovación.</w:t>
            </w:r>
          </w:p>
        </w:tc>
        <w:tc>
          <w:tcPr>
            <w:tcW w:w="449" w:type="pct"/>
            <w:shd w:val="clear" w:color="auto" w:fill="auto"/>
            <w:noWrap/>
            <w:vAlign w:val="center"/>
            <w:hideMark/>
          </w:tcPr>
          <w:p w14:paraId="748ADCAE"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3</w:t>
            </w:r>
          </w:p>
        </w:tc>
        <w:tc>
          <w:tcPr>
            <w:tcW w:w="2982" w:type="pct"/>
            <w:shd w:val="clear" w:color="auto" w:fill="auto"/>
            <w:noWrap/>
            <w:vAlign w:val="center"/>
            <w:hideMark/>
          </w:tcPr>
          <w:p w14:paraId="0E40E27F"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 xml:space="preserve">03060101, 03060102, 03060103, 03060104, 03060201.,03060202, 03060203, 03060204, 03060205, </w:t>
            </w:r>
          </w:p>
        </w:tc>
      </w:tr>
      <w:tr w:rsidR="00FF3550" w:rsidRPr="0048787F" w14:paraId="2B96379F" w14:textId="77777777" w:rsidTr="00D0556A">
        <w:trPr>
          <w:trHeight w:val="585"/>
        </w:trPr>
        <w:tc>
          <w:tcPr>
            <w:tcW w:w="1569" w:type="pct"/>
            <w:shd w:val="clear" w:color="auto" w:fill="auto"/>
            <w:vAlign w:val="center"/>
            <w:hideMark/>
          </w:tcPr>
          <w:p w14:paraId="5F5B8F2C"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10. Reducción de las desigualdades</w:t>
            </w:r>
            <w:r w:rsidRPr="0048787F">
              <w:rPr>
                <w:rFonts w:eastAsia="Times New Roman" w:cs="Arial"/>
                <w:color w:val="000000"/>
                <w:lang w:eastAsia="es-MX"/>
              </w:rPr>
              <w:t>: Reducir las desigualdades dentro y entre los países.</w:t>
            </w:r>
          </w:p>
        </w:tc>
        <w:tc>
          <w:tcPr>
            <w:tcW w:w="449" w:type="pct"/>
            <w:shd w:val="clear" w:color="auto" w:fill="auto"/>
            <w:noWrap/>
            <w:vAlign w:val="center"/>
            <w:hideMark/>
          </w:tcPr>
          <w:p w14:paraId="5690844B"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4</w:t>
            </w:r>
          </w:p>
        </w:tc>
        <w:tc>
          <w:tcPr>
            <w:tcW w:w="2982" w:type="pct"/>
            <w:shd w:val="clear" w:color="auto" w:fill="auto"/>
            <w:vAlign w:val="center"/>
            <w:hideMark/>
          </w:tcPr>
          <w:p w14:paraId="01300E03"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04080101, 04080102, 04080103, 04080104, 04080105, 04080106, 04080107, 04080201, 04080202, 04080203, 04080204, 04080301, 04080302, 04090101, 04090102, 04090103, 04090104, 04090105</w:t>
            </w:r>
          </w:p>
        </w:tc>
      </w:tr>
      <w:tr w:rsidR="00FF3550" w:rsidRPr="0048787F" w14:paraId="04BC7FE1" w14:textId="77777777" w:rsidTr="00D0556A">
        <w:trPr>
          <w:trHeight w:val="3990"/>
        </w:trPr>
        <w:tc>
          <w:tcPr>
            <w:tcW w:w="1569" w:type="pct"/>
            <w:shd w:val="clear" w:color="auto" w:fill="auto"/>
            <w:vAlign w:val="center"/>
            <w:hideMark/>
          </w:tcPr>
          <w:p w14:paraId="3CE0A0E3"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lastRenderedPageBreak/>
              <w:t>11. Ciudades y comunidades sostenibles</w:t>
            </w:r>
            <w:r w:rsidRPr="0048787F">
              <w:rPr>
                <w:rFonts w:eastAsia="Times New Roman" w:cs="Arial"/>
                <w:color w:val="000000"/>
                <w:lang w:eastAsia="es-MX"/>
              </w:rPr>
              <w:t>: Lograr que las ciudades y los asentamientos humanos sean inclusivos, seguros, resilientes y sostenibles.</w:t>
            </w:r>
          </w:p>
        </w:tc>
        <w:tc>
          <w:tcPr>
            <w:tcW w:w="449" w:type="pct"/>
            <w:shd w:val="clear" w:color="auto" w:fill="auto"/>
            <w:noWrap/>
            <w:vAlign w:val="center"/>
            <w:hideMark/>
          </w:tcPr>
          <w:p w14:paraId="1088E671"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1, 2, 3</w:t>
            </w:r>
          </w:p>
        </w:tc>
        <w:tc>
          <w:tcPr>
            <w:tcW w:w="2982" w:type="pct"/>
            <w:shd w:val="clear" w:color="auto" w:fill="auto"/>
            <w:vAlign w:val="center"/>
            <w:hideMark/>
          </w:tcPr>
          <w:p w14:paraId="6EFD413C"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 xml:space="preserve">01010101, 01010102, 01010103, 01010104, 01010201, 01010202, 01010203, 01010301, 01010302, 01010303, 01010401, 01010402, 01020101, 01020102, 01020103, 01020201, 01020202, 01030101, 01030102, 01030103, 01030104, 01030201, 01030202, 01030203, 01030204, 01040101, 01040102, 01040103, 01040201, 01040202, 01050101, 01050102, 01050103, 01050201, 01050202, 01050301, 01050302, 01050303, 01050304, 02010101, 02010102, 02010103, 02010104, 02010105, 02010201, 02010202, 02020101, 02020102, 02020103, 02020104, 02020201, 02020202, 02020301, 02020302, 02020303, 02020304, 02030101, 02030102, 02030103, 02030201, 02030202, 02030203, 02040101, 02040102, 02040103, 02040104, 02040105, 02050101, 02050102, 02050103, 02050201, 02050202, 02050203, 02060101, 02060102, 02060103, 02060201, 02060202, 02060203, 02060204, 02060301, 02060302, 02060303, 02060304, 02060305, 02060306, 02060401, 02060402, 02060403, 02070101, 02070102, 02070103, 02070104, 02070105, 02100101, 02100102, 02100103, 02100105, 02100201, 02100202, 02100203, 02100301, 02100303, 02100304, 03010101, 03010102, 03010103, 03010104, 03010201, 03010202, 03010203, 03010204, 03010205, 03010206, 03010207, 03010301, 03010302, 03020101, 03020102, 03020103, </w:t>
            </w:r>
            <w:r w:rsidRPr="0048787F">
              <w:rPr>
                <w:rFonts w:eastAsia="Times New Roman" w:cs="Arial"/>
                <w:color w:val="000000"/>
                <w:lang w:eastAsia="es-MX"/>
              </w:rPr>
              <w:lastRenderedPageBreak/>
              <w:t>03020104, 03020105, 03020106, 03030101, 03030102, 03030103, 03040101, 03040102, 03040103, 03040104, 03040105, 03040201, 03040202, 03040203, 03040301, 03040302, 03040303, 03040304, 03040305, 03040306, 03040307, 03050101, 03050102, 03050103, 03050104, 03050105</w:t>
            </w:r>
          </w:p>
        </w:tc>
      </w:tr>
      <w:tr w:rsidR="00FF3550" w:rsidRPr="0048787F" w14:paraId="64879E53" w14:textId="77777777" w:rsidTr="00D0556A">
        <w:trPr>
          <w:trHeight w:val="585"/>
        </w:trPr>
        <w:tc>
          <w:tcPr>
            <w:tcW w:w="1569" w:type="pct"/>
            <w:shd w:val="clear" w:color="auto" w:fill="auto"/>
            <w:vAlign w:val="center"/>
            <w:hideMark/>
          </w:tcPr>
          <w:p w14:paraId="4E828F90"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lastRenderedPageBreak/>
              <w:t>12. Producción y consumo responsables</w:t>
            </w:r>
            <w:r w:rsidRPr="0048787F">
              <w:rPr>
                <w:rFonts w:eastAsia="Times New Roman" w:cs="Arial"/>
                <w:color w:val="000000"/>
                <w:lang w:eastAsia="es-MX"/>
              </w:rPr>
              <w:t>: Garantizar patrones de consumo y producción sostenibles.</w:t>
            </w:r>
          </w:p>
        </w:tc>
        <w:tc>
          <w:tcPr>
            <w:tcW w:w="449" w:type="pct"/>
            <w:shd w:val="clear" w:color="auto" w:fill="auto"/>
            <w:noWrap/>
            <w:vAlign w:val="center"/>
            <w:hideMark/>
          </w:tcPr>
          <w:p w14:paraId="01CA6354"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2, 4</w:t>
            </w:r>
          </w:p>
        </w:tc>
        <w:tc>
          <w:tcPr>
            <w:tcW w:w="2982" w:type="pct"/>
            <w:shd w:val="clear" w:color="auto" w:fill="auto"/>
            <w:noWrap/>
            <w:vAlign w:val="center"/>
            <w:hideMark/>
          </w:tcPr>
          <w:p w14:paraId="4C514317"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02100302, 04100502, 04100503</w:t>
            </w:r>
          </w:p>
        </w:tc>
      </w:tr>
      <w:tr w:rsidR="00FF3550" w:rsidRPr="0048787F" w14:paraId="3AA727C9" w14:textId="77777777" w:rsidTr="00D0556A">
        <w:trPr>
          <w:trHeight w:val="855"/>
        </w:trPr>
        <w:tc>
          <w:tcPr>
            <w:tcW w:w="1569" w:type="pct"/>
            <w:shd w:val="clear" w:color="auto" w:fill="auto"/>
            <w:vAlign w:val="center"/>
            <w:hideMark/>
          </w:tcPr>
          <w:p w14:paraId="41D1C63F"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13. Acción por el clima</w:t>
            </w:r>
            <w:r w:rsidRPr="0048787F">
              <w:rPr>
                <w:rFonts w:eastAsia="Times New Roman" w:cs="Arial"/>
                <w:color w:val="000000"/>
                <w:lang w:eastAsia="es-MX"/>
              </w:rPr>
              <w:t>: Tomar medidas urgentes para combatir el cambio climático y sus impactos.</w:t>
            </w:r>
          </w:p>
        </w:tc>
        <w:tc>
          <w:tcPr>
            <w:tcW w:w="449" w:type="pct"/>
            <w:shd w:val="clear" w:color="auto" w:fill="auto"/>
            <w:noWrap/>
            <w:vAlign w:val="center"/>
            <w:hideMark/>
          </w:tcPr>
          <w:p w14:paraId="27AF2E8A"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2</w:t>
            </w:r>
          </w:p>
        </w:tc>
        <w:tc>
          <w:tcPr>
            <w:tcW w:w="2982" w:type="pct"/>
            <w:shd w:val="clear" w:color="auto" w:fill="auto"/>
            <w:vAlign w:val="center"/>
            <w:hideMark/>
          </w:tcPr>
          <w:p w14:paraId="06991AD6"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02120101, 02120102, 02120103, 02120104, 02120105, 02120201, 02120202, 02120203, 02120204, 02120205, 02120206, 02130101, 02130102, 02130103, 02130201, 02130202, 02130203, 02130301, 02130302, 02130303, 02140101, 02140102, 02140103, 02140104, 02140105</w:t>
            </w:r>
          </w:p>
        </w:tc>
      </w:tr>
      <w:tr w:rsidR="00FF3550" w:rsidRPr="0048787F" w14:paraId="37A29D67" w14:textId="77777777" w:rsidTr="00D0556A">
        <w:trPr>
          <w:trHeight w:val="870"/>
        </w:trPr>
        <w:tc>
          <w:tcPr>
            <w:tcW w:w="1569" w:type="pct"/>
            <w:shd w:val="clear" w:color="auto" w:fill="auto"/>
            <w:vAlign w:val="center"/>
            <w:hideMark/>
          </w:tcPr>
          <w:p w14:paraId="39AE0BA8"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14. Vida submarina</w:t>
            </w:r>
            <w:r w:rsidRPr="0048787F">
              <w:rPr>
                <w:rFonts w:eastAsia="Times New Roman" w:cs="Arial"/>
                <w:color w:val="000000"/>
                <w:lang w:eastAsia="es-MX"/>
              </w:rPr>
              <w:t>: Conservar y utilizar sosteniblemente los océanos, los mares y los recursos marinos.</w:t>
            </w:r>
          </w:p>
        </w:tc>
        <w:tc>
          <w:tcPr>
            <w:tcW w:w="449" w:type="pct"/>
            <w:shd w:val="clear" w:color="auto" w:fill="auto"/>
            <w:noWrap/>
            <w:vAlign w:val="center"/>
            <w:hideMark/>
          </w:tcPr>
          <w:p w14:paraId="65020A5D"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2</w:t>
            </w:r>
          </w:p>
        </w:tc>
        <w:tc>
          <w:tcPr>
            <w:tcW w:w="2982" w:type="pct"/>
            <w:shd w:val="clear" w:color="auto" w:fill="auto"/>
            <w:noWrap/>
            <w:vAlign w:val="center"/>
            <w:hideMark/>
          </w:tcPr>
          <w:p w14:paraId="1A5485ED"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02080301, 02080302, 02080303</w:t>
            </w:r>
          </w:p>
        </w:tc>
      </w:tr>
      <w:tr w:rsidR="00FF3550" w:rsidRPr="0048787F" w14:paraId="4785B429" w14:textId="77777777" w:rsidTr="00D0556A">
        <w:trPr>
          <w:trHeight w:val="1155"/>
        </w:trPr>
        <w:tc>
          <w:tcPr>
            <w:tcW w:w="1569" w:type="pct"/>
            <w:shd w:val="clear" w:color="auto" w:fill="auto"/>
            <w:vAlign w:val="center"/>
            <w:hideMark/>
          </w:tcPr>
          <w:p w14:paraId="747D5D1E"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lastRenderedPageBreak/>
              <w:t>15. Vida de ecosistemas terrestres</w:t>
            </w:r>
            <w:r w:rsidRPr="0048787F">
              <w:rPr>
                <w:rFonts w:eastAsia="Times New Roman" w:cs="Arial"/>
                <w:color w:val="000000"/>
                <w:lang w:eastAsia="es-MX"/>
              </w:rPr>
              <w:t>: Proteger, restaurar y promover el uso sostenible de los ecosistemas terrestres, gestionar los bosques de forma sostenible y detener la pérdida de biodiversidad.</w:t>
            </w:r>
          </w:p>
        </w:tc>
        <w:tc>
          <w:tcPr>
            <w:tcW w:w="449" w:type="pct"/>
            <w:shd w:val="clear" w:color="auto" w:fill="auto"/>
            <w:noWrap/>
            <w:vAlign w:val="center"/>
            <w:hideMark/>
          </w:tcPr>
          <w:p w14:paraId="086A4CE6"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2</w:t>
            </w:r>
          </w:p>
        </w:tc>
        <w:tc>
          <w:tcPr>
            <w:tcW w:w="2982" w:type="pct"/>
            <w:shd w:val="clear" w:color="auto" w:fill="auto"/>
            <w:noWrap/>
            <w:vAlign w:val="center"/>
            <w:hideMark/>
          </w:tcPr>
          <w:p w14:paraId="7114D6EA"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02100104, 02110101, 02110102, 02110103, 02110104, 02110105</w:t>
            </w:r>
          </w:p>
        </w:tc>
      </w:tr>
      <w:tr w:rsidR="00FF3550" w:rsidRPr="0048787F" w14:paraId="1A7FDFCD" w14:textId="77777777" w:rsidTr="00D0556A">
        <w:trPr>
          <w:trHeight w:val="1425"/>
        </w:trPr>
        <w:tc>
          <w:tcPr>
            <w:tcW w:w="1569" w:type="pct"/>
            <w:shd w:val="clear" w:color="auto" w:fill="auto"/>
            <w:vAlign w:val="center"/>
            <w:hideMark/>
          </w:tcPr>
          <w:p w14:paraId="6F5D6B1F"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t>16. Paz, justicia e instituciones sólidas</w:t>
            </w:r>
            <w:r w:rsidRPr="0048787F">
              <w:rPr>
                <w:rFonts w:eastAsia="Times New Roman" w:cs="Arial"/>
                <w:color w:val="000000"/>
                <w:lang w:eastAsia="es-MX"/>
              </w:rPr>
              <w:t>: Promover sociedades pacíficas e inclusivas, facilitar el acceso a la justicia y construir instituciones eficaces.</w:t>
            </w:r>
          </w:p>
        </w:tc>
        <w:tc>
          <w:tcPr>
            <w:tcW w:w="449" w:type="pct"/>
            <w:shd w:val="clear" w:color="auto" w:fill="auto"/>
            <w:noWrap/>
            <w:vAlign w:val="center"/>
            <w:hideMark/>
          </w:tcPr>
          <w:p w14:paraId="6DE3897B"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1,4</w:t>
            </w:r>
          </w:p>
        </w:tc>
        <w:tc>
          <w:tcPr>
            <w:tcW w:w="2982" w:type="pct"/>
            <w:shd w:val="clear" w:color="auto" w:fill="auto"/>
            <w:vAlign w:val="center"/>
            <w:hideMark/>
          </w:tcPr>
          <w:p w14:paraId="4D1E3263"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01080101, 01080102, 01080103, 01080104, 01080105, 01080106, 01080107, 01080201, 01080202, 01080203, 01080204, 01080205, 01080206, 01080207, 01080208, 01080209, 01090101, 01090102, 01090103, 01090104, 01090105, 01090106, 01090107, 01090108, 01090201, 01090202, 01090301, 01090302, 01090303, 01090304, 01090401, 01090402, 01090403, 01090404, 01100101, 01100102, 01100103, 01100104, 01100105, 01100201, 01100202, 01100203, 01100204, 01100205, 04010401, 04010402, 04010403, 04010404, 04010405, 04010406, 04010407,04010408</w:t>
            </w:r>
          </w:p>
        </w:tc>
      </w:tr>
      <w:tr w:rsidR="00FF3550" w:rsidRPr="0048787F" w14:paraId="365A4F66" w14:textId="77777777" w:rsidTr="00D0556A">
        <w:trPr>
          <w:trHeight w:val="3990"/>
        </w:trPr>
        <w:tc>
          <w:tcPr>
            <w:tcW w:w="1569" w:type="pct"/>
            <w:shd w:val="clear" w:color="auto" w:fill="auto"/>
            <w:vAlign w:val="center"/>
            <w:hideMark/>
          </w:tcPr>
          <w:p w14:paraId="36B97B2A" w14:textId="77777777" w:rsidR="00FF3550" w:rsidRPr="0048787F" w:rsidRDefault="00FF3550" w:rsidP="00D0556A">
            <w:pPr>
              <w:ind w:firstLineChars="100" w:firstLine="221"/>
              <w:rPr>
                <w:rFonts w:eastAsia="Times New Roman" w:cs="Arial"/>
                <w:b/>
                <w:bCs/>
                <w:color w:val="000000"/>
                <w:lang w:eastAsia="es-MX"/>
              </w:rPr>
            </w:pPr>
            <w:r w:rsidRPr="0048787F">
              <w:rPr>
                <w:rFonts w:eastAsia="Times New Roman" w:cs="Arial"/>
                <w:b/>
                <w:bCs/>
                <w:color w:val="000000"/>
                <w:lang w:eastAsia="es-MX"/>
              </w:rPr>
              <w:lastRenderedPageBreak/>
              <w:t>17. Alianzas para lograr los objetivos</w:t>
            </w:r>
            <w:r w:rsidRPr="0048787F">
              <w:rPr>
                <w:rFonts w:eastAsia="Times New Roman" w:cs="Arial"/>
                <w:color w:val="000000"/>
                <w:lang w:eastAsia="es-MX"/>
              </w:rPr>
              <w:t>: Fortalecer los medios de implementación y revitalizar la alianza mundial para el desarrollo sostenible.</w:t>
            </w:r>
          </w:p>
        </w:tc>
        <w:tc>
          <w:tcPr>
            <w:tcW w:w="449" w:type="pct"/>
            <w:shd w:val="clear" w:color="auto" w:fill="auto"/>
            <w:noWrap/>
            <w:vAlign w:val="center"/>
            <w:hideMark/>
          </w:tcPr>
          <w:p w14:paraId="04B6BCDF" w14:textId="77777777" w:rsidR="00FF3550" w:rsidRPr="0048787F" w:rsidRDefault="00FF3550" w:rsidP="00D0556A">
            <w:pPr>
              <w:jc w:val="center"/>
              <w:rPr>
                <w:rFonts w:ascii="Calibri" w:eastAsia="Times New Roman" w:hAnsi="Calibri" w:cs="Calibri"/>
                <w:color w:val="000000"/>
                <w:lang w:eastAsia="es-MX"/>
              </w:rPr>
            </w:pPr>
            <w:r w:rsidRPr="0048787F">
              <w:rPr>
                <w:rFonts w:ascii="Calibri" w:eastAsia="Times New Roman" w:hAnsi="Calibri" w:cs="Calibri"/>
                <w:color w:val="000000"/>
                <w:lang w:eastAsia="es-MX"/>
              </w:rPr>
              <w:t>1,5</w:t>
            </w:r>
          </w:p>
        </w:tc>
        <w:tc>
          <w:tcPr>
            <w:tcW w:w="2982" w:type="pct"/>
            <w:shd w:val="clear" w:color="auto" w:fill="auto"/>
            <w:vAlign w:val="center"/>
            <w:hideMark/>
          </w:tcPr>
          <w:p w14:paraId="71787CD8" w14:textId="77777777" w:rsidR="00FF3550" w:rsidRPr="0048787F" w:rsidRDefault="00FF3550" w:rsidP="00D0556A">
            <w:pPr>
              <w:jc w:val="center"/>
              <w:rPr>
                <w:rFonts w:eastAsia="Times New Roman" w:cs="Arial"/>
                <w:color w:val="000000"/>
                <w:lang w:eastAsia="es-MX"/>
              </w:rPr>
            </w:pPr>
            <w:r w:rsidRPr="0048787F">
              <w:rPr>
                <w:rFonts w:eastAsia="Times New Roman" w:cs="Arial"/>
                <w:color w:val="000000"/>
                <w:lang w:eastAsia="es-MX"/>
              </w:rPr>
              <w:t xml:space="preserve">01110101, 01110102, 01110103, 01110104, 01110201, 01110202, 01110203, 01110204, 05010101, 05010102, 05010201, 05010202, 05010203, 05010204, 05010301, 05010302, 05010303, 05010304, 05010401, 05010402, 05010403, 05010404, 05010405, 05020101, 05020102, 05020103, 05020104, 05020105, 05030101, 05030102, 05030103, 05030104, 05030105, 05030201, 05030202, 05030203, 05040101, 05040102, 05040103, 05040104, 05040201, 05040202, 05040203, 05040301, 05040302, 05040401, 05040402, 05040403, 05040404, 05040405, 05040406, 05050101, 05050102, 05050103, 05050104, 05050105, 05050106, 05050107, 05050108, 05050201, 05050202, 05050203, 05050204, 05060101, 05060102, 05060201, 05060202, 05060301, 05060302, 05070101, 05070102, 05070103, 05080101, 05080102, 05090101, 05090102, 05090201, 05090202, 05090203, 05100101, 05100102, 05100103, 05100104, 05100105, 05100106, 05100107, 05110101, 05110102, 05110103, 05110104, 05120101, 05120102, 05120103, 05120104, 05120201, 05120202, 05120203, 05120204, 05120205, 05120206, 05120207, 05120301, 05120302, 05120303, 05130101, 05130102, 05130103, 05130104, 05130105, 05130106, 05130107, 05130201, 05130202, 05130203, 05130204, 05130301, 05130302, 05130303, 05130401, 05130402, </w:t>
            </w:r>
            <w:r w:rsidRPr="0048787F">
              <w:rPr>
                <w:rFonts w:eastAsia="Times New Roman" w:cs="Arial"/>
                <w:color w:val="000000"/>
                <w:lang w:eastAsia="es-MX"/>
              </w:rPr>
              <w:lastRenderedPageBreak/>
              <w:t>05130403, 05130404, 05130405, 05130406, 05130407, 05140101, 05140102, 05140103, 05140104, 05140105, 05140201, 05140202, 05140203, 05140204, 05140301, 05140302, 05140303, 05140401, 05140402, 05140403, 05140404, 05150101, 05150102, 05150103, 05150201, 05150202</w:t>
            </w:r>
          </w:p>
        </w:tc>
      </w:tr>
    </w:tbl>
    <w:p w14:paraId="47890E8B" w14:textId="77777777" w:rsidR="00C028AC" w:rsidRPr="00B2461A" w:rsidRDefault="00C028AC" w:rsidP="00B205BA">
      <w:pPr>
        <w:spacing w:after="120" w:line="240" w:lineRule="auto"/>
        <w:rPr>
          <w:sz w:val="18"/>
          <w:szCs w:val="18"/>
        </w:rPr>
      </w:pPr>
    </w:p>
    <w:p w14:paraId="4205F402" w14:textId="7F7BA636" w:rsidR="006004FD" w:rsidRPr="00B2461A" w:rsidRDefault="00B2461A" w:rsidP="00B205BA">
      <w:pPr>
        <w:spacing w:after="120" w:line="240" w:lineRule="auto"/>
        <w:rPr>
          <w:rFonts w:cs="Arial"/>
          <w:sz w:val="18"/>
          <w:szCs w:val="18"/>
          <w:highlight w:val="yellow"/>
        </w:rPr>
      </w:pPr>
      <w:r>
        <w:rPr>
          <w:rFonts w:cs="Arial"/>
          <w:sz w:val="18"/>
          <w:szCs w:val="18"/>
        </w:rPr>
        <w:t>*</w:t>
      </w:r>
      <w:r w:rsidRPr="00B2461A">
        <w:rPr>
          <w:rFonts w:cs="Arial"/>
          <w:sz w:val="18"/>
          <w:szCs w:val="18"/>
        </w:rPr>
        <w:t>https://www.undp.org/es/dominican-republic/blog/localizacion-de-la-agenda-2030-los-municipios-como-eje-fundamental-para-el-desarrollo-sostenible</w:t>
      </w:r>
    </w:p>
    <w:p w14:paraId="2AA8AAFD" w14:textId="77777777" w:rsidR="006004FD" w:rsidRDefault="006004FD" w:rsidP="00B205BA">
      <w:pPr>
        <w:spacing w:after="120" w:line="240" w:lineRule="auto"/>
        <w:rPr>
          <w:rFonts w:cs="Arial"/>
          <w:sz w:val="24"/>
          <w:szCs w:val="24"/>
          <w:highlight w:val="yellow"/>
        </w:rPr>
      </w:pPr>
    </w:p>
    <w:p w14:paraId="30CC9C80" w14:textId="77777777" w:rsidR="00C028AC" w:rsidRDefault="00C028AC" w:rsidP="00B205BA">
      <w:pPr>
        <w:spacing w:after="120" w:line="240" w:lineRule="auto"/>
        <w:rPr>
          <w:rFonts w:cs="Arial"/>
          <w:sz w:val="24"/>
          <w:szCs w:val="24"/>
          <w:highlight w:val="yellow"/>
        </w:rPr>
      </w:pPr>
    </w:p>
    <w:p w14:paraId="7AD63E3D" w14:textId="77777777" w:rsidR="00C028AC" w:rsidRDefault="00C028AC" w:rsidP="00B205BA">
      <w:pPr>
        <w:spacing w:after="120" w:line="240" w:lineRule="auto"/>
        <w:rPr>
          <w:rFonts w:cs="Arial"/>
          <w:sz w:val="24"/>
          <w:szCs w:val="24"/>
          <w:highlight w:val="yellow"/>
        </w:rPr>
      </w:pPr>
    </w:p>
    <w:p w14:paraId="1C383B00" w14:textId="77777777" w:rsidR="00C028AC" w:rsidRDefault="00C028AC" w:rsidP="00B205BA">
      <w:pPr>
        <w:spacing w:after="120" w:line="240" w:lineRule="auto"/>
        <w:rPr>
          <w:rFonts w:cs="Arial"/>
          <w:sz w:val="24"/>
          <w:szCs w:val="24"/>
          <w:highlight w:val="yellow"/>
        </w:rPr>
      </w:pPr>
    </w:p>
    <w:p w14:paraId="02794EB2" w14:textId="77777777" w:rsidR="00C028AC" w:rsidRDefault="00C028AC" w:rsidP="00B205BA">
      <w:pPr>
        <w:spacing w:after="120" w:line="240" w:lineRule="auto"/>
        <w:rPr>
          <w:rFonts w:cs="Arial"/>
          <w:sz w:val="24"/>
          <w:szCs w:val="24"/>
          <w:highlight w:val="yellow"/>
        </w:rPr>
      </w:pPr>
    </w:p>
    <w:p w14:paraId="0010104E" w14:textId="77777777" w:rsidR="00C028AC" w:rsidRDefault="00C028AC" w:rsidP="00B205BA">
      <w:pPr>
        <w:spacing w:after="120" w:line="240" w:lineRule="auto"/>
        <w:rPr>
          <w:rFonts w:cs="Arial"/>
          <w:sz w:val="24"/>
          <w:szCs w:val="24"/>
          <w:highlight w:val="yellow"/>
        </w:rPr>
      </w:pPr>
    </w:p>
    <w:p w14:paraId="6718796B" w14:textId="77777777" w:rsidR="00C028AC" w:rsidRDefault="00C028AC" w:rsidP="00B205BA">
      <w:pPr>
        <w:spacing w:after="120" w:line="240" w:lineRule="auto"/>
        <w:rPr>
          <w:rFonts w:cs="Arial"/>
          <w:sz w:val="24"/>
          <w:szCs w:val="24"/>
          <w:highlight w:val="yellow"/>
        </w:rPr>
      </w:pPr>
    </w:p>
    <w:p w14:paraId="0C60A2F0" w14:textId="77777777" w:rsidR="00C028AC" w:rsidRPr="00BB6455" w:rsidRDefault="00C028AC" w:rsidP="00B205BA">
      <w:pPr>
        <w:spacing w:after="120" w:line="240" w:lineRule="auto"/>
        <w:rPr>
          <w:rFonts w:cs="Arial"/>
          <w:sz w:val="24"/>
          <w:szCs w:val="24"/>
          <w:highlight w:val="yellow"/>
        </w:rPr>
      </w:pPr>
    </w:p>
    <w:p w14:paraId="79AC9F4A" w14:textId="77777777" w:rsidR="00583B06" w:rsidRPr="00D503D0" w:rsidRDefault="00583B06" w:rsidP="00B205BA">
      <w:pPr>
        <w:spacing w:after="120" w:line="240" w:lineRule="auto"/>
        <w:rPr>
          <w:rFonts w:cs="Arial"/>
          <w:b/>
          <w:bCs/>
          <w:color w:val="A6A6A6" w:themeColor="background1" w:themeShade="A6"/>
          <w:sz w:val="24"/>
          <w:szCs w:val="24"/>
        </w:rPr>
      </w:pPr>
    </w:p>
    <w:p w14:paraId="6E67C8D9" w14:textId="77777777" w:rsidR="00583B06" w:rsidRDefault="00583B06" w:rsidP="00B205BA">
      <w:pPr>
        <w:spacing w:after="120" w:line="240" w:lineRule="auto"/>
        <w:rPr>
          <w:rFonts w:cs="Arial"/>
          <w:sz w:val="24"/>
          <w:szCs w:val="24"/>
        </w:rPr>
      </w:pPr>
    </w:p>
    <w:p w14:paraId="4487931E" w14:textId="77777777" w:rsidR="00BB6455" w:rsidRDefault="00BB6455" w:rsidP="00B205BA">
      <w:pPr>
        <w:spacing w:after="120" w:line="240" w:lineRule="auto"/>
        <w:rPr>
          <w:rFonts w:cs="Arial"/>
          <w:sz w:val="24"/>
          <w:szCs w:val="24"/>
        </w:rPr>
      </w:pPr>
    </w:p>
    <w:p w14:paraId="13D925DB" w14:textId="77777777" w:rsidR="00BB6455" w:rsidRDefault="00BB6455" w:rsidP="00B205BA">
      <w:pPr>
        <w:spacing w:after="120" w:line="240" w:lineRule="auto"/>
        <w:rPr>
          <w:rFonts w:cs="Arial"/>
          <w:sz w:val="24"/>
          <w:szCs w:val="24"/>
        </w:rPr>
      </w:pPr>
    </w:p>
    <w:p w14:paraId="3F18B270" w14:textId="77777777" w:rsidR="00BB6455" w:rsidRDefault="00BB6455" w:rsidP="00B205BA">
      <w:pPr>
        <w:spacing w:after="120" w:line="240" w:lineRule="auto"/>
        <w:rPr>
          <w:rFonts w:cs="Arial"/>
          <w:sz w:val="24"/>
          <w:szCs w:val="24"/>
        </w:rPr>
      </w:pPr>
    </w:p>
    <w:p w14:paraId="0B933BD7" w14:textId="77777777" w:rsidR="006004FD" w:rsidRDefault="006004FD" w:rsidP="00B205BA">
      <w:pPr>
        <w:spacing w:after="120" w:line="240" w:lineRule="auto"/>
        <w:rPr>
          <w:rFonts w:cs="Arial"/>
          <w:sz w:val="24"/>
          <w:szCs w:val="24"/>
        </w:rPr>
      </w:pPr>
    </w:p>
    <w:p w14:paraId="73289BAD" w14:textId="77777777" w:rsidR="006004FD" w:rsidRDefault="006004FD" w:rsidP="00B205BA">
      <w:pPr>
        <w:spacing w:after="120" w:line="240" w:lineRule="auto"/>
        <w:rPr>
          <w:rFonts w:cs="Arial"/>
          <w:sz w:val="24"/>
          <w:szCs w:val="24"/>
        </w:rPr>
      </w:pPr>
    </w:p>
    <w:p w14:paraId="5CB6C23A" w14:textId="6A4611CB" w:rsidR="008511B6" w:rsidRDefault="008511B6" w:rsidP="00B205BA">
      <w:pPr>
        <w:spacing w:after="120" w:line="240" w:lineRule="auto"/>
        <w:rPr>
          <w:rFonts w:cs="Arial"/>
          <w:sz w:val="24"/>
          <w:szCs w:val="24"/>
        </w:rPr>
      </w:pPr>
    </w:p>
    <w:p w14:paraId="1D259A13" w14:textId="77777777" w:rsidR="008511B6" w:rsidRPr="00D503D0" w:rsidRDefault="008511B6" w:rsidP="00B205BA">
      <w:pPr>
        <w:spacing w:after="120" w:line="240" w:lineRule="auto"/>
        <w:rPr>
          <w:rFonts w:cs="Arial"/>
          <w:sz w:val="24"/>
          <w:szCs w:val="24"/>
        </w:rPr>
      </w:pPr>
    </w:p>
    <w:p w14:paraId="19A2ADAD" w14:textId="63546C68" w:rsidR="00C028AC" w:rsidRPr="008511B6" w:rsidRDefault="008511B6" w:rsidP="00626AB9">
      <w:pPr>
        <w:pStyle w:val="Ttulo2"/>
      </w:pPr>
      <w:bookmarkStart w:id="33" w:name="_Toc187396130"/>
      <w:r w:rsidRPr="00431D3D">
        <w:lastRenderedPageBreak/>
        <w:t>ANEXO 3. ALINEACIÓN DEL PLAN MUNICIPAL DE DESARROLLO 202</w:t>
      </w:r>
      <w:r>
        <w:t>5</w:t>
      </w:r>
      <w:r w:rsidRPr="00431D3D">
        <w:t>-202</w:t>
      </w:r>
      <w:r>
        <w:t xml:space="preserve">7 </w:t>
      </w:r>
      <w:r w:rsidRPr="00431D3D">
        <w:t>CON EL PLAN ESTATAL DE DESARROLLO 2021-2027</w:t>
      </w:r>
      <w:bookmarkEnd w:id="33"/>
    </w:p>
    <w:p w14:paraId="6CE062B8" w14:textId="77777777" w:rsidR="00C15D49" w:rsidRDefault="008511B6" w:rsidP="00B205BA">
      <w:pPr>
        <w:shd w:val="clear" w:color="auto" w:fill="FFFFFF"/>
        <w:spacing w:after="120" w:line="240" w:lineRule="auto"/>
        <w:ind w:right="150"/>
        <w:rPr>
          <w:rFonts w:eastAsia="Times New Roman" w:cs="Arial"/>
          <w:color w:val="000000"/>
          <w:lang w:val="es-MX" w:eastAsia="es-ES_tradnl" w:bidi="ar-SA"/>
        </w:rPr>
      </w:pPr>
      <w:r w:rsidRPr="008511B6">
        <w:rPr>
          <w:rFonts w:eastAsia="Times New Roman" w:cs="Arial"/>
          <w:color w:val="000000"/>
          <w:lang w:val="es-MX" w:eastAsia="es-ES_tradnl" w:bidi="ar-SA"/>
        </w:rPr>
        <w:t>La alineación del Plan Municipal de Desarrollo (PMD) 2025-2027 de Hermosillo con el Plan Estatal de Desarrollo (PED) 2021-2027 de Sonora es esencial para asegurar la coherencia y efectividad de las políticas públicas en todos los niveles de gobierno. Esta sinergia permite que las metas locales se integren en un marco estatal más amplio, garantizando que los recursos y esfuerzos se utilicen de manera estratégica para enfrentar desafíos comunes, como el desarrollo sostenible, la reducción de desigualdades y el fortalecimiento de la infraestructura. Además, facilita la obtención de financiamiento estatal y federal al alinearse con las prioridades previamente establecidas.</w:t>
      </w:r>
      <w:r w:rsidRPr="008511B6">
        <w:rPr>
          <w:rFonts w:eastAsia="Times New Roman" w:cs="Arial"/>
          <w:color w:val="000000"/>
          <w:lang w:val="es-MX" w:eastAsia="es-ES_tradnl" w:bidi="ar-SA"/>
        </w:rPr>
        <w:br/>
      </w:r>
      <w:r w:rsidRPr="008511B6">
        <w:rPr>
          <w:rFonts w:eastAsia="Times New Roman" w:cs="Arial"/>
          <w:color w:val="000000"/>
          <w:lang w:val="es-MX" w:eastAsia="es-ES_tradnl" w:bidi="ar-SA"/>
        </w:rPr>
        <w:br/>
      </w:r>
      <w:r>
        <w:rPr>
          <w:rFonts w:eastAsia="Times New Roman" w:cs="Arial"/>
          <w:color w:val="000000"/>
          <w:lang w:val="es-MX" w:eastAsia="es-ES_tradnl" w:bidi="ar-SA"/>
        </w:rPr>
        <w:t>Este plan municipal</w:t>
      </w:r>
      <w:r w:rsidRPr="008511B6">
        <w:rPr>
          <w:rFonts w:eastAsia="Times New Roman" w:cs="Arial"/>
          <w:color w:val="000000"/>
          <w:lang w:val="es-MX" w:eastAsia="es-ES_tradnl" w:bidi="ar-SA"/>
        </w:rPr>
        <w:t xml:space="preserve"> refleja el compromiso con una visión compartida de desarrollo, adaptando las estrategias estatales a las particularidades del municipio de Hermosillo. Esto incluye abordar problemáticas como el acceso a servicios públicos, la infraestructura, el desarrollo social, la seguridad pública y la gestión ambiental, siempre en sintonía con el estado. A través de la colaboración entre los diferentes niveles de gobierno y la coordinación de esfuerzos, el Ayuntamiento no solo responde a las necesidades inmediatas de su población, sino que también contribuye al progreso integral de Sonora, potenciando proyectos y programas de impacto regional.</w:t>
      </w:r>
    </w:p>
    <w:p w14:paraId="170443EA" w14:textId="77380FD2" w:rsidR="008511B6" w:rsidRDefault="008511B6" w:rsidP="00B205BA">
      <w:pPr>
        <w:shd w:val="clear" w:color="auto" w:fill="FFFFFF"/>
        <w:spacing w:after="120" w:line="240" w:lineRule="auto"/>
        <w:ind w:right="150"/>
        <w:rPr>
          <w:rFonts w:eastAsia="Times New Roman" w:cs="Arial"/>
          <w:color w:val="000000"/>
          <w:lang w:val="es-MX" w:eastAsia="es-ES_tradnl" w:bidi="ar-SA"/>
        </w:rPr>
      </w:pPr>
      <w:r w:rsidRPr="008511B6">
        <w:rPr>
          <w:rFonts w:eastAsia="Times New Roman" w:cs="Arial"/>
          <w:color w:val="000000"/>
          <w:lang w:val="es-MX" w:eastAsia="es-ES_tradnl" w:bidi="ar-SA"/>
        </w:rPr>
        <w:br/>
        <w:t>La alineación promueve una planificación eficiente y eficaz, basada en el seguimiento de indicadores comunes que miden el cumplimiento de los objetivos. Esto fortalece la rendición de cuentas y contribuye a los esfuerzos de planificación entre los distintos niveles de gobierno. Así, el PMD 2025-2027 de Hermosillo no solo será un instrumento de planificación local, sino también un componente clave en el desarrollo del estado, asegurando un crecimiento equitativo, sostenible y coordinado.</w:t>
      </w:r>
    </w:p>
    <w:p w14:paraId="0D116461" w14:textId="19AE35DC" w:rsidR="008511B6" w:rsidRPr="008511B6" w:rsidRDefault="008511B6" w:rsidP="00B205BA">
      <w:pPr>
        <w:shd w:val="clear" w:color="auto" w:fill="FFFFFF"/>
        <w:spacing w:after="120" w:line="240" w:lineRule="auto"/>
        <w:ind w:right="150"/>
        <w:rPr>
          <w:rFonts w:eastAsia="Times New Roman" w:cs="Arial"/>
          <w:color w:val="000000"/>
          <w:lang w:val="es-MX" w:eastAsia="es-ES_tradnl" w:bidi="ar-SA"/>
        </w:rPr>
      </w:pPr>
      <w:r w:rsidRPr="008511B6">
        <w:rPr>
          <w:rFonts w:eastAsia="Times New Roman" w:cs="Arial"/>
          <w:color w:val="000000"/>
          <w:lang w:val="es-MX" w:eastAsia="es-ES_tradnl" w:bidi="ar-SA"/>
        </w:rPr>
        <w:br/>
        <w:t>El PMD 2025-2027 se estructura en 5 frentes, 59 retos y 132 estrategias, distribuyendo un total de 563 líneas de acción de la siguiente manera:</w:t>
      </w:r>
    </w:p>
    <w:p w14:paraId="6F44834D" w14:textId="77777777" w:rsidR="008511B6" w:rsidRPr="008511B6" w:rsidRDefault="008511B6" w:rsidP="00B205BA">
      <w:pPr>
        <w:spacing w:after="120" w:line="240" w:lineRule="auto"/>
        <w:jc w:val="left"/>
        <w:rPr>
          <w:rFonts w:ascii="Times New Roman" w:eastAsia="Times New Roman" w:hAnsi="Times New Roman" w:cs="Times New Roman"/>
          <w:sz w:val="24"/>
          <w:szCs w:val="24"/>
          <w:lang w:val="es-MX" w:eastAsia="es-ES_tradnl" w:bidi="ar-SA"/>
        </w:rPr>
      </w:pPr>
    </w:p>
    <w:p w14:paraId="246EA982" w14:textId="77777777" w:rsidR="00C028AC" w:rsidRPr="008D2944" w:rsidRDefault="00C028AC" w:rsidP="00B205BA">
      <w:pPr>
        <w:spacing w:after="120" w:line="240" w:lineRule="auto"/>
        <w:jc w:val="center"/>
        <w:rPr>
          <w:rFonts w:cs="Arial"/>
          <w:b/>
          <w:bCs/>
          <w:noProof/>
        </w:rPr>
      </w:pPr>
      <w:r w:rsidRPr="008D2944">
        <w:rPr>
          <w:rFonts w:cs="Arial"/>
          <w:b/>
          <w:bCs/>
          <w:noProof/>
        </w:rPr>
        <w:t>Tabla. Estructura del Plan Municipal de Desarrollo 202</w:t>
      </w:r>
      <w:r>
        <w:rPr>
          <w:rFonts w:cs="Arial"/>
          <w:b/>
          <w:bCs/>
          <w:noProof/>
        </w:rPr>
        <w:t>5</w:t>
      </w:r>
      <w:r w:rsidRPr="008D2944">
        <w:rPr>
          <w:rFonts w:cs="Arial"/>
          <w:b/>
          <w:bCs/>
          <w:noProof/>
        </w:rPr>
        <w:t>-202</w:t>
      </w:r>
      <w:r>
        <w:rPr>
          <w:rFonts w:cs="Arial"/>
          <w:b/>
          <w:bCs/>
          <w:noProof/>
        </w:rPr>
        <w:t>7</w:t>
      </w:r>
      <w:r w:rsidRPr="008D2944">
        <w:rPr>
          <w:rFonts w:cs="Arial"/>
          <w:b/>
          <w:bCs/>
          <w:noProof/>
        </w:rPr>
        <w:t>.</w:t>
      </w:r>
    </w:p>
    <w:tbl>
      <w:tblPr>
        <w:tblW w:w="8828" w:type="dxa"/>
        <w:tblCellMar>
          <w:left w:w="70" w:type="dxa"/>
          <w:right w:w="70" w:type="dxa"/>
        </w:tblCellMar>
        <w:tblLook w:val="04A0" w:firstRow="1" w:lastRow="0" w:firstColumn="1" w:lastColumn="0" w:noHBand="0" w:noVBand="1"/>
      </w:tblPr>
      <w:tblGrid>
        <w:gridCol w:w="562"/>
        <w:gridCol w:w="4934"/>
        <w:gridCol w:w="910"/>
        <w:gridCol w:w="1327"/>
        <w:gridCol w:w="1095"/>
      </w:tblGrid>
      <w:tr w:rsidR="00C028AC" w:rsidRPr="005233FA" w14:paraId="069A1648" w14:textId="77777777" w:rsidTr="005D45B5">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69A4B6" w14:textId="77777777" w:rsidR="00C028AC" w:rsidRPr="00AE7475" w:rsidRDefault="00C028AC" w:rsidP="00B205BA">
            <w:pPr>
              <w:spacing w:after="120" w:line="240" w:lineRule="auto"/>
              <w:jc w:val="center"/>
              <w:rPr>
                <w:rFonts w:eastAsia="Times New Roman" w:cs="Arial"/>
                <w:b/>
                <w:bCs/>
                <w:color w:val="000000"/>
                <w:lang w:eastAsia="es-MX"/>
              </w:rPr>
            </w:pPr>
          </w:p>
        </w:tc>
        <w:tc>
          <w:tcPr>
            <w:tcW w:w="49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E0B4B5"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Frente</w:t>
            </w: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814E61"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Retos</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A8DC25"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Estrategias</w:t>
            </w:r>
          </w:p>
        </w:tc>
        <w:tc>
          <w:tcPr>
            <w:tcW w:w="1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2497E"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L.A</w:t>
            </w:r>
          </w:p>
        </w:tc>
      </w:tr>
      <w:tr w:rsidR="00C028AC" w:rsidRPr="005233FA" w14:paraId="2E27D050" w14:textId="77777777" w:rsidTr="005D45B5">
        <w:trPr>
          <w:trHeight w:val="525"/>
        </w:trPr>
        <w:tc>
          <w:tcPr>
            <w:tcW w:w="562" w:type="dxa"/>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605581C6" w14:textId="77777777" w:rsidR="00C028AC" w:rsidRPr="008D2944" w:rsidRDefault="00C028AC" w:rsidP="00B205BA">
            <w:pPr>
              <w:pStyle w:val="Prrafodelista"/>
              <w:numPr>
                <w:ilvl w:val="0"/>
                <w:numId w:val="29"/>
              </w:numPr>
              <w:spacing w:after="120" w:line="240" w:lineRule="auto"/>
              <w:ind w:left="499" w:hanging="357"/>
              <w:contextualSpacing w:val="0"/>
              <w:jc w:val="left"/>
              <w:rPr>
                <w:rFonts w:eastAsia="Times New Roman" w:cs="Arial"/>
                <w:color w:val="000000"/>
                <w:lang w:eastAsia="es-MX"/>
              </w:rPr>
            </w:pPr>
          </w:p>
        </w:tc>
        <w:tc>
          <w:tcPr>
            <w:tcW w:w="4934"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4B607CEB" w14:textId="77777777" w:rsidR="00C028AC" w:rsidRPr="00AE7475" w:rsidRDefault="00C028AC" w:rsidP="00B205BA">
            <w:pPr>
              <w:spacing w:after="120" w:line="240" w:lineRule="auto"/>
              <w:rPr>
                <w:rFonts w:eastAsia="Times New Roman" w:cs="Arial"/>
                <w:color w:val="000000"/>
                <w:lang w:eastAsia="es-MX"/>
              </w:rPr>
            </w:pPr>
            <w:r w:rsidRPr="00AE7475">
              <w:rPr>
                <w:rFonts w:eastAsia="Times New Roman" w:cs="Arial"/>
                <w:color w:val="000000"/>
                <w:lang w:eastAsia="es-MX"/>
              </w:rPr>
              <w:t>Hermosillo en Paz</w:t>
            </w:r>
            <w:r>
              <w:rPr>
                <w:rFonts w:eastAsia="Times New Roman" w:cs="Arial"/>
                <w:color w:val="000000"/>
                <w:lang w:eastAsia="es-MX"/>
              </w:rPr>
              <w:t xml:space="preserve"> y Conectado</w:t>
            </w:r>
          </w:p>
        </w:tc>
        <w:tc>
          <w:tcPr>
            <w:tcW w:w="910"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4FA5241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11</w:t>
            </w:r>
          </w:p>
        </w:tc>
        <w:tc>
          <w:tcPr>
            <w:tcW w:w="1327"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0D66E665"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28</w:t>
            </w:r>
          </w:p>
        </w:tc>
        <w:tc>
          <w:tcPr>
            <w:tcW w:w="1095"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3FA16837"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115</w:t>
            </w:r>
          </w:p>
        </w:tc>
      </w:tr>
      <w:tr w:rsidR="00C028AC" w:rsidRPr="005233FA" w14:paraId="1C2B8DAD" w14:textId="77777777" w:rsidTr="005D45B5">
        <w:trPr>
          <w:trHeight w:val="525"/>
        </w:trPr>
        <w:tc>
          <w:tcPr>
            <w:tcW w:w="562" w:type="dxa"/>
            <w:tcBorders>
              <w:top w:val="single" w:sz="4" w:space="0" w:color="auto"/>
              <w:left w:val="single" w:sz="4" w:space="0" w:color="auto"/>
              <w:bottom w:val="single" w:sz="4" w:space="0" w:color="auto"/>
              <w:right w:val="single" w:sz="4" w:space="0" w:color="auto"/>
            </w:tcBorders>
            <w:shd w:val="clear" w:color="auto" w:fill="92D050"/>
            <w:vAlign w:val="center"/>
          </w:tcPr>
          <w:p w14:paraId="486F47BB" w14:textId="77777777" w:rsidR="00C028AC" w:rsidRPr="008D2944" w:rsidRDefault="00C028AC" w:rsidP="00B205BA">
            <w:pPr>
              <w:pStyle w:val="Prrafodelista"/>
              <w:numPr>
                <w:ilvl w:val="0"/>
                <w:numId w:val="29"/>
              </w:numPr>
              <w:spacing w:after="120" w:line="240" w:lineRule="auto"/>
              <w:contextualSpacing w:val="0"/>
              <w:jc w:val="left"/>
              <w:rPr>
                <w:rFonts w:eastAsia="Times New Roman" w:cs="Arial"/>
                <w:color w:val="000000"/>
                <w:lang w:eastAsia="es-MX"/>
              </w:rPr>
            </w:pPr>
          </w:p>
        </w:tc>
        <w:tc>
          <w:tcPr>
            <w:tcW w:w="4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FB363" w14:textId="77777777" w:rsidR="00C028AC" w:rsidRPr="00AE7475" w:rsidRDefault="00C028AC" w:rsidP="00B205BA">
            <w:pPr>
              <w:spacing w:after="120" w:line="240" w:lineRule="auto"/>
              <w:rPr>
                <w:rFonts w:eastAsia="Times New Roman" w:cs="Arial"/>
                <w:color w:val="000000"/>
                <w:lang w:eastAsia="es-MX"/>
              </w:rPr>
            </w:pPr>
            <w:r w:rsidRPr="00AE7475">
              <w:rPr>
                <w:rFonts w:eastAsia="Times New Roman" w:cs="Arial"/>
                <w:color w:val="000000"/>
                <w:lang w:eastAsia="es-MX"/>
              </w:rPr>
              <w:t>Hermosillo Sostenible</w:t>
            </w:r>
            <w:r>
              <w:rPr>
                <w:rFonts w:eastAsia="Times New Roman" w:cs="Arial"/>
                <w:color w:val="000000"/>
                <w:lang w:eastAsia="es-MX"/>
              </w:rPr>
              <w:t xml:space="preserve"> e Innovador</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1D0BC"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14</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161D7"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30</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328A8"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124</w:t>
            </w:r>
          </w:p>
        </w:tc>
      </w:tr>
      <w:tr w:rsidR="00C028AC" w:rsidRPr="005233FA" w14:paraId="0CBB0980" w14:textId="77777777" w:rsidTr="005D45B5">
        <w:trPr>
          <w:trHeight w:val="525"/>
        </w:trPr>
        <w:tc>
          <w:tcPr>
            <w:tcW w:w="562" w:type="dxa"/>
            <w:tcBorders>
              <w:top w:val="single" w:sz="4" w:space="0" w:color="auto"/>
              <w:left w:val="single" w:sz="4" w:space="0" w:color="auto"/>
              <w:bottom w:val="single" w:sz="4" w:space="0" w:color="auto"/>
              <w:right w:val="single" w:sz="4" w:space="0" w:color="auto"/>
            </w:tcBorders>
            <w:shd w:val="clear" w:color="auto" w:fill="FFFF00"/>
            <w:vAlign w:val="center"/>
          </w:tcPr>
          <w:p w14:paraId="4DE6D4C1" w14:textId="77777777" w:rsidR="00C028AC" w:rsidRPr="008D2944" w:rsidRDefault="00C028AC" w:rsidP="00B205BA">
            <w:pPr>
              <w:pStyle w:val="Prrafodelista"/>
              <w:numPr>
                <w:ilvl w:val="0"/>
                <w:numId w:val="29"/>
              </w:numPr>
              <w:spacing w:after="120" w:line="240" w:lineRule="auto"/>
              <w:contextualSpacing w:val="0"/>
              <w:jc w:val="left"/>
              <w:rPr>
                <w:rFonts w:eastAsia="Times New Roman" w:cs="Arial"/>
                <w:color w:val="000000"/>
                <w:lang w:eastAsia="es-MX"/>
              </w:rPr>
            </w:pPr>
          </w:p>
        </w:tc>
        <w:tc>
          <w:tcPr>
            <w:tcW w:w="4934"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2B7CBEB7" w14:textId="77777777" w:rsidR="00C028AC" w:rsidRPr="00AE7475" w:rsidRDefault="00C028AC" w:rsidP="00B205BA">
            <w:pPr>
              <w:spacing w:after="120" w:line="240" w:lineRule="auto"/>
              <w:rPr>
                <w:rFonts w:eastAsia="Times New Roman" w:cs="Arial"/>
                <w:color w:val="000000"/>
                <w:lang w:eastAsia="es-MX"/>
              </w:rPr>
            </w:pPr>
            <w:r w:rsidRPr="00AE7475">
              <w:rPr>
                <w:rFonts w:eastAsia="Times New Roman" w:cs="Arial"/>
                <w:color w:val="000000"/>
                <w:lang w:eastAsia="es-MX"/>
              </w:rPr>
              <w:t>Hermosillo Activo</w:t>
            </w:r>
            <w:r>
              <w:rPr>
                <w:rFonts w:eastAsia="Times New Roman" w:cs="Arial"/>
                <w:color w:val="000000"/>
                <w:lang w:eastAsia="es-MX"/>
              </w:rPr>
              <w:t xml:space="preserve"> y Competitivo</w:t>
            </w:r>
          </w:p>
        </w:tc>
        <w:tc>
          <w:tcPr>
            <w:tcW w:w="910"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6BAD3AB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9</w:t>
            </w:r>
          </w:p>
        </w:tc>
        <w:tc>
          <w:tcPr>
            <w:tcW w:w="1327"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6FB235D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16</w:t>
            </w:r>
          </w:p>
        </w:tc>
        <w:tc>
          <w:tcPr>
            <w:tcW w:w="1095"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22C8CF07"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76</w:t>
            </w:r>
          </w:p>
        </w:tc>
      </w:tr>
      <w:tr w:rsidR="00C028AC" w:rsidRPr="005233FA" w14:paraId="3B05BC2A" w14:textId="77777777" w:rsidTr="005D45B5">
        <w:trPr>
          <w:trHeight w:val="525"/>
        </w:trPr>
        <w:tc>
          <w:tcPr>
            <w:tcW w:w="562" w:type="dxa"/>
            <w:tcBorders>
              <w:top w:val="single" w:sz="4" w:space="0" w:color="auto"/>
              <w:left w:val="single" w:sz="4" w:space="0" w:color="auto"/>
              <w:bottom w:val="single" w:sz="4" w:space="0" w:color="auto"/>
              <w:right w:val="single" w:sz="4" w:space="0" w:color="auto"/>
            </w:tcBorders>
            <w:shd w:val="clear" w:color="auto" w:fill="00B0F0"/>
            <w:vAlign w:val="center"/>
          </w:tcPr>
          <w:p w14:paraId="7E6831B0" w14:textId="77777777" w:rsidR="00C028AC" w:rsidRPr="008D2944" w:rsidRDefault="00C028AC" w:rsidP="00B205BA">
            <w:pPr>
              <w:pStyle w:val="Prrafodelista"/>
              <w:numPr>
                <w:ilvl w:val="0"/>
                <w:numId w:val="29"/>
              </w:numPr>
              <w:spacing w:after="120" w:line="240" w:lineRule="auto"/>
              <w:contextualSpacing w:val="0"/>
              <w:jc w:val="left"/>
              <w:rPr>
                <w:rFonts w:eastAsia="Times New Roman" w:cs="Arial"/>
                <w:color w:val="000000"/>
                <w:lang w:eastAsia="es-MX"/>
              </w:rPr>
            </w:pPr>
          </w:p>
        </w:tc>
        <w:tc>
          <w:tcPr>
            <w:tcW w:w="4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723FF" w14:textId="77777777" w:rsidR="00C028AC" w:rsidRPr="00AE7475" w:rsidRDefault="00C028AC" w:rsidP="00B205BA">
            <w:pPr>
              <w:spacing w:after="120" w:line="240" w:lineRule="auto"/>
              <w:rPr>
                <w:rFonts w:eastAsia="Times New Roman" w:cs="Arial"/>
                <w:color w:val="000000"/>
                <w:lang w:eastAsia="es-MX"/>
              </w:rPr>
            </w:pPr>
            <w:r w:rsidRPr="00AE7475">
              <w:rPr>
                <w:rFonts w:eastAsia="Times New Roman" w:cs="Arial"/>
                <w:color w:val="000000"/>
                <w:lang w:eastAsia="es-MX"/>
              </w:rPr>
              <w:t>Hermosillo Vivo</w:t>
            </w:r>
            <w:r>
              <w:rPr>
                <w:rFonts w:eastAsia="Times New Roman" w:cs="Arial"/>
                <w:color w:val="000000"/>
                <w:lang w:eastAsia="es-MX"/>
              </w:rPr>
              <w:t xml:space="preserve"> e Incluyente </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CDF9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10</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AFB6C"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23</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C4E5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110</w:t>
            </w:r>
          </w:p>
        </w:tc>
      </w:tr>
      <w:tr w:rsidR="00C028AC" w:rsidRPr="005233FA" w14:paraId="4ECE4DA1" w14:textId="77777777" w:rsidTr="005D45B5">
        <w:trPr>
          <w:trHeight w:val="525"/>
        </w:trPr>
        <w:tc>
          <w:tcPr>
            <w:tcW w:w="562" w:type="dxa"/>
            <w:tcBorders>
              <w:top w:val="single" w:sz="4" w:space="0" w:color="auto"/>
              <w:left w:val="single" w:sz="4" w:space="0" w:color="auto"/>
              <w:bottom w:val="single" w:sz="4" w:space="0" w:color="auto"/>
              <w:right w:val="single" w:sz="4" w:space="0" w:color="auto"/>
            </w:tcBorders>
            <w:shd w:val="clear" w:color="auto" w:fill="7030A0"/>
            <w:vAlign w:val="center"/>
          </w:tcPr>
          <w:p w14:paraId="66107451" w14:textId="77777777" w:rsidR="00C028AC" w:rsidRPr="008D2944" w:rsidRDefault="00C028AC" w:rsidP="00B205BA">
            <w:pPr>
              <w:pStyle w:val="Prrafodelista"/>
              <w:numPr>
                <w:ilvl w:val="0"/>
                <w:numId w:val="29"/>
              </w:numPr>
              <w:spacing w:after="120" w:line="240" w:lineRule="auto"/>
              <w:contextualSpacing w:val="0"/>
              <w:jc w:val="left"/>
              <w:rPr>
                <w:rFonts w:eastAsia="Times New Roman" w:cs="Arial"/>
                <w:color w:val="000000"/>
                <w:lang w:eastAsia="es-MX"/>
              </w:rPr>
            </w:pPr>
          </w:p>
        </w:tc>
        <w:tc>
          <w:tcPr>
            <w:tcW w:w="4934"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204B3832" w14:textId="77777777" w:rsidR="00C028AC" w:rsidRPr="00AE7475" w:rsidRDefault="00C028AC" w:rsidP="00B205BA">
            <w:pPr>
              <w:spacing w:after="120" w:line="240" w:lineRule="auto"/>
              <w:rPr>
                <w:rFonts w:eastAsia="Times New Roman" w:cs="Arial"/>
                <w:color w:val="000000"/>
                <w:lang w:eastAsia="es-MX"/>
              </w:rPr>
            </w:pPr>
            <w:r w:rsidRPr="00AE7475">
              <w:rPr>
                <w:rFonts w:eastAsia="Times New Roman" w:cs="Arial"/>
                <w:color w:val="000000"/>
                <w:lang w:eastAsia="es-MX"/>
              </w:rPr>
              <w:t>Hermosillo Ciudadano</w:t>
            </w:r>
            <w:r>
              <w:rPr>
                <w:rFonts w:eastAsia="Times New Roman" w:cs="Arial"/>
                <w:color w:val="000000"/>
                <w:lang w:eastAsia="es-MX"/>
              </w:rPr>
              <w:t xml:space="preserve"> </w:t>
            </w:r>
            <w:r w:rsidRPr="00431D3D">
              <w:rPr>
                <w:rFonts w:eastAsia="Times New Roman" w:cs="Arial"/>
                <w:color w:val="000000"/>
                <w:lang w:eastAsia="es-MX"/>
              </w:rPr>
              <w:t>y Transparente</w:t>
            </w:r>
          </w:p>
        </w:tc>
        <w:tc>
          <w:tcPr>
            <w:tcW w:w="910"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00B797CE"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15</w:t>
            </w:r>
          </w:p>
        </w:tc>
        <w:tc>
          <w:tcPr>
            <w:tcW w:w="1327"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1E4771CF"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35</w:t>
            </w:r>
          </w:p>
        </w:tc>
        <w:tc>
          <w:tcPr>
            <w:tcW w:w="1095"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35E5DFF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138</w:t>
            </w:r>
          </w:p>
        </w:tc>
      </w:tr>
      <w:tr w:rsidR="00C028AC" w:rsidRPr="005233FA" w14:paraId="14EC38C6" w14:textId="77777777" w:rsidTr="005D45B5">
        <w:trPr>
          <w:trHeight w:val="315"/>
        </w:trPr>
        <w:tc>
          <w:tcPr>
            <w:tcW w:w="562" w:type="dxa"/>
            <w:tcBorders>
              <w:top w:val="single" w:sz="4" w:space="0" w:color="auto"/>
              <w:left w:val="single" w:sz="4" w:space="0" w:color="auto"/>
              <w:bottom w:val="single" w:sz="4" w:space="0" w:color="auto"/>
              <w:right w:val="single" w:sz="4" w:space="0" w:color="auto"/>
            </w:tcBorders>
            <w:vAlign w:val="center"/>
          </w:tcPr>
          <w:p w14:paraId="5B84E683" w14:textId="77777777" w:rsidR="00C028AC" w:rsidRPr="00AE7475" w:rsidRDefault="00C028AC" w:rsidP="00B205BA">
            <w:pPr>
              <w:spacing w:after="120" w:line="240" w:lineRule="auto"/>
              <w:rPr>
                <w:rFonts w:eastAsia="Times New Roman" w:cs="Arial"/>
                <w:b/>
                <w:bCs/>
                <w:color w:val="000000"/>
                <w:lang w:eastAsia="es-MX"/>
              </w:rPr>
            </w:pPr>
          </w:p>
        </w:tc>
        <w:tc>
          <w:tcPr>
            <w:tcW w:w="4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C254E" w14:textId="77777777" w:rsidR="00C028AC" w:rsidRPr="00AE7475" w:rsidRDefault="00C028AC" w:rsidP="00B205BA">
            <w:pPr>
              <w:spacing w:after="120" w:line="240" w:lineRule="auto"/>
              <w:rPr>
                <w:rFonts w:eastAsia="Times New Roman" w:cs="Arial"/>
                <w:b/>
                <w:bCs/>
                <w:color w:val="000000"/>
                <w:lang w:eastAsia="es-MX"/>
              </w:rPr>
            </w:pPr>
            <w:r w:rsidRPr="00AE7475">
              <w:rPr>
                <w:rFonts w:eastAsia="Times New Roman" w:cs="Arial"/>
                <w:b/>
                <w:bCs/>
                <w:color w:val="000000"/>
                <w:lang w:eastAsia="es-MX"/>
              </w:rPr>
              <w:t>Total</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FE28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59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2099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cs="Arial"/>
                <w:color w:val="000000"/>
              </w:rPr>
              <w:t>132</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5E62D" w14:textId="77777777" w:rsidR="00C028AC" w:rsidRPr="00431D3D" w:rsidRDefault="00C028AC" w:rsidP="00B205BA">
            <w:pPr>
              <w:spacing w:after="120" w:line="240" w:lineRule="auto"/>
              <w:jc w:val="center"/>
              <w:rPr>
                <w:rFonts w:eastAsia="Times New Roman" w:cs="Arial"/>
                <w:b/>
                <w:bCs/>
                <w:color w:val="000000"/>
                <w:lang w:eastAsia="es-MX"/>
              </w:rPr>
            </w:pPr>
            <w:r w:rsidRPr="00431D3D">
              <w:rPr>
                <w:rFonts w:cs="Arial"/>
                <w:color w:val="000000"/>
              </w:rPr>
              <w:t>563</w:t>
            </w:r>
          </w:p>
        </w:tc>
      </w:tr>
    </w:tbl>
    <w:p w14:paraId="01D83E6A" w14:textId="0ACEC06B" w:rsidR="00C15D49" w:rsidRPr="00C15D49" w:rsidRDefault="00C15D49" w:rsidP="00B205BA">
      <w:pPr>
        <w:spacing w:after="120" w:line="240" w:lineRule="auto"/>
        <w:rPr>
          <w:rFonts w:cs="Arial"/>
          <w:noProof/>
          <w:sz w:val="18"/>
          <w:szCs w:val="18"/>
        </w:rPr>
      </w:pPr>
      <w:r w:rsidRPr="00C15D49">
        <w:rPr>
          <w:rFonts w:cs="Arial"/>
          <w:noProof/>
          <w:sz w:val="18"/>
          <w:szCs w:val="18"/>
        </w:rPr>
        <w:lastRenderedPageBreak/>
        <w:t>Fuente: Elaboración propia con datos del PED 202</w:t>
      </w:r>
      <w:r>
        <w:rPr>
          <w:rFonts w:cs="Arial"/>
          <w:noProof/>
          <w:sz w:val="18"/>
          <w:szCs w:val="18"/>
        </w:rPr>
        <w:t>5</w:t>
      </w:r>
      <w:r w:rsidRPr="00C15D49">
        <w:rPr>
          <w:rFonts w:cs="Arial"/>
          <w:noProof/>
          <w:sz w:val="18"/>
          <w:szCs w:val="18"/>
        </w:rPr>
        <w:t>-2027.</w:t>
      </w:r>
    </w:p>
    <w:p w14:paraId="454AB109" w14:textId="77777777" w:rsidR="00C028AC" w:rsidRDefault="00C028AC" w:rsidP="00B205BA">
      <w:pPr>
        <w:spacing w:after="120" w:line="240" w:lineRule="auto"/>
        <w:rPr>
          <w:rFonts w:cs="Arial"/>
          <w:noProof/>
        </w:rPr>
      </w:pPr>
    </w:p>
    <w:p w14:paraId="281D2CD3" w14:textId="3854C391" w:rsidR="00C028AC" w:rsidRDefault="00C028AC" w:rsidP="00B205BA">
      <w:pPr>
        <w:spacing w:after="120" w:line="240" w:lineRule="auto"/>
        <w:rPr>
          <w:rFonts w:cs="Arial"/>
          <w:noProof/>
        </w:rPr>
      </w:pPr>
      <w:r>
        <w:rPr>
          <w:rFonts w:cs="Arial"/>
          <w:noProof/>
        </w:rPr>
        <w:t xml:space="preserve">Por su parte, el PED 2021-2027 cuenta con 240 líneas de acción, 49 estrategias y 10 objetivos,  distribuidos en 4 ejes como se muestra a continuación: </w:t>
      </w:r>
    </w:p>
    <w:p w14:paraId="024D6F66" w14:textId="77777777" w:rsidR="00C028AC" w:rsidRPr="008D2944" w:rsidRDefault="00C028AC" w:rsidP="00B205BA">
      <w:pPr>
        <w:spacing w:after="120" w:line="240" w:lineRule="auto"/>
        <w:jc w:val="center"/>
        <w:rPr>
          <w:rFonts w:cs="Arial"/>
          <w:b/>
          <w:bCs/>
          <w:noProof/>
        </w:rPr>
      </w:pPr>
      <w:r w:rsidRPr="008D2944">
        <w:rPr>
          <w:rFonts w:cs="Arial"/>
          <w:b/>
          <w:bCs/>
          <w:noProof/>
        </w:rPr>
        <w:t>Tabla. Número total de objetivos, estrategias y líneas de acción por eje del Plan Estatal de Desarrollo 2021-2027.</w:t>
      </w:r>
    </w:p>
    <w:tbl>
      <w:tblPr>
        <w:tblW w:w="8828" w:type="dxa"/>
        <w:jc w:val="center"/>
        <w:tblCellMar>
          <w:left w:w="70" w:type="dxa"/>
          <w:right w:w="70" w:type="dxa"/>
        </w:tblCellMar>
        <w:tblLook w:val="04A0" w:firstRow="1" w:lastRow="0" w:firstColumn="1" w:lastColumn="0" w:noHBand="0" w:noVBand="1"/>
      </w:tblPr>
      <w:tblGrid>
        <w:gridCol w:w="4669"/>
        <w:gridCol w:w="1220"/>
        <w:gridCol w:w="1204"/>
        <w:gridCol w:w="1735"/>
      </w:tblGrid>
      <w:tr w:rsidR="00C028AC" w:rsidRPr="005233FA" w14:paraId="0F888C9A" w14:textId="77777777" w:rsidTr="005D45B5">
        <w:trPr>
          <w:trHeight w:val="300"/>
          <w:jc w:val="center"/>
        </w:trPr>
        <w:tc>
          <w:tcPr>
            <w:tcW w:w="46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B7603D"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Ejes</w:t>
            </w:r>
          </w:p>
        </w:tc>
        <w:tc>
          <w:tcPr>
            <w:tcW w:w="1220" w:type="dxa"/>
            <w:tcBorders>
              <w:top w:val="single" w:sz="4" w:space="0" w:color="auto"/>
              <w:left w:val="nil"/>
              <w:bottom w:val="single" w:sz="4" w:space="0" w:color="auto"/>
              <w:right w:val="single" w:sz="4" w:space="0" w:color="auto"/>
            </w:tcBorders>
            <w:shd w:val="clear" w:color="000000" w:fill="D9D9D9"/>
            <w:noWrap/>
            <w:vAlign w:val="bottom"/>
            <w:hideMark/>
          </w:tcPr>
          <w:p w14:paraId="68F3E93D" w14:textId="77777777" w:rsidR="00C028AC" w:rsidRPr="00AE7475" w:rsidRDefault="00C028AC" w:rsidP="00B205BA">
            <w:pPr>
              <w:spacing w:after="120" w:line="240" w:lineRule="auto"/>
              <w:rPr>
                <w:rFonts w:eastAsia="Times New Roman" w:cs="Arial"/>
                <w:b/>
                <w:bCs/>
                <w:color w:val="000000"/>
                <w:lang w:eastAsia="es-MX"/>
              </w:rPr>
            </w:pPr>
            <w:r w:rsidRPr="00AE7475">
              <w:rPr>
                <w:rFonts w:eastAsia="Times New Roman" w:cs="Arial"/>
                <w:b/>
                <w:bCs/>
                <w:color w:val="000000"/>
                <w:lang w:eastAsia="es-MX"/>
              </w:rPr>
              <w:t>Objetivo</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7047BB46" w14:textId="77777777" w:rsidR="00C028AC" w:rsidRPr="00AE7475" w:rsidRDefault="00C028AC" w:rsidP="00B205BA">
            <w:pPr>
              <w:spacing w:after="120" w:line="240" w:lineRule="auto"/>
              <w:rPr>
                <w:rFonts w:eastAsia="Times New Roman" w:cs="Arial"/>
                <w:b/>
                <w:bCs/>
                <w:color w:val="000000"/>
                <w:lang w:eastAsia="es-MX"/>
              </w:rPr>
            </w:pPr>
            <w:r w:rsidRPr="00AE7475">
              <w:rPr>
                <w:rFonts w:eastAsia="Times New Roman" w:cs="Arial"/>
                <w:b/>
                <w:bCs/>
                <w:color w:val="000000"/>
                <w:lang w:eastAsia="es-MX"/>
              </w:rPr>
              <w:t>Estrategia</w:t>
            </w:r>
          </w:p>
        </w:tc>
        <w:tc>
          <w:tcPr>
            <w:tcW w:w="1735" w:type="dxa"/>
            <w:tcBorders>
              <w:top w:val="single" w:sz="4" w:space="0" w:color="auto"/>
              <w:left w:val="nil"/>
              <w:bottom w:val="single" w:sz="4" w:space="0" w:color="auto"/>
              <w:right w:val="single" w:sz="4" w:space="0" w:color="auto"/>
            </w:tcBorders>
            <w:shd w:val="clear" w:color="D9E1F2" w:fill="D9D9D9"/>
            <w:noWrap/>
            <w:vAlign w:val="center"/>
            <w:hideMark/>
          </w:tcPr>
          <w:p w14:paraId="0AE85EC6"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L.A.</w:t>
            </w:r>
          </w:p>
        </w:tc>
      </w:tr>
      <w:tr w:rsidR="00C028AC" w:rsidRPr="005233FA" w14:paraId="3BC0ED4E" w14:textId="77777777" w:rsidTr="005D45B5">
        <w:trPr>
          <w:trHeight w:val="300"/>
          <w:jc w:val="center"/>
        </w:trPr>
        <w:tc>
          <w:tcPr>
            <w:tcW w:w="4670" w:type="dxa"/>
            <w:tcBorders>
              <w:top w:val="nil"/>
              <w:left w:val="single" w:sz="4" w:space="0" w:color="auto"/>
              <w:bottom w:val="single" w:sz="4" w:space="0" w:color="auto"/>
              <w:right w:val="single" w:sz="4" w:space="0" w:color="auto"/>
            </w:tcBorders>
            <w:shd w:val="clear" w:color="000000" w:fill="F2F2F2"/>
            <w:noWrap/>
            <w:vAlign w:val="bottom"/>
            <w:hideMark/>
          </w:tcPr>
          <w:p w14:paraId="0486AC0B" w14:textId="77777777" w:rsidR="00C028AC" w:rsidRPr="00AE7475" w:rsidRDefault="00C028AC" w:rsidP="00B205BA">
            <w:pPr>
              <w:spacing w:after="120" w:line="240" w:lineRule="auto"/>
              <w:rPr>
                <w:rFonts w:eastAsia="Times New Roman" w:cs="Arial"/>
                <w:color w:val="000000"/>
                <w:lang w:eastAsia="es-MX"/>
              </w:rPr>
            </w:pPr>
            <w:r w:rsidRPr="00AE7475">
              <w:rPr>
                <w:rFonts w:eastAsia="Times New Roman" w:cs="Arial"/>
                <w:color w:val="000000"/>
                <w:lang w:eastAsia="es-MX"/>
              </w:rPr>
              <w:t>1. Un gobierno para todas y todos</w:t>
            </w:r>
          </w:p>
        </w:tc>
        <w:tc>
          <w:tcPr>
            <w:tcW w:w="1220" w:type="dxa"/>
            <w:tcBorders>
              <w:top w:val="nil"/>
              <w:left w:val="nil"/>
              <w:bottom w:val="single" w:sz="4" w:space="0" w:color="auto"/>
              <w:right w:val="single" w:sz="4" w:space="0" w:color="auto"/>
            </w:tcBorders>
            <w:shd w:val="clear" w:color="000000" w:fill="F2F2F2"/>
            <w:noWrap/>
            <w:vAlign w:val="center"/>
            <w:hideMark/>
          </w:tcPr>
          <w:p w14:paraId="3D82C909"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3</w:t>
            </w:r>
          </w:p>
        </w:tc>
        <w:tc>
          <w:tcPr>
            <w:tcW w:w="1203" w:type="dxa"/>
            <w:tcBorders>
              <w:top w:val="nil"/>
              <w:left w:val="nil"/>
              <w:bottom w:val="single" w:sz="4" w:space="0" w:color="auto"/>
              <w:right w:val="single" w:sz="4" w:space="0" w:color="auto"/>
            </w:tcBorders>
            <w:shd w:val="clear" w:color="000000" w:fill="F2F2F2"/>
            <w:noWrap/>
            <w:vAlign w:val="center"/>
            <w:hideMark/>
          </w:tcPr>
          <w:p w14:paraId="5D672A18"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16</w:t>
            </w:r>
          </w:p>
        </w:tc>
        <w:tc>
          <w:tcPr>
            <w:tcW w:w="1735" w:type="dxa"/>
            <w:tcBorders>
              <w:top w:val="nil"/>
              <w:left w:val="nil"/>
              <w:bottom w:val="single" w:sz="4" w:space="0" w:color="auto"/>
              <w:right w:val="single" w:sz="4" w:space="0" w:color="auto"/>
            </w:tcBorders>
            <w:shd w:val="clear" w:color="000000" w:fill="F2F2F2"/>
            <w:noWrap/>
            <w:vAlign w:val="center"/>
            <w:hideMark/>
          </w:tcPr>
          <w:p w14:paraId="59C6D407"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76</w:t>
            </w:r>
          </w:p>
        </w:tc>
      </w:tr>
      <w:tr w:rsidR="00C028AC" w:rsidRPr="00AE7475" w14:paraId="13451B3C" w14:textId="77777777" w:rsidTr="005D45B5">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35C9E3A" w14:textId="77777777" w:rsidR="00C028AC" w:rsidRPr="00AE7475" w:rsidRDefault="00C028AC" w:rsidP="00B205BA">
            <w:pPr>
              <w:spacing w:after="120" w:line="240" w:lineRule="auto"/>
              <w:rPr>
                <w:rFonts w:eastAsia="Times New Roman" w:cs="Arial"/>
                <w:color w:val="000000"/>
                <w:lang w:eastAsia="es-MX"/>
              </w:rPr>
            </w:pPr>
            <w:r w:rsidRPr="00AE7475">
              <w:rPr>
                <w:rFonts w:eastAsia="Times New Roman" w:cs="Arial"/>
                <w:color w:val="000000"/>
                <w:lang w:eastAsia="es-MX"/>
              </w:rPr>
              <w:t>2. El presupuesto social más grande de la historia</w:t>
            </w:r>
          </w:p>
        </w:tc>
        <w:tc>
          <w:tcPr>
            <w:tcW w:w="1220" w:type="dxa"/>
            <w:tcBorders>
              <w:top w:val="nil"/>
              <w:left w:val="nil"/>
              <w:bottom w:val="single" w:sz="4" w:space="0" w:color="auto"/>
              <w:right w:val="single" w:sz="4" w:space="0" w:color="auto"/>
            </w:tcBorders>
            <w:shd w:val="clear" w:color="auto" w:fill="auto"/>
            <w:noWrap/>
            <w:vAlign w:val="center"/>
            <w:hideMark/>
          </w:tcPr>
          <w:p w14:paraId="432F0F8E"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2</w:t>
            </w:r>
          </w:p>
        </w:tc>
        <w:tc>
          <w:tcPr>
            <w:tcW w:w="1203" w:type="dxa"/>
            <w:tcBorders>
              <w:top w:val="nil"/>
              <w:left w:val="nil"/>
              <w:bottom w:val="single" w:sz="4" w:space="0" w:color="auto"/>
              <w:right w:val="single" w:sz="4" w:space="0" w:color="auto"/>
            </w:tcBorders>
            <w:shd w:val="clear" w:color="auto" w:fill="auto"/>
            <w:noWrap/>
            <w:vAlign w:val="center"/>
            <w:hideMark/>
          </w:tcPr>
          <w:p w14:paraId="7F74976B"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8</w:t>
            </w:r>
          </w:p>
        </w:tc>
        <w:tc>
          <w:tcPr>
            <w:tcW w:w="1735" w:type="dxa"/>
            <w:tcBorders>
              <w:top w:val="nil"/>
              <w:left w:val="nil"/>
              <w:bottom w:val="single" w:sz="4" w:space="0" w:color="auto"/>
              <w:right w:val="single" w:sz="4" w:space="0" w:color="auto"/>
            </w:tcBorders>
            <w:shd w:val="clear" w:color="auto" w:fill="auto"/>
            <w:noWrap/>
            <w:vAlign w:val="center"/>
            <w:hideMark/>
          </w:tcPr>
          <w:p w14:paraId="36E1E619"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43</w:t>
            </w:r>
          </w:p>
        </w:tc>
      </w:tr>
      <w:tr w:rsidR="00C028AC" w:rsidRPr="005233FA" w14:paraId="3F0D8816" w14:textId="77777777" w:rsidTr="005D45B5">
        <w:trPr>
          <w:trHeight w:val="300"/>
          <w:jc w:val="center"/>
        </w:trPr>
        <w:tc>
          <w:tcPr>
            <w:tcW w:w="4670" w:type="dxa"/>
            <w:tcBorders>
              <w:top w:val="nil"/>
              <w:left w:val="single" w:sz="4" w:space="0" w:color="auto"/>
              <w:bottom w:val="single" w:sz="4" w:space="0" w:color="auto"/>
              <w:right w:val="single" w:sz="4" w:space="0" w:color="auto"/>
            </w:tcBorders>
            <w:shd w:val="clear" w:color="000000" w:fill="F2F2F2"/>
            <w:noWrap/>
            <w:vAlign w:val="bottom"/>
            <w:hideMark/>
          </w:tcPr>
          <w:p w14:paraId="5D329194" w14:textId="77777777" w:rsidR="00C028AC" w:rsidRPr="00AE7475" w:rsidRDefault="00C028AC" w:rsidP="00B205BA">
            <w:pPr>
              <w:spacing w:after="120" w:line="240" w:lineRule="auto"/>
              <w:rPr>
                <w:rFonts w:eastAsia="Times New Roman" w:cs="Arial"/>
                <w:color w:val="000000"/>
                <w:lang w:eastAsia="es-MX"/>
              </w:rPr>
            </w:pPr>
            <w:r w:rsidRPr="00AE7475">
              <w:rPr>
                <w:rFonts w:eastAsia="Times New Roman" w:cs="Arial"/>
                <w:color w:val="000000"/>
                <w:lang w:eastAsia="es-MX"/>
              </w:rPr>
              <w:t xml:space="preserve">3. La igualdad efectiva de derecho para todas y todos </w:t>
            </w:r>
          </w:p>
        </w:tc>
        <w:tc>
          <w:tcPr>
            <w:tcW w:w="1220" w:type="dxa"/>
            <w:tcBorders>
              <w:top w:val="nil"/>
              <w:left w:val="nil"/>
              <w:bottom w:val="single" w:sz="4" w:space="0" w:color="auto"/>
              <w:right w:val="single" w:sz="4" w:space="0" w:color="auto"/>
            </w:tcBorders>
            <w:shd w:val="clear" w:color="000000" w:fill="F2F2F2"/>
            <w:noWrap/>
            <w:vAlign w:val="center"/>
            <w:hideMark/>
          </w:tcPr>
          <w:p w14:paraId="7807D139"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2</w:t>
            </w:r>
          </w:p>
        </w:tc>
        <w:tc>
          <w:tcPr>
            <w:tcW w:w="1203" w:type="dxa"/>
            <w:tcBorders>
              <w:top w:val="nil"/>
              <w:left w:val="nil"/>
              <w:bottom w:val="single" w:sz="4" w:space="0" w:color="auto"/>
              <w:right w:val="single" w:sz="4" w:space="0" w:color="auto"/>
            </w:tcBorders>
            <w:shd w:val="clear" w:color="000000" w:fill="F2F2F2"/>
            <w:noWrap/>
            <w:vAlign w:val="center"/>
            <w:hideMark/>
          </w:tcPr>
          <w:p w14:paraId="5EF27E94"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11</w:t>
            </w:r>
          </w:p>
        </w:tc>
        <w:tc>
          <w:tcPr>
            <w:tcW w:w="1735" w:type="dxa"/>
            <w:tcBorders>
              <w:top w:val="nil"/>
              <w:left w:val="nil"/>
              <w:bottom w:val="single" w:sz="4" w:space="0" w:color="auto"/>
              <w:right w:val="single" w:sz="4" w:space="0" w:color="auto"/>
            </w:tcBorders>
            <w:shd w:val="clear" w:color="000000" w:fill="F2F2F2"/>
            <w:noWrap/>
            <w:vAlign w:val="center"/>
            <w:hideMark/>
          </w:tcPr>
          <w:p w14:paraId="17EECBCF"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57</w:t>
            </w:r>
          </w:p>
        </w:tc>
      </w:tr>
      <w:tr w:rsidR="00C028AC" w:rsidRPr="00AE7475" w14:paraId="54C808AD" w14:textId="77777777" w:rsidTr="005D45B5">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52A7D33" w14:textId="77777777" w:rsidR="00C028AC" w:rsidRPr="00AE7475" w:rsidRDefault="00C028AC" w:rsidP="00B205BA">
            <w:pPr>
              <w:spacing w:after="120" w:line="240" w:lineRule="auto"/>
              <w:rPr>
                <w:rFonts w:eastAsia="Times New Roman" w:cs="Arial"/>
                <w:color w:val="000000"/>
                <w:lang w:eastAsia="es-MX"/>
              </w:rPr>
            </w:pPr>
            <w:r w:rsidRPr="00AE7475">
              <w:rPr>
                <w:rFonts w:eastAsia="Times New Roman" w:cs="Arial"/>
                <w:color w:val="000000"/>
                <w:lang w:eastAsia="es-MX"/>
              </w:rPr>
              <w:t xml:space="preserve">4. Una coordinación histórica entre desarrollo y seguridad </w:t>
            </w:r>
          </w:p>
        </w:tc>
        <w:tc>
          <w:tcPr>
            <w:tcW w:w="1220" w:type="dxa"/>
            <w:tcBorders>
              <w:top w:val="nil"/>
              <w:left w:val="nil"/>
              <w:bottom w:val="single" w:sz="4" w:space="0" w:color="auto"/>
              <w:right w:val="single" w:sz="4" w:space="0" w:color="auto"/>
            </w:tcBorders>
            <w:shd w:val="clear" w:color="auto" w:fill="auto"/>
            <w:noWrap/>
            <w:vAlign w:val="center"/>
            <w:hideMark/>
          </w:tcPr>
          <w:p w14:paraId="4A11D2C3"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3</w:t>
            </w:r>
          </w:p>
        </w:tc>
        <w:tc>
          <w:tcPr>
            <w:tcW w:w="1203" w:type="dxa"/>
            <w:tcBorders>
              <w:top w:val="nil"/>
              <w:left w:val="nil"/>
              <w:bottom w:val="single" w:sz="4" w:space="0" w:color="auto"/>
              <w:right w:val="single" w:sz="4" w:space="0" w:color="auto"/>
            </w:tcBorders>
            <w:shd w:val="clear" w:color="auto" w:fill="auto"/>
            <w:noWrap/>
            <w:vAlign w:val="center"/>
            <w:hideMark/>
          </w:tcPr>
          <w:p w14:paraId="28CF5663"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14</w:t>
            </w:r>
          </w:p>
        </w:tc>
        <w:tc>
          <w:tcPr>
            <w:tcW w:w="1735" w:type="dxa"/>
            <w:tcBorders>
              <w:top w:val="nil"/>
              <w:left w:val="nil"/>
              <w:bottom w:val="single" w:sz="4" w:space="0" w:color="auto"/>
              <w:right w:val="single" w:sz="4" w:space="0" w:color="auto"/>
            </w:tcBorders>
            <w:shd w:val="clear" w:color="auto" w:fill="auto"/>
            <w:noWrap/>
            <w:vAlign w:val="center"/>
            <w:hideMark/>
          </w:tcPr>
          <w:p w14:paraId="3531DBBF" w14:textId="77777777" w:rsidR="00C028AC" w:rsidRPr="00AE7475" w:rsidRDefault="00C028AC" w:rsidP="00B205BA">
            <w:pPr>
              <w:spacing w:after="120" w:line="240" w:lineRule="auto"/>
              <w:jc w:val="center"/>
              <w:rPr>
                <w:rFonts w:eastAsia="Times New Roman" w:cs="Arial"/>
                <w:color w:val="000000"/>
                <w:lang w:eastAsia="es-MX"/>
              </w:rPr>
            </w:pPr>
            <w:r w:rsidRPr="00AE7475">
              <w:rPr>
                <w:rFonts w:eastAsia="Times New Roman" w:cs="Arial"/>
                <w:color w:val="000000"/>
                <w:lang w:eastAsia="es-MX"/>
              </w:rPr>
              <w:t>64</w:t>
            </w:r>
          </w:p>
        </w:tc>
      </w:tr>
      <w:tr w:rsidR="00C028AC" w:rsidRPr="005233FA" w14:paraId="446D7BE1" w14:textId="77777777" w:rsidTr="005D45B5">
        <w:trPr>
          <w:trHeight w:val="300"/>
          <w:jc w:val="center"/>
        </w:trPr>
        <w:tc>
          <w:tcPr>
            <w:tcW w:w="4670" w:type="dxa"/>
            <w:tcBorders>
              <w:top w:val="nil"/>
              <w:left w:val="single" w:sz="4" w:space="0" w:color="auto"/>
              <w:bottom w:val="single" w:sz="4" w:space="0" w:color="auto"/>
              <w:right w:val="single" w:sz="4" w:space="0" w:color="auto"/>
            </w:tcBorders>
            <w:shd w:val="clear" w:color="000000" w:fill="F2F2F2"/>
            <w:noWrap/>
            <w:vAlign w:val="center"/>
            <w:hideMark/>
          </w:tcPr>
          <w:p w14:paraId="1901A9F8"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Total</w:t>
            </w:r>
          </w:p>
        </w:tc>
        <w:tc>
          <w:tcPr>
            <w:tcW w:w="1220" w:type="dxa"/>
            <w:tcBorders>
              <w:top w:val="nil"/>
              <w:left w:val="nil"/>
              <w:bottom w:val="single" w:sz="4" w:space="0" w:color="auto"/>
              <w:right w:val="single" w:sz="4" w:space="0" w:color="auto"/>
            </w:tcBorders>
            <w:shd w:val="clear" w:color="000000" w:fill="F2F2F2"/>
            <w:noWrap/>
            <w:vAlign w:val="center"/>
            <w:hideMark/>
          </w:tcPr>
          <w:p w14:paraId="6FE24FC1"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10</w:t>
            </w:r>
          </w:p>
        </w:tc>
        <w:tc>
          <w:tcPr>
            <w:tcW w:w="1203" w:type="dxa"/>
            <w:tcBorders>
              <w:top w:val="nil"/>
              <w:left w:val="nil"/>
              <w:bottom w:val="single" w:sz="4" w:space="0" w:color="auto"/>
              <w:right w:val="single" w:sz="4" w:space="0" w:color="auto"/>
            </w:tcBorders>
            <w:shd w:val="clear" w:color="000000" w:fill="F2F2F2"/>
            <w:noWrap/>
            <w:vAlign w:val="center"/>
            <w:hideMark/>
          </w:tcPr>
          <w:p w14:paraId="581A95F3"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49</w:t>
            </w:r>
          </w:p>
        </w:tc>
        <w:tc>
          <w:tcPr>
            <w:tcW w:w="1735" w:type="dxa"/>
            <w:tcBorders>
              <w:top w:val="nil"/>
              <w:left w:val="nil"/>
              <w:bottom w:val="single" w:sz="4" w:space="0" w:color="auto"/>
              <w:right w:val="single" w:sz="4" w:space="0" w:color="auto"/>
            </w:tcBorders>
            <w:shd w:val="clear" w:color="D9E1F2" w:fill="F2F2F2"/>
            <w:noWrap/>
            <w:vAlign w:val="center"/>
            <w:hideMark/>
          </w:tcPr>
          <w:p w14:paraId="0EF7686B" w14:textId="77777777" w:rsidR="00C028AC" w:rsidRPr="00AE7475" w:rsidRDefault="00C028AC" w:rsidP="00B205BA">
            <w:pPr>
              <w:spacing w:after="120" w:line="240" w:lineRule="auto"/>
              <w:jc w:val="center"/>
              <w:rPr>
                <w:rFonts w:eastAsia="Times New Roman" w:cs="Arial"/>
                <w:b/>
                <w:bCs/>
                <w:color w:val="000000"/>
                <w:lang w:eastAsia="es-MX"/>
              </w:rPr>
            </w:pPr>
            <w:r w:rsidRPr="00AE7475">
              <w:rPr>
                <w:rFonts w:eastAsia="Times New Roman" w:cs="Arial"/>
                <w:b/>
                <w:bCs/>
                <w:color w:val="000000"/>
                <w:lang w:eastAsia="es-MX"/>
              </w:rPr>
              <w:t>240</w:t>
            </w:r>
          </w:p>
        </w:tc>
      </w:tr>
    </w:tbl>
    <w:p w14:paraId="37364A9E" w14:textId="3BD365A8" w:rsidR="00C028AC" w:rsidRPr="00C15D49" w:rsidRDefault="00C15D49" w:rsidP="00B205BA">
      <w:pPr>
        <w:spacing w:after="120" w:line="240" w:lineRule="auto"/>
        <w:rPr>
          <w:rFonts w:cs="Arial"/>
          <w:noProof/>
          <w:sz w:val="18"/>
          <w:szCs w:val="18"/>
        </w:rPr>
      </w:pPr>
      <w:r w:rsidRPr="00C15D49">
        <w:rPr>
          <w:rFonts w:cs="Arial"/>
          <w:noProof/>
          <w:sz w:val="18"/>
          <w:szCs w:val="18"/>
        </w:rPr>
        <w:t>Fuente: Elaboración propia con datos del PED 2021-2027.</w:t>
      </w:r>
    </w:p>
    <w:p w14:paraId="38D96E1C" w14:textId="77777777" w:rsidR="00C028AC" w:rsidRDefault="00C028AC" w:rsidP="00B205BA">
      <w:pPr>
        <w:spacing w:after="120" w:line="240" w:lineRule="auto"/>
        <w:rPr>
          <w:rFonts w:cs="Arial"/>
          <w:noProof/>
        </w:rPr>
      </w:pPr>
      <w:r>
        <w:rPr>
          <w:rFonts w:cs="Arial"/>
          <w:noProof/>
        </w:rPr>
        <w:t xml:space="preserve">El ejercicio de alineación se da entre estrategias de los propios Planes, esto con el objetivo de vincular los esfuerzos entre los niveles y encontrar las similitudes del trabajo entre las Administraciones Públicas. </w:t>
      </w:r>
    </w:p>
    <w:p w14:paraId="732C73EA" w14:textId="77777777" w:rsidR="008511B6" w:rsidRDefault="008511B6" w:rsidP="00B205BA">
      <w:pPr>
        <w:spacing w:after="120" w:line="240" w:lineRule="auto"/>
        <w:rPr>
          <w:rFonts w:cs="Arial"/>
          <w:noProof/>
        </w:rPr>
      </w:pPr>
    </w:p>
    <w:p w14:paraId="0861F26E" w14:textId="27D36091" w:rsidR="00C028AC" w:rsidRPr="00431D3D" w:rsidRDefault="00C028AC" w:rsidP="00B205BA">
      <w:pPr>
        <w:spacing w:after="120" w:line="240" w:lineRule="auto"/>
        <w:jc w:val="center"/>
        <w:rPr>
          <w:rFonts w:cs="Arial"/>
          <w:b/>
          <w:bCs/>
        </w:rPr>
      </w:pPr>
      <w:r w:rsidRPr="00431D3D">
        <w:rPr>
          <w:rFonts w:cs="Arial"/>
          <w:b/>
          <w:bCs/>
        </w:rPr>
        <w:t>Tabla. Relación de estrategias del Plan Municipal de Desarrollo (PMD) 2025-2027 con respecto a las estrategias del Plan Estatal de Desarrollo (PED) 2021-2027.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3969"/>
        <w:gridCol w:w="3163"/>
      </w:tblGrid>
      <w:tr w:rsidR="00C028AC" w:rsidRPr="008511B6" w14:paraId="0E582B66" w14:textId="77777777" w:rsidTr="005D45B5">
        <w:trPr>
          <w:trHeight w:val="300"/>
          <w:tblHeader/>
        </w:trPr>
        <w:tc>
          <w:tcPr>
            <w:tcW w:w="1696" w:type="dxa"/>
            <w:shd w:val="clear" w:color="auto" w:fill="FBE4D5" w:themeFill="accent2" w:themeFillTint="33"/>
            <w:noWrap/>
            <w:vAlign w:val="center"/>
            <w:hideMark/>
          </w:tcPr>
          <w:p w14:paraId="309E19AA" w14:textId="77777777" w:rsidR="00C028AC" w:rsidRPr="00431D3D" w:rsidRDefault="00C028AC" w:rsidP="00B205BA">
            <w:pPr>
              <w:spacing w:after="120" w:line="240" w:lineRule="auto"/>
              <w:jc w:val="center"/>
              <w:rPr>
                <w:rFonts w:eastAsia="Times New Roman" w:cs="Arial"/>
                <w:b/>
                <w:bCs/>
                <w:color w:val="000000"/>
                <w:lang w:eastAsia="es-MX"/>
              </w:rPr>
            </w:pPr>
            <w:r w:rsidRPr="00431D3D">
              <w:rPr>
                <w:rFonts w:eastAsia="Times New Roman" w:cs="Arial"/>
                <w:b/>
                <w:bCs/>
                <w:color w:val="000000"/>
                <w:lang w:eastAsia="es-MX"/>
              </w:rPr>
              <w:t>CÓDIGO PMD 2025-2027</w:t>
            </w:r>
          </w:p>
        </w:tc>
        <w:tc>
          <w:tcPr>
            <w:tcW w:w="3969" w:type="dxa"/>
            <w:shd w:val="clear" w:color="auto" w:fill="FBE4D5" w:themeFill="accent2" w:themeFillTint="33"/>
            <w:vAlign w:val="center"/>
            <w:hideMark/>
          </w:tcPr>
          <w:p w14:paraId="3C4B4EF9" w14:textId="77777777" w:rsidR="00C028AC" w:rsidRPr="008511B6" w:rsidRDefault="00C028AC" w:rsidP="00B205BA">
            <w:pPr>
              <w:spacing w:after="120" w:line="240" w:lineRule="auto"/>
              <w:jc w:val="center"/>
              <w:rPr>
                <w:rFonts w:eastAsia="Times New Roman" w:cs="Arial"/>
                <w:b/>
                <w:bCs/>
                <w:color w:val="000000"/>
                <w:sz w:val="18"/>
                <w:szCs w:val="18"/>
                <w:lang w:eastAsia="es-MX"/>
              </w:rPr>
            </w:pPr>
            <w:r w:rsidRPr="008511B6">
              <w:rPr>
                <w:rFonts w:eastAsia="Times New Roman" w:cs="Arial"/>
                <w:b/>
                <w:bCs/>
                <w:color w:val="000000"/>
                <w:sz w:val="18"/>
                <w:szCs w:val="18"/>
                <w:lang w:eastAsia="es-MX"/>
              </w:rPr>
              <w:t>DESCRIPCIÓN DE ESTRATEGIA</w:t>
            </w:r>
          </w:p>
        </w:tc>
        <w:tc>
          <w:tcPr>
            <w:tcW w:w="3163" w:type="dxa"/>
            <w:shd w:val="clear" w:color="auto" w:fill="F7CAAC" w:themeFill="accent2" w:themeFillTint="66"/>
            <w:vAlign w:val="center"/>
            <w:hideMark/>
          </w:tcPr>
          <w:p w14:paraId="3021737C" w14:textId="77777777" w:rsidR="00C028AC" w:rsidRPr="008511B6" w:rsidRDefault="00C028AC" w:rsidP="00B205BA">
            <w:pPr>
              <w:spacing w:after="120" w:line="240" w:lineRule="auto"/>
              <w:jc w:val="center"/>
              <w:rPr>
                <w:rFonts w:eastAsia="Times New Roman" w:cs="Arial"/>
                <w:b/>
                <w:bCs/>
                <w:color w:val="000000"/>
                <w:sz w:val="18"/>
                <w:szCs w:val="18"/>
                <w:lang w:eastAsia="es-MX"/>
              </w:rPr>
            </w:pPr>
            <w:r w:rsidRPr="008511B6">
              <w:rPr>
                <w:rFonts w:eastAsia="Times New Roman" w:cs="Arial"/>
                <w:b/>
                <w:bCs/>
                <w:color w:val="000000"/>
                <w:sz w:val="18"/>
                <w:szCs w:val="18"/>
                <w:lang w:eastAsia="es-MX"/>
              </w:rPr>
              <w:t>ESTRATEGIA DEL PED 2021-2027</w:t>
            </w:r>
          </w:p>
        </w:tc>
      </w:tr>
      <w:tr w:rsidR="00C028AC" w:rsidRPr="008511B6" w14:paraId="29F0DA5D" w14:textId="77777777" w:rsidTr="005D45B5">
        <w:trPr>
          <w:trHeight w:val="1200"/>
        </w:trPr>
        <w:tc>
          <w:tcPr>
            <w:tcW w:w="1696" w:type="dxa"/>
            <w:shd w:val="clear" w:color="auto" w:fill="auto"/>
            <w:noWrap/>
            <w:vAlign w:val="center"/>
            <w:hideMark/>
          </w:tcPr>
          <w:p w14:paraId="6785A93D"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010101</w:t>
            </w:r>
          </w:p>
        </w:tc>
        <w:tc>
          <w:tcPr>
            <w:tcW w:w="3969" w:type="dxa"/>
            <w:shd w:val="clear" w:color="auto" w:fill="auto"/>
            <w:vAlign w:val="center"/>
            <w:hideMark/>
          </w:tcPr>
          <w:p w14:paraId="0DBA8A6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Ejecutar un programa de regularización de lotes en posesión de manera irregular por familias en condición de rezago social, mediante los procedimientos legal, técnico, social y urbano que correspondan.</w:t>
            </w:r>
          </w:p>
        </w:tc>
        <w:tc>
          <w:tcPr>
            <w:tcW w:w="3163" w:type="dxa"/>
            <w:shd w:val="clear" w:color="auto" w:fill="auto"/>
            <w:vAlign w:val="center"/>
            <w:hideMark/>
          </w:tcPr>
          <w:p w14:paraId="485CC4A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Mejorar el acceso a suelo y vivienda para reducir el rezago existente en la población en situación de pobreza y grupos históricamente vulnerados, con el fin de orientar el crecimiento y desarrollo de las ciudades.</w:t>
            </w:r>
          </w:p>
        </w:tc>
      </w:tr>
      <w:tr w:rsidR="00C028AC" w:rsidRPr="008511B6" w14:paraId="4719847D" w14:textId="77777777" w:rsidTr="008511B6">
        <w:trPr>
          <w:trHeight w:val="590"/>
        </w:trPr>
        <w:tc>
          <w:tcPr>
            <w:tcW w:w="1696" w:type="dxa"/>
            <w:shd w:val="clear" w:color="auto" w:fill="auto"/>
            <w:noWrap/>
            <w:vAlign w:val="center"/>
            <w:hideMark/>
          </w:tcPr>
          <w:p w14:paraId="17F5F54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010102</w:t>
            </w:r>
          </w:p>
        </w:tc>
        <w:tc>
          <w:tcPr>
            <w:tcW w:w="3969" w:type="dxa"/>
            <w:shd w:val="clear" w:color="auto" w:fill="auto"/>
            <w:vAlign w:val="center"/>
            <w:hideMark/>
          </w:tcPr>
          <w:p w14:paraId="51CEA5C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Realizar las acciones pertinentes para el ordenamiento de los inmuebles utilizados por los centros educativos, centros de culto y asociaciones civiles y de asistencia privada, así como la defensa de los bienes municipales.</w:t>
            </w:r>
          </w:p>
        </w:tc>
        <w:tc>
          <w:tcPr>
            <w:tcW w:w="3163" w:type="dxa"/>
            <w:shd w:val="clear" w:color="auto" w:fill="auto"/>
            <w:vAlign w:val="center"/>
            <w:hideMark/>
          </w:tcPr>
          <w:p w14:paraId="7FBB14C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40DC1745" w14:textId="77777777" w:rsidTr="005D45B5">
        <w:trPr>
          <w:trHeight w:val="1500"/>
        </w:trPr>
        <w:tc>
          <w:tcPr>
            <w:tcW w:w="1696" w:type="dxa"/>
            <w:shd w:val="clear" w:color="auto" w:fill="auto"/>
            <w:noWrap/>
            <w:vAlign w:val="center"/>
            <w:hideMark/>
          </w:tcPr>
          <w:p w14:paraId="38FC9A09"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010103</w:t>
            </w:r>
          </w:p>
        </w:tc>
        <w:tc>
          <w:tcPr>
            <w:tcW w:w="3969" w:type="dxa"/>
            <w:shd w:val="clear" w:color="auto" w:fill="auto"/>
            <w:vAlign w:val="center"/>
            <w:hideMark/>
          </w:tcPr>
          <w:p w14:paraId="4DAE10F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Facilitar la expedición de los títulos de propiedad para aquellas familias que ya han sido censadas, integrando su expediente o que ya se les haya aperturado cuenta en tesorería municipal, buscando facilitar su obtención con la simplificación de requisitos.</w:t>
            </w:r>
          </w:p>
        </w:tc>
        <w:tc>
          <w:tcPr>
            <w:tcW w:w="3163" w:type="dxa"/>
            <w:shd w:val="clear" w:color="auto" w:fill="auto"/>
            <w:vAlign w:val="center"/>
            <w:hideMark/>
          </w:tcPr>
          <w:p w14:paraId="29CD37A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Mejorar el acceso a suelo y vivienda para reducir el rezago existente en la población en situación de pobreza y grupos históricamente vulnerados, con el fin de orientar el crecimiento y desarrollo de las ciudades.</w:t>
            </w:r>
          </w:p>
        </w:tc>
      </w:tr>
      <w:tr w:rsidR="00C028AC" w:rsidRPr="008511B6" w14:paraId="02B97E83" w14:textId="77777777" w:rsidTr="005D45B5">
        <w:trPr>
          <w:trHeight w:val="1800"/>
        </w:trPr>
        <w:tc>
          <w:tcPr>
            <w:tcW w:w="1696" w:type="dxa"/>
            <w:shd w:val="clear" w:color="auto" w:fill="auto"/>
            <w:noWrap/>
            <w:vAlign w:val="center"/>
            <w:hideMark/>
          </w:tcPr>
          <w:p w14:paraId="56758E9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010104</w:t>
            </w:r>
          </w:p>
        </w:tc>
        <w:tc>
          <w:tcPr>
            <w:tcW w:w="3969" w:type="dxa"/>
            <w:shd w:val="clear" w:color="auto" w:fill="auto"/>
            <w:vAlign w:val="center"/>
            <w:hideMark/>
          </w:tcPr>
          <w:p w14:paraId="76EC904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Adecuar las disposiciones normativas atendiendo a las necesidades actuales, mediante su revisión para dar legitimidad a las políticas públicas, consolidar el estado de derecho y establecer previsiones para el crecimiento de la ciudad mediante una oferta de tierra para el desarrollo urbano y la vivienda</w:t>
            </w:r>
          </w:p>
        </w:tc>
        <w:tc>
          <w:tcPr>
            <w:tcW w:w="3163" w:type="dxa"/>
            <w:shd w:val="clear" w:color="auto" w:fill="auto"/>
            <w:vAlign w:val="center"/>
            <w:hideMark/>
          </w:tcPr>
          <w:p w14:paraId="6C68921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Mejorar el acceso a suelo y vivienda para reducir el rezago existente en la población en situación de pobreza y grupos históricamente vulnerados, con el fin de orientar el crecimiento y desarrollo de las ciudades.</w:t>
            </w:r>
          </w:p>
        </w:tc>
      </w:tr>
      <w:tr w:rsidR="00C028AC" w:rsidRPr="008511B6" w14:paraId="6F553089" w14:textId="77777777" w:rsidTr="005D45B5">
        <w:trPr>
          <w:trHeight w:val="1500"/>
        </w:trPr>
        <w:tc>
          <w:tcPr>
            <w:tcW w:w="1696" w:type="dxa"/>
            <w:shd w:val="clear" w:color="auto" w:fill="auto"/>
            <w:noWrap/>
            <w:vAlign w:val="center"/>
            <w:hideMark/>
          </w:tcPr>
          <w:p w14:paraId="2137085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010201</w:t>
            </w:r>
          </w:p>
        </w:tc>
        <w:tc>
          <w:tcPr>
            <w:tcW w:w="3969" w:type="dxa"/>
            <w:shd w:val="clear" w:color="auto" w:fill="auto"/>
            <w:vAlign w:val="center"/>
            <w:hideMark/>
          </w:tcPr>
          <w:p w14:paraId="57478D2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Mantener el sistema web documental y de información, que contiene la base de datos única, para todos los trámites, así como la digitalización de todos los documentos referentes a los bienes de dominio público y privado del municipio.</w:t>
            </w:r>
          </w:p>
        </w:tc>
        <w:tc>
          <w:tcPr>
            <w:tcW w:w="3163" w:type="dxa"/>
            <w:shd w:val="clear" w:color="auto" w:fill="auto"/>
            <w:vAlign w:val="center"/>
            <w:hideMark/>
          </w:tcPr>
          <w:p w14:paraId="6F00088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principios de un Gobierno Abierto, así como ampliar la digitalización de los servicios gubernamentales para facilitar su acceso a la población a través del uso de las Nuevas Tecnologías de la Información y Comunicación</w:t>
            </w:r>
          </w:p>
        </w:tc>
      </w:tr>
      <w:tr w:rsidR="00C028AC" w:rsidRPr="008511B6" w14:paraId="4D35BC65" w14:textId="77777777" w:rsidTr="005D45B5">
        <w:trPr>
          <w:trHeight w:val="1200"/>
        </w:trPr>
        <w:tc>
          <w:tcPr>
            <w:tcW w:w="1696" w:type="dxa"/>
            <w:shd w:val="clear" w:color="auto" w:fill="auto"/>
            <w:noWrap/>
            <w:vAlign w:val="center"/>
            <w:hideMark/>
          </w:tcPr>
          <w:p w14:paraId="3233E8D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010202</w:t>
            </w:r>
          </w:p>
        </w:tc>
        <w:tc>
          <w:tcPr>
            <w:tcW w:w="3969" w:type="dxa"/>
            <w:shd w:val="clear" w:color="auto" w:fill="auto"/>
            <w:vAlign w:val="center"/>
            <w:hideMark/>
          </w:tcPr>
          <w:p w14:paraId="0C78375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Mejorar el acceso a espacios públicos de calidad y generar ingresos que impulsen el desarrollo del municipio mediante la aplicación del fondo del suelo y enajenación del patrimonio inmobiliario.</w:t>
            </w:r>
          </w:p>
        </w:tc>
        <w:tc>
          <w:tcPr>
            <w:tcW w:w="3163" w:type="dxa"/>
            <w:shd w:val="clear" w:color="auto" w:fill="auto"/>
            <w:vAlign w:val="center"/>
            <w:hideMark/>
          </w:tcPr>
          <w:p w14:paraId="7AEF665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233BF9B9" w14:textId="77777777" w:rsidTr="005D45B5">
        <w:trPr>
          <w:trHeight w:val="1500"/>
        </w:trPr>
        <w:tc>
          <w:tcPr>
            <w:tcW w:w="1696" w:type="dxa"/>
            <w:shd w:val="clear" w:color="auto" w:fill="auto"/>
            <w:noWrap/>
            <w:vAlign w:val="center"/>
            <w:hideMark/>
          </w:tcPr>
          <w:p w14:paraId="21894FB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010301</w:t>
            </w:r>
          </w:p>
        </w:tc>
        <w:tc>
          <w:tcPr>
            <w:tcW w:w="3969" w:type="dxa"/>
            <w:shd w:val="clear" w:color="auto" w:fill="auto"/>
            <w:vAlign w:val="center"/>
            <w:hideMark/>
          </w:tcPr>
          <w:p w14:paraId="2BC44EA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Fomentar programas de construcción de vivienda, así como desarrollos industriales en áreas urbanas y rurales.</w:t>
            </w:r>
          </w:p>
        </w:tc>
        <w:tc>
          <w:tcPr>
            <w:tcW w:w="3163" w:type="dxa"/>
            <w:shd w:val="clear" w:color="auto" w:fill="auto"/>
            <w:vAlign w:val="center"/>
            <w:hideMark/>
          </w:tcPr>
          <w:p w14:paraId="250A9D2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2975F12F" w14:textId="77777777" w:rsidTr="005D45B5">
        <w:trPr>
          <w:trHeight w:val="1200"/>
        </w:trPr>
        <w:tc>
          <w:tcPr>
            <w:tcW w:w="1696" w:type="dxa"/>
            <w:shd w:val="clear" w:color="auto" w:fill="auto"/>
            <w:noWrap/>
            <w:vAlign w:val="center"/>
            <w:hideMark/>
          </w:tcPr>
          <w:p w14:paraId="4EE80127"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010302</w:t>
            </w:r>
          </w:p>
        </w:tc>
        <w:tc>
          <w:tcPr>
            <w:tcW w:w="3969" w:type="dxa"/>
            <w:shd w:val="clear" w:color="auto" w:fill="auto"/>
            <w:vAlign w:val="center"/>
            <w:hideMark/>
          </w:tcPr>
          <w:p w14:paraId="358111E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las finanzas de la entidad a través del abatimiento de la cartera vencida, incremento de la capacidad recaudatoria y comercialización de activos.</w:t>
            </w:r>
          </w:p>
        </w:tc>
        <w:tc>
          <w:tcPr>
            <w:tcW w:w="3163" w:type="dxa"/>
            <w:shd w:val="clear" w:color="auto" w:fill="auto"/>
            <w:vAlign w:val="center"/>
            <w:hideMark/>
          </w:tcPr>
          <w:p w14:paraId="3399AC5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Establecer mecanismos eficientes para el ejercicio del gasto y manejo responsable de la deuda pública del estado, que permitan mantener un balance presupuestario sostenible, asegurando la transparencia en la rendición de cuentas y la integridad de las finanzas públicas.</w:t>
            </w:r>
          </w:p>
        </w:tc>
      </w:tr>
      <w:tr w:rsidR="00C028AC" w:rsidRPr="008511B6" w14:paraId="65D26576" w14:textId="77777777" w:rsidTr="005D45B5">
        <w:trPr>
          <w:trHeight w:val="1500"/>
        </w:trPr>
        <w:tc>
          <w:tcPr>
            <w:tcW w:w="1696" w:type="dxa"/>
            <w:shd w:val="clear" w:color="auto" w:fill="auto"/>
            <w:noWrap/>
            <w:vAlign w:val="center"/>
            <w:hideMark/>
          </w:tcPr>
          <w:p w14:paraId="2CB24E8C"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010401</w:t>
            </w:r>
          </w:p>
        </w:tc>
        <w:tc>
          <w:tcPr>
            <w:tcW w:w="3969" w:type="dxa"/>
            <w:shd w:val="clear" w:color="auto" w:fill="auto"/>
            <w:vAlign w:val="center"/>
            <w:hideMark/>
          </w:tcPr>
          <w:p w14:paraId="4F7C2CB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Reducir la cantidad de comercios que operan de manera irregular en materia de Protección Civil para minimizar los riesgos de seguridad en establecimientos comerciales y eventos masivos, en conformidad con las leyes y reglamentos vigentes.</w:t>
            </w:r>
          </w:p>
        </w:tc>
        <w:tc>
          <w:tcPr>
            <w:tcW w:w="3163" w:type="dxa"/>
            <w:shd w:val="clear" w:color="auto" w:fill="auto"/>
            <w:vAlign w:val="center"/>
            <w:hideMark/>
          </w:tcPr>
          <w:p w14:paraId="69CC833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1FD3E7E6" w14:textId="77777777" w:rsidTr="005D45B5">
        <w:trPr>
          <w:trHeight w:val="1200"/>
        </w:trPr>
        <w:tc>
          <w:tcPr>
            <w:tcW w:w="1696" w:type="dxa"/>
            <w:shd w:val="clear" w:color="auto" w:fill="auto"/>
            <w:noWrap/>
            <w:vAlign w:val="center"/>
            <w:hideMark/>
          </w:tcPr>
          <w:p w14:paraId="538B5E9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010402</w:t>
            </w:r>
          </w:p>
        </w:tc>
        <w:tc>
          <w:tcPr>
            <w:tcW w:w="3969" w:type="dxa"/>
            <w:shd w:val="clear" w:color="auto" w:fill="auto"/>
            <w:vAlign w:val="center"/>
            <w:hideMark/>
          </w:tcPr>
          <w:p w14:paraId="24B7E6C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Reforzar la colaboración en protección civil para la respuesta a desastres, promoviendo una cultura de protección civil con acciones constantes y atención inmediata.</w:t>
            </w:r>
          </w:p>
        </w:tc>
        <w:tc>
          <w:tcPr>
            <w:tcW w:w="3163" w:type="dxa"/>
            <w:shd w:val="clear" w:color="auto" w:fill="auto"/>
            <w:vAlign w:val="center"/>
            <w:hideMark/>
          </w:tcPr>
          <w:p w14:paraId="3E1DFF3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 xml:space="preserve">Implementar en el Gobierno del Estado una visión municipalista, que consolide la colaboración y coordinación estrecha con los 72 Ayuntamientos para encontrar soluciones a las principales </w:t>
            </w:r>
            <w:r w:rsidRPr="008511B6">
              <w:rPr>
                <w:rFonts w:eastAsia="Times New Roman" w:cs="Arial"/>
                <w:color w:val="000000"/>
                <w:sz w:val="18"/>
                <w:szCs w:val="18"/>
                <w:lang w:eastAsia="es-MX"/>
              </w:rPr>
              <w:lastRenderedPageBreak/>
              <w:t>problemáticas que aquejan a los municipios.</w:t>
            </w:r>
          </w:p>
        </w:tc>
      </w:tr>
      <w:tr w:rsidR="00C028AC" w:rsidRPr="008511B6" w14:paraId="44CB1A6C" w14:textId="77777777" w:rsidTr="005D45B5">
        <w:trPr>
          <w:trHeight w:val="1200"/>
        </w:trPr>
        <w:tc>
          <w:tcPr>
            <w:tcW w:w="1696" w:type="dxa"/>
            <w:shd w:val="clear" w:color="auto" w:fill="auto"/>
            <w:noWrap/>
            <w:vAlign w:val="center"/>
            <w:hideMark/>
          </w:tcPr>
          <w:p w14:paraId="1F74280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010501</w:t>
            </w:r>
          </w:p>
        </w:tc>
        <w:tc>
          <w:tcPr>
            <w:tcW w:w="3969" w:type="dxa"/>
            <w:shd w:val="clear" w:color="auto" w:fill="auto"/>
            <w:vAlign w:val="center"/>
            <w:hideMark/>
          </w:tcPr>
          <w:p w14:paraId="462FE38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Realizar acciones para detectar y sancionar a empresas que venden extintores sin el registro correspondiente.</w:t>
            </w:r>
          </w:p>
        </w:tc>
        <w:tc>
          <w:tcPr>
            <w:tcW w:w="3163" w:type="dxa"/>
            <w:shd w:val="clear" w:color="auto" w:fill="auto"/>
            <w:vAlign w:val="center"/>
            <w:hideMark/>
          </w:tcPr>
          <w:p w14:paraId="363906E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6BF4919B" w14:textId="77777777" w:rsidTr="005D45B5">
        <w:trPr>
          <w:trHeight w:val="1500"/>
        </w:trPr>
        <w:tc>
          <w:tcPr>
            <w:tcW w:w="1696" w:type="dxa"/>
            <w:shd w:val="clear" w:color="auto" w:fill="auto"/>
            <w:noWrap/>
            <w:vAlign w:val="center"/>
            <w:hideMark/>
          </w:tcPr>
          <w:p w14:paraId="3EC16BC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010502</w:t>
            </w:r>
          </w:p>
        </w:tc>
        <w:tc>
          <w:tcPr>
            <w:tcW w:w="3969" w:type="dxa"/>
            <w:shd w:val="clear" w:color="auto" w:fill="auto"/>
            <w:vAlign w:val="center"/>
            <w:hideMark/>
          </w:tcPr>
          <w:p w14:paraId="1D50F3F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Analizar los riesgos recurrentes en el municipio de Hermosillo y generar esquemas de comunicación y coordinación para la prevención de pérdidas humanas, materiales y ecológicas causadas por incendios y otras situaciones de emergencia.</w:t>
            </w:r>
          </w:p>
        </w:tc>
        <w:tc>
          <w:tcPr>
            <w:tcW w:w="3163" w:type="dxa"/>
            <w:shd w:val="clear" w:color="auto" w:fill="auto"/>
            <w:vAlign w:val="center"/>
            <w:hideMark/>
          </w:tcPr>
          <w:p w14:paraId="45ABD41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6712C08A" w14:textId="77777777" w:rsidTr="005D45B5">
        <w:trPr>
          <w:trHeight w:val="1500"/>
        </w:trPr>
        <w:tc>
          <w:tcPr>
            <w:tcW w:w="1696" w:type="dxa"/>
            <w:shd w:val="clear" w:color="auto" w:fill="auto"/>
            <w:noWrap/>
            <w:vAlign w:val="center"/>
            <w:hideMark/>
          </w:tcPr>
          <w:p w14:paraId="2082CEF0"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010503</w:t>
            </w:r>
          </w:p>
        </w:tc>
        <w:tc>
          <w:tcPr>
            <w:tcW w:w="3969" w:type="dxa"/>
            <w:shd w:val="clear" w:color="auto" w:fill="auto"/>
            <w:vAlign w:val="center"/>
            <w:hideMark/>
          </w:tcPr>
          <w:p w14:paraId="554988C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Proporcionar certeza a la sociedad de una atención y actuación expedita del cuerpo de bomberos en situaciones de emergencia, además de implementar un programa de capacitación y difusión para la formación de los ciudadanos sobre la prevención de accidentes.</w:t>
            </w:r>
          </w:p>
        </w:tc>
        <w:tc>
          <w:tcPr>
            <w:tcW w:w="3163" w:type="dxa"/>
            <w:shd w:val="clear" w:color="auto" w:fill="auto"/>
            <w:vAlign w:val="center"/>
            <w:hideMark/>
          </w:tcPr>
          <w:p w14:paraId="01103D7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5DB312E0" w14:textId="77777777" w:rsidTr="005D45B5">
        <w:trPr>
          <w:trHeight w:val="1500"/>
        </w:trPr>
        <w:tc>
          <w:tcPr>
            <w:tcW w:w="1696" w:type="dxa"/>
            <w:shd w:val="clear" w:color="auto" w:fill="auto"/>
            <w:noWrap/>
            <w:vAlign w:val="center"/>
            <w:hideMark/>
          </w:tcPr>
          <w:p w14:paraId="557164D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010601</w:t>
            </w:r>
          </w:p>
        </w:tc>
        <w:tc>
          <w:tcPr>
            <w:tcW w:w="3969" w:type="dxa"/>
            <w:shd w:val="clear" w:color="auto" w:fill="auto"/>
            <w:vAlign w:val="center"/>
            <w:hideMark/>
          </w:tcPr>
          <w:p w14:paraId="7A35A6C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los mecanismos de protección a mujeres de cualquier tipo de violencia que ponga en riesgo su integridad física y emocional, así como de sus hijas e hijos, todo ello en un marco de respeto a sus derechos humanos.</w:t>
            </w:r>
          </w:p>
        </w:tc>
        <w:tc>
          <w:tcPr>
            <w:tcW w:w="3163" w:type="dxa"/>
            <w:shd w:val="clear" w:color="auto" w:fill="auto"/>
            <w:vAlign w:val="center"/>
            <w:hideMark/>
          </w:tcPr>
          <w:p w14:paraId="774CF07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ejercicio pleno de los derechos humanos y empoderamiento de las mujeres mediante políticas públicas interinstitucionales para alcanzar una igualdad sustantiva de género.</w:t>
            </w:r>
          </w:p>
        </w:tc>
      </w:tr>
      <w:tr w:rsidR="00C028AC" w:rsidRPr="008511B6" w14:paraId="2AD7FA6F" w14:textId="77777777" w:rsidTr="005D45B5">
        <w:trPr>
          <w:trHeight w:val="2100"/>
        </w:trPr>
        <w:tc>
          <w:tcPr>
            <w:tcW w:w="1696" w:type="dxa"/>
            <w:shd w:val="clear" w:color="auto" w:fill="auto"/>
            <w:noWrap/>
            <w:vAlign w:val="center"/>
            <w:hideMark/>
          </w:tcPr>
          <w:p w14:paraId="39E7F40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010602</w:t>
            </w:r>
          </w:p>
        </w:tc>
        <w:tc>
          <w:tcPr>
            <w:tcW w:w="3969" w:type="dxa"/>
            <w:shd w:val="clear" w:color="auto" w:fill="auto"/>
            <w:vAlign w:val="center"/>
            <w:hideMark/>
          </w:tcPr>
          <w:p w14:paraId="128912B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Proveer de atención especializada y multidisciplinaria vía telefónica y presencial a mujeres víctimas de violencia de género y referirlas a la autoridad competente de ser el caso, impartir talleres ocupacionales y pláticas a usuarias del centro de atención, y a diversas instituciones o instancias, talleres y capacitación a las mujeres usuarias para su inserción laboral.</w:t>
            </w:r>
          </w:p>
        </w:tc>
        <w:tc>
          <w:tcPr>
            <w:tcW w:w="3163" w:type="dxa"/>
            <w:shd w:val="clear" w:color="auto" w:fill="auto"/>
            <w:vAlign w:val="center"/>
            <w:hideMark/>
          </w:tcPr>
          <w:p w14:paraId="2FA011C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ejercicio pleno de los derechos humanos y empoderamiento de las mujeres mediante políticas públicas interinstitucionales para alcanzar una igualdad sustantiva de género.</w:t>
            </w:r>
          </w:p>
        </w:tc>
      </w:tr>
      <w:tr w:rsidR="00C028AC" w:rsidRPr="008511B6" w14:paraId="68287538" w14:textId="77777777" w:rsidTr="005D45B5">
        <w:trPr>
          <w:trHeight w:val="1500"/>
        </w:trPr>
        <w:tc>
          <w:tcPr>
            <w:tcW w:w="1696" w:type="dxa"/>
            <w:shd w:val="clear" w:color="auto" w:fill="auto"/>
            <w:noWrap/>
            <w:vAlign w:val="center"/>
            <w:hideMark/>
          </w:tcPr>
          <w:p w14:paraId="3AAF2BB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010701</w:t>
            </w:r>
          </w:p>
        </w:tc>
        <w:tc>
          <w:tcPr>
            <w:tcW w:w="3969" w:type="dxa"/>
            <w:shd w:val="clear" w:color="auto" w:fill="auto"/>
            <w:vAlign w:val="center"/>
            <w:hideMark/>
          </w:tcPr>
          <w:p w14:paraId="6D2C2E6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presencia e importancia de las mujeres y/o las niñas a través de eventos, contribuir en el empoderamiento de las niñas y mujeres de etnias asentadas en Hermosillo, promover el liderazgo y participación política de las mujeres.</w:t>
            </w:r>
          </w:p>
        </w:tc>
        <w:tc>
          <w:tcPr>
            <w:tcW w:w="3163" w:type="dxa"/>
            <w:shd w:val="clear" w:color="auto" w:fill="auto"/>
            <w:vAlign w:val="center"/>
            <w:hideMark/>
          </w:tcPr>
          <w:p w14:paraId="52FDA82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Salvaguardar la integridad física, mental y emocional de las mujeres mediante la prevención, atención y eliminación de toda violencia contra ellas.</w:t>
            </w:r>
          </w:p>
        </w:tc>
      </w:tr>
      <w:tr w:rsidR="00C028AC" w:rsidRPr="008511B6" w14:paraId="38E98B77" w14:textId="77777777" w:rsidTr="005D45B5">
        <w:trPr>
          <w:trHeight w:val="900"/>
        </w:trPr>
        <w:tc>
          <w:tcPr>
            <w:tcW w:w="1696" w:type="dxa"/>
            <w:shd w:val="clear" w:color="auto" w:fill="auto"/>
            <w:noWrap/>
            <w:vAlign w:val="center"/>
            <w:hideMark/>
          </w:tcPr>
          <w:p w14:paraId="7325E71E"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010702</w:t>
            </w:r>
          </w:p>
        </w:tc>
        <w:tc>
          <w:tcPr>
            <w:tcW w:w="3969" w:type="dxa"/>
            <w:shd w:val="clear" w:color="auto" w:fill="auto"/>
            <w:vAlign w:val="center"/>
            <w:hideMark/>
          </w:tcPr>
          <w:p w14:paraId="10205AD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Crear espacios de reflexión e impulsar la capacitación sobre la prevención de las violencias hacia las mujeres, protocolos de seguridad, feminicidio y autocuidado.</w:t>
            </w:r>
          </w:p>
        </w:tc>
        <w:tc>
          <w:tcPr>
            <w:tcW w:w="3163" w:type="dxa"/>
            <w:shd w:val="clear" w:color="auto" w:fill="auto"/>
            <w:vAlign w:val="center"/>
            <w:hideMark/>
          </w:tcPr>
          <w:p w14:paraId="4448D39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Salvaguardar la integridad física, mental y emocional de las mujeres mediante la prevención, atención y eliminación de toda violencia contra ellas.</w:t>
            </w:r>
          </w:p>
        </w:tc>
      </w:tr>
      <w:tr w:rsidR="00C028AC" w:rsidRPr="008511B6" w14:paraId="2091A82F" w14:textId="77777777" w:rsidTr="005D45B5">
        <w:trPr>
          <w:trHeight w:val="1500"/>
        </w:trPr>
        <w:tc>
          <w:tcPr>
            <w:tcW w:w="1696" w:type="dxa"/>
            <w:shd w:val="clear" w:color="auto" w:fill="auto"/>
            <w:noWrap/>
            <w:vAlign w:val="center"/>
            <w:hideMark/>
          </w:tcPr>
          <w:p w14:paraId="72981EA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010703</w:t>
            </w:r>
          </w:p>
        </w:tc>
        <w:tc>
          <w:tcPr>
            <w:tcW w:w="3969" w:type="dxa"/>
            <w:shd w:val="clear" w:color="auto" w:fill="auto"/>
            <w:vAlign w:val="center"/>
            <w:hideMark/>
          </w:tcPr>
          <w:p w14:paraId="50DC14D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Realizar actividades de empoderamiento social, cultural y económico en las colonias del municipio de Hermosillo, fomentando la cultura de la denuncia mediante la capacitación y asesoría legal, con el fin de prevenir cualquier tipo de violencia de género.</w:t>
            </w:r>
          </w:p>
        </w:tc>
        <w:tc>
          <w:tcPr>
            <w:tcW w:w="3163" w:type="dxa"/>
            <w:shd w:val="clear" w:color="auto" w:fill="auto"/>
            <w:vAlign w:val="center"/>
            <w:hideMark/>
          </w:tcPr>
          <w:p w14:paraId="2618CD8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ejercicio pleno de los derechos humanos y empoderamiento de las mujeres mediante políticas públicas interinstitucionales para alcanzar una igualdad sustantiva de género.</w:t>
            </w:r>
          </w:p>
        </w:tc>
      </w:tr>
      <w:tr w:rsidR="00C028AC" w:rsidRPr="008511B6" w14:paraId="3B065CB9" w14:textId="77777777" w:rsidTr="005D45B5">
        <w:trPr>
          <w:trHeight w:val="1200"/>
        </w:trPr>
        <w:tc>
          <w:tcPr>
            <w:tcW w:w="1696" w:type="dxa"/>
            <w:shd w:val="clear" w:color="auto" w:fill="auto"/>
            <w:noWrap/>
            <w:vAlign w:val="center"/>
            <w:hideMark/>
          </w:tcPr>
          <w:p w14:paraId="0EEDDB6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010801</w:t>
            </w:r>
          </w:p>
        </w:tc>
        <w:tc>
          <w:tcPr>
            <w:tcW w:w="3969" w:type="dxa"/>
            <w:shd w:val="clear" w:color="auto" w:fill="auto"/>
            <w:vAlign w:val="center"/>
            <w:hideMark/>
          </w:tcPr>
          <w:p w14:paraId="5605FCF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Mejorar la profesionalización y el desarrollo de los policías municipales mediante la implementación de programas de capacitación que apoyen un desempeño efectivo en sus funciones.</w:t>
            </w:r>
          </w:p>
        </w:tc>
        <w:tc>
          <w:tcPr>
            <w:tcW w:w="3163" w:type="dxa"/>
            <w:shd w:val="clear" w:color="auto" w:fill="auto"/>
            <w:vAlign w:val="center"/>
            <w:hideMark/>
          </w:tcPr>
          <w:p w14:paraId="3EC5883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un nuevo modelo de política de seguridad mediante el fortalecimiento de las instituciones, capacitación y dignificación de los cuerpos de seguridad, para recuperar la confianza de la ciudadanía.</w:t>
            </w:r>
          </w:p>
        </w:tc>
      </w:tr>
      <w:tr w:rsidR="00C028AC" w:rsidRPr="008511B6" w14:paraId="523CC298" w14:textId="77777777" w:rsidTr="005D45B5">
        <w:trPr>
          <w:trHeight w:val="1200"/>
        </w:trPr>
        <w:tc>
          <w:tcPr>
            <w:tcW w:w="1696" w:type="dxa"/>
            <w:shd w:val="clear" w:color="auto" w:fill="auto"/>
            <w:noWrap/>
            <w:vAlign w:val="center"/>
            <w:hideMark/>
          </w:tcPr>
          <w:p w14:paraId="7E200363"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010802</w:t>
            </w:r>
          </w:p>
        </w:tc>
        <w:tc>
          <w:tcPr>
            <w:tcW w:w="3969" w:type="dxa"/>
            <w:shd w:val="clear" w:color="auto" w:fill="auto"/>
            <w:vAlign w:val="center"/>
            <w:hideMark/>
          </w:tcPr>
          <w:p w14:paraId="2D2EF98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seguridad ciudadana con acciones concretas de prevención en la ciudad, además de efectuar estrategias focalizados a grupos con factores de riesgo y en situación más vulnerable.</w:t>
            </w:r>
          </w:p>
        </w:tc>
        <w:tc>
          <w:tcPr>
            <w:tcW w:w="3163" w:type="dxa"/>
            <w:shd w:val="clear" w:color="auto" w:fill="auto"/>
            <w:vAlign w:val="center"/>
            <w:hideMark/>
          </w:tcPr>
          <w:p w14:paraId="7E27A6F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coordinación institucional y la participación ciudadana con una visión integral del desarrollo y seguridad para reconstruir el tejido social y mitigar los factores de riesgo que generan la violencia.</w:t>
            </w:r>
          </w:p>
        </w:tc>
      </w:tr>
      <w:tr w:rsidR="00C028AC" w:rsidRPr="008511B6" w14:paraId="0C6AA933" w14:textId="77777777" w:rsidTr="005D45B5">
        <w:trPr>
          <w:trHeight w:val="900"/>
        </w:trPr>
        <w:tc>
          <w:tcPr>
            <w:tcW w:w="1696" w:type="dxa"/>
            <w:shd w:val="clear" w:color="auto" w:fill="auto"/>
            <w:noWrap/>
            <w:vAlign w:val="center"/>
            <w:hideMark/>
          </w:tcPr>
          <w:p w14:paraId="0002270D"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010901</w:t>
            </w:r>
          </w:p>
        </w:tc>
        <w:tc>
          <w:tcPr>
            <w:tcW w:w="3969" w:type="dxa"/>
            <w:shd w:val="clear" w:color="auto" w:fill="auto"/>
            <w:vAlign w:val="center"/>
            <w:hideMark/>
          </w:tcPr>
          <w:p w14:paraId="6DA0CB6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Unir esfuerzos entre la sociedad civil y los ciudadanos para abordar y centrarse en las principales problemáticas delictivas mediante programas de prevención del delito.</w:t>
            </w:r>
          </w:p>
        </w:tc>
        <w:tc>
          <w:tcPr>
            <w:tcW w:w="3163" w:type="dxa"/>
            <w:shd w:val="clear" w:color="auto" w:fill="auto"/>
            <w:vAlign w:val="center"/>
            <w:hideMark/>
          </w:tcPr>
          <w:p w14:paraId="4CA90D2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coordinación institucional y la participación ciudadana con una visión integral del desarrollo y seguridad para reconstruir el tejido social y mitigar los factores de riesgo que generan la violencia.</w:t>
            </w:r>
          </w:p>
        </w:tc>
      </w:tr>
      <w:tr w:rsidR="00C028AC" w:rsidRPr="008511B6" w14:paraId="23009D78" w14:textId="77777777" w:rsidTr="005D45B5">
        <w:trPr>
          <w:trHeight w:val="900"/>
        </w:trPr>
        <w:tc>
          <w:tcPr>
            <w:tcW w:w="1696" w:type="dxa"/>
            <w:shd w:val="clear" w:color="auto" w:fill="auto"/>
            <w:noWrap/>
            <w:vAlign w:val="center"/>
            <w:hideMark/>
          </w:tcPr>
          <w:p w14:paraId="72E9D20E"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010902</w:t>
            </w:r>
          </w:p>
        </w:tc>
        <w:tc>
          <w:tcPr>
            <w:tcW w:w="3969" w:type="dxa"/>
            <w:shd w:val="clear" w:color="auto" w:fill="auto"/>
            <w:vAlign w:val="center"/>
            <w:hideMark/>
          </w:tcPr>
          <w:p w14:paraId="0F2C5CB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integración de la prevención del delito en diferentes áreas y sectores.</w:t>
            </w:r>
          </w:p>
        </w:tc>
        <w:tc>
          <w:tcPr>
            <w:tcW w:w="3163" w:type="dxa"/>
            <w:shd w:val="clear" w:color="auto" w:fill="auto"/>
            <w:vAlign w:val="center"/>
            <w:hideMark/>
          </w:tcPr>
          <w:p w14:paraId="33ECEB0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coordinación institucional y la participación ciudadana con una visión integral del desarrollo y seguridad para reconstruir el tejido social y mitigar los factores de riesgo que generan la violencia.</w:t>
            </w:r>
          </w:p>
        </w:tc>
      </w:tr>
      <w:tr w:rsidR="00C028AC" w:rsidRPr="008511B6" w14:paraId="3E8B0FC9" w14:textId="77777777" w:rsidTr="005D45B5">
        <w:trPr>
          <w:trHeight w:val="900"/>
        </w:trPr>
        <w:tc>
          <w:tcPr>
            <w:tcW w:w="1696" w:type="dxa"/>
            <w:shd w:val="clear" w:color="auto" w:fill="auto"/>
            <w:noWrap/>
            <w:vAlign w:val="center"/>
            <w:hideMark/>
          </w:tcPr>
          <w:p w14:paraId="69A5D417"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010903</w:t>
            </w:r>
          </w:p>
        </w:tc>
        <w:tc>
          <w:tcPr>
            <w:tcW w:w="3969" w:type="dxa"/>
            <w:shd w:val="clear" w:color="auto" w:fill="auto"/>
            <w:vAlign w:val="center"/>
            <w:hideMark/>
          </w:tcPr>
          <w:p w14:paraId="19C66BD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Participar en la vinculación con el ciudadano por medio de reuniones vecinales, para llevar a cabo las acciones necesarias en relación a sus solicitudes.</w:t>
            </w:r>
          </w:p>
        </w:tc>
        <w:tc>
          <w:tcPr>
            <w:tcW w:w="3163" w:type="dxa"/>
            <w:shd w:val="clear" w:color="auto" w:fill="auto"/>
            <w:vAlign w:val="center"/>
            <w:hideMark/>
          </w:tcPr>
          <w:p w14:paraId="6C24101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coordinación institucional y la participación ciudadana con una visión integral del desarrollo y seguridad para reconstruir el tejido social y mitigar los factores de riesgo que generan la violencia.</w:t>
            </w:r>
          </w:p>
        </w:tc>
      </w:tr>
      <w:tr w:rsidR="00C028AC" w:rsidRPr="008511B6" w14:paraId="42DAD645" w14:textId="77777777" w:rsidTr="005D45B5">
        <w:trPr>
          <w:trHeight w:val="900"/>
        </w:trPr>
        <w:tc>
          <w:tcPr>
            <w:tcW w:w="1696" w:type="dxa"/>
            <w:shd w:val="clear" w:color="auto" w:fill="auto"/>
            <w:noWrap/>
            <w:vAlign w:val="center"/>
            <w:hideMark/>
          </w:tcPr>
          <w:p w14:paraId="77E9778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010904</w:t>
            </w:r>
          </w:p>
        </w:tc>
        <w:tc>
          <w:tcPr>
            <w:tcW w:w="3969" w:type="dxa"/>
            <w:shd w:val="clear" w:color="auto" w:fill="auto"/>
            <w:vAlign w:val="center"/>
            <w:hideMark/>
          </w:tcPr>
          <w:p w14:paraId="529C146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Construir un entorno más pacífico y justo para todos los ciudadanos con respeto a los derechos humanos.</w:t>
            </w:r>
          </w:p>
        </w:tc>
        <w:tc>
          <w:tcPr>
            <w:tcW w:w="3163" w:type="dxa"/>
            <w:shd w:val="clear" w:color="auto" w:fill="auto"/>
            <w:vAlign w:val="center"/>
            <w:hideMark/>
          </w:tcPr>
          <w:p w14:paraId="48C82FB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Garantizar espacios de convivencia armónica, inclusión, respeto a la diversidad y a los derechos humanos en las diversas instituciones del estado de Sonora.</w:t>
            </w:r>
          </w:p>
        </w:tc>
      </w:tr>
      <w:tr w:rsidR="00C028AC" w:rsidRPr="008511B6" w14:paraId="30B8D045" w14:textId="77777777" w:rsidTr="008511B6">
        <w:trPr>
          <w:trHeight w:val="448"/>
        </w:trPr>
        <w:tc>
          <w:tcPr>
            <w:tcW w:w="1696" w:type="dxa"/>
            <w:shd w:val="clear" w:color="auto" w:fill="auto"/>
            <w:noWrap/>
            <w:vAlign w:val="center"/>
            <w:hideMark/>
          </w:tcPr>
          <w:p w14:paraId="605AF2A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011001</w:t>
            </w:r>
          </w:p>
        </w:tc>
        <w:tc>
          <w:tcPr>
            <w:tcW w:w="3969" w:type="dxa"/>
            <w:shd w:val="clear" w:color="auto" w:fill="auto"/>
            <w:vAlign w:val="center"/>
            <w:hideMark/>
          </w:tcPr>
          <w:p w14:paraId="1C1BC57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Desarrollar estrategias en materia de cultura vial para que la ciudadanía de cumplimiento al reglamento de tránsito.</w:t>
            </w:r>
          </w:p>
        </w:tc>
        <w:tc>
          <w:tcPr>
            <w:tcW w:w="3163" w:type="dxa"/>
            <w:shd w:val="clear" w:color="auto" w:fill="auto"/>
            <w:vAlign w:val="center"/>
            <w:hideMark/>
          </w:tcPr>
          <w:p w14:paraId="7074179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1CC7C500" w14:textId="77777777" w:rsidTr="005D45B5">
        <w:trPr>
          <w:trHeight w:val="1200"/>
        </w:trPr>
        <w:tc>
          <w:tcPr>
            <w:tcW w:w="1696" w:type="dxa"/>
            <w:shd w:val="clear" w:color="auto" w:fill="auto"/>
            <w:noWrap/>
            <w:vAlign w:val="center"/>
            <w:hideMark/>
          </w:tcPr>
          <w:p w14:paraId="3D1AC2B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011002</w:t>
            </w:r>
          </w:p>
        </w:tc>
        <w:tc>
          <w:tcPr>
            <w:tcW w:w="3969" w:type="dxa"/>
            <w:shd w:val="clear" w:color="auto" w:fill="auto"/>
            <w:vAlign w:val="center"/>
            <w:hideMark/>
          </w:tcPr>
          <w:p w14:paraId="46AC52D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Analizar las bases de datos para la prevención y despliegue operativo.</w:t>
            </w:r>
          </w:p>
        </w:tc>
        <w:tc>
          <w:tcPr>
            <w:tcW w:w="3163" w:type="dxa"/>
            <w:shd w:val="clear" w:color="auto" w:fill="auto"/>
            <w:vAlign w:val="center"/>
            <w:hideMark/>
          </w:tcPr>
          <w:p w14:paraId="5BF3386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principios de un Gobierno Abierto, así como ampliar la digitalización de los servicios gubernamentales para facilitar su acceso a la población a través del uso de las Nuevas Tecnologías de la Información y Comunicación</w:t>
            </w:r>
          </w:p>
        </w:tc>
      </w:tr>
      <w:tr w:rsidR="00C028AC" w:rsidRPr="008511B6" w14:paraId="4421CE97" w14:textId="77777777" w:rsidTr="005D45B5">
        <w:trPr>
          <w:trHeight w:val="1200"/>
        </w:trPr>
        <w:tc>
          <w:tcPr>
            <w:tcW w:w="1696" w:type="dxa"/>
            <w:shd w:val="clear" w:color="auto" w:fill="auto"/>
            <w:noWrap/>
            <w:vAlign w:val="center"/>
            <w:hideMark/>
          </w:tcPr>
          <w:p w14:paraId="36DD54F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011101</w:t>
            </w:r>
          </w:p>
        </w:tc>
        <w:tc>
          <w:tcPr>
            <w:tcW w:w="3969" w:type="dxa"/>
            <w:shd w:val="clear" w:color="auto" w:fill="auto"/>
            <w:vAlign w:val="center"/>
            <w:hideMark/>
          </w:tcPr>
          <w:p w14:paraId="6411318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un sistema de gestión de tráfico inteligente que permita la sincronización automática de semáforos gestionado con inteligencia artificial para una movilidad segura.</w:t>
            </w:r>
          </w:p>
        </w:tc>
        <w:tc>
          <w:tcPr>
            <w:tcW w:w="3163" w:type="dxa"/>
            <w:shd w:val="clear" w:color="auto" w:fill="auto"/>
            <w:vAlign w:val="center"/>
            <w:hideMark/>
          </w:tcPr>
          <w:p w14:paraId="02A6629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principios de un Gobierno Abierto, así como ampliar la digitalización de los servicios gubernamentales para facilitar su acceso a la población a través del uso de las Nuevas Tecnologías de la Información y Comunicación</w:t>
            </w:r>
          </w:p>
        </w:tc>
      </w:tr>
      <w:tr w:rsidR="00C028AC" w:rsidRPr="008511B6" w14:paraId="292208EF" w14:textId="77777777" w:rsidTr="005D45B5">
        <w:trPr>
          <w:trHeight w:val="1200"/>
        </w:trPr>
        <w:tc>
          <w:tcPr>
            <w:tcW w:w="1696" w:type="dxa"/>
            <w:shd w:val="clear" w:color="auto" w:fill="auto"/>
            <w:noWrap/>
            <w:vAlign w:val="center"/>
            <w:hideMark/>
          </w:tcPr>
          <w:p w14:paraId="5FFF617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011102</w:t>
            </w:r>
          </w:p>
        </w:tc>
        <w:tc>
          <w:tcPr>
            <w:tcW w:w="3969" w:type="dxa"/>
            <w:shd w:val="clear" w:color="auto" w:fill="auto"/>
            <w:vAlign w:val="center"/>
            <w:hideMark/>
          </w:tcPr>
          <w:p w14:paraId="634B885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Asegurar el uso eficiente de los recursos materiales, humanos e informáticos de la Administración Pública Municipal con el objetivo de brindar un mejor servicio público a la ciudadanía del municipio.</w:t>
            </w:r>
          </w:p>
        </w:tc>
        <w:tc>
          <w:tcPr>
            <w:tcW w:w="3163" w:type="dxa"/>
            <w:shd w:val="clear" w:color="auto" w:fill="auto"/>
            <w:vAlign w:val="center"/>
            <w:hideMark/>
          </w:tcPr>
          <w:p w14:paraId="63BB726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Institucionalizar la gobernabilidad con un enfoque democrático a través del fortalecimiento presupuestal, la coordinación interinstitucional y la operación de mecanismos de participación social.</w:t>
            </w:r>
          </w:p>
        </w:tc>
      </w:tr>
      <w:tr w:rsidR="00C028AC" w:rsidRPr="008511B6" w14:paraId="26627834" w14:textId="77777777" w:rsidTr="005D45B5">
        <w:trPr>
          <w:trHeight w:val="2700"/>
        </w:trPr>
        <w:tc>
          <w:tcPr>
            <w:tcW w:w="1696" w:type="dxa"/>
            <w:shd w:val="clear" w:color="auto" w:fill="auto"/>
            <w:noWrap/>
            <w:vAlign w:val="center"/>
            <w:hideMark/>
          </w:tcPr>
          <w:p w14:paraId="19BD6EED"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020101</w:t>
            </w:r>
          </w:p>
        </w:tc>
        <w:tc>
          <w:tcPr>
            <w:tcW w:w="3969" w:type="dxa"/>
            <w:shd w:val="clear" w:color="auto" w:fill="auto"/>
            <w:vAlign w:val="center"/>
            <w:hideMark/>
          </w:tcPr>
          <w:p w14:paraId="1355331F" w14:textId="25395533"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Elaborar, mantener actualizados y dar seguimiento a los documentos de planeación, guías y proyectos para el ordenamiento territorial y la resiliencia urbana, conforme a los lineamientos técnicos y normativos de la ley aplicables, utilizando herramientas, criterios y principios de vanguardia que permitan mejorar las condiciones de habitabilidad y seguridad en los asentamientos humanos; así como promover la ocupación ordenada y segura de sus áreas de expansión.</w:t>
            </w:r>
          </w:p>
        </w:tc>
        <w:tc>
          <w:tcPr>
            <w:tcW w:w="3163" w:type="dxa"/>
            <w:shd w:val="clear" w:color="auto" w:fill="auto"/>
            <w:vAlign w:val="center"/>
            <w:hideMark/>
          </w:tcPr>
          <w:p w14:paraId="4696E88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proyectos que potencialicen el desarrollo económico y la conectividad de las regiones del estado, para consolidar el acceso a mercados locales y globales.</w:t>
            </w:r>
          </w:p>
        </w:tc>
      </w:tr>
      <w:tr w:rsidR="00C028AC" w:rsidRPr="008511B6" w14:paraId="298A7708" w14:textId="77777777" w:rsidTr="005D45B5">
        <w:trPr>
          <w:trHeight w:val="1500"/>
        </w:trPr>
        <w:tc>
          <w:tcPr>
            <w:tcW w:w="1696" w:type="dxa"/>
            <w:shd w:val="clear" w:color="auto" w:fill="auto"/>
            <w:noWrap/>
            <w:vAlign w:val="center"/>
            <w:hideMark/>
          </w:tcPr>
          <w:p w14:paraId="2AAA267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020102</w:t>
            </w:r>
          </w:p>
        </w:tc>
        <w:tc>
          <w:tcPr>
            <w:tcW w:w="3969" w:type="dxa"/>
            <w:shd w:val="clear" w:color="auto" w:fill="auto"/>
            <w:vAlign w:val="center"/>
            <w:hideMark/>
          </w:tcPr>
          <w:p w14:paraId="5C92EA0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Dar seguimiento a los documentos de planeación urbana, normas y reglamentos mediante la elaboración de opiniones técnicas y asesorías a los particulares, dependencias y entidades de la administración pública sobre temas urbanos.</w:t>
            </w:r>
          </w:p>
        </w:tc>
        <w:tc>
          <w:tcPr>
            <w:tcW w:w="3163" w:type="dxa"/>
            <w:shd w:val="clear" w:color="auto" w:fill="auto"/>
            <w:vAlign w:val="center"/>
            <w:hideMark/>
          </w:tcPr>
          <w:p w14:paraId="0B28712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1DF53F96" w14:textId="77777777" w:rsidTr="005D45B5">
        <w:trPr>
          <w:trHeight w:val="1500"/>
        </w:trPr>
        <w:tc>
          <w:tcPr>
            <w:tcW w:w="1696" w:type="dxa"/>
            <w:shd w:val="clear" w:color="auto" w:fill="auto"/>
            <w:noWrap/>
            <w:vAlign w:val="center"/>
            <w:hideMark/>
          </w:tcPr>
          <w:p w14:paraId="400543C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020201</w:t>
            </w:r>
          </w:p>
        </w:tc>
        <w:tc>
          <w:tcPr>
            <w:tcW w:w="3969" w:type="dxa"/>
            <w:shd w:val="clear" w:color="auto" w:fill="auto"/>
            <w:vAlign w:val="center"/>
            <w:hideMark/>
          </w:tcPr>
          <w:p w14:paraId="2505E2E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Elaborar estudios, planes, programas y proyectos de movilidad y seguridad vial, infraestructura vial, peatonal y ciclista, de acuerdo con la jerarquía y la normatividad aplicable.</w:t>
            </w:r>
          </w:p>
        </w:tc>
        <w:tc>
          <w:tcPr>
            <w:tcW w:w="3163" w:type="dxa"/>
            <w:shd w:val="clear" w:color="auto" w:fill="auto"/>
            <w:vAlign w:val="center"/>
            <w:hideMark/>
          </w:tcPr>
          <w:p w14:paraId="6DDEF8A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un modelo integral de movilidad y transporte enfocado en proporcionar alternativas más sostenibles, eficaces y financieramente rentables que contribuyan a la seguridad y el bienestar de la sociedad, particularmente para adultos mayores, personas con discapacidad, mujeres, niñas, niños y comunidades indígenas.</w:t>
            </w:r>
          </w:p>
        </w:tc>
      </w:tr>
      <w:tr w:rsidR="00C028AC" w:rsidRPr="008511B6" w14:paraId="2B10845B" w14:textId="77777777" w:rsidTr="005D45B5">
        <w:trPr>
          <w:trHeight w:val="1500"/>
        </w:trPr>
        <w:tc>
          <w:tcPr>
            <w:tcW w:w="1696" w:type="dxa"/>
            <w:shd w:val="clear" w:color="auto" w:fill="auto"/>
            <w:noWrap/>
            <w:vAlign w:val="center"/>
            <w:hideMark/>
          </w:tcPr>
          <w:p w14:paraId="6495242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020202</w:t>
            </w:r>
          </w:p>
        </w:tc>
        <w:tc>
          <w:tcPr>
            <w:tcW w:w="3969" w:type="dxa"/>
            <w:shd w:val="clear" w:color="auto" w:fill="auto"/>
            <w:vAlign w:val="center"/>
            <w:hideMark/>
          </w:tcPr>
          <w:p w14:paraId="4898AAA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Elaborar estudios, planes y programas de transporte urbano en sus diferentes modalidades e identificar y elaborar proyectos para el mejoramiento o ampliación de los sistemas de transporte y su infraestructura.</w:t>
            </w:r>
          </w:p>
        </w:tc>
        <w:tc>
          <w:tcPr>
            <w:tcW w:w="3163" w:type="dxa"/>
            <w:shd w:val="clear" w:color="auto" w:fill="auto"/>
            <w:vAlign w:val="center"/>
            <w:hideMark/>
          </w:tcPr>
          <w:p w14:paraId="23D7DB9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un modelo integral de movilidad y transporte enfocado en proporcionar alternativas más sostenibles, eficaces y financieramente rentables que contribuyan a la seguridad y el bienestar de la sociedad, particularmente para adultos mayores, personas con discapacidad, mujeres, niñas, niños y comunidades indígenas.</w:t>
            </w:r>
          </w:p>
        </w:tc>
      </w:tr>
      <w:tr w:rsidR="00C028AC" w:rsidRPr="008511B6" w14:paraId="5E140610" w14:textId="77777777" w:rsidTr="008511B6">
        <w:trPr>
          <w:trHeight w:val="590"/>
        </w:trPr>
        <w:tc>
          <w:tcPr>
            <w:tcW w:w="1696" w:type="dxa"/>
            <w:shd w:val="clear" w:color="auto" w:fill="auto"/>
            <w:noWrap/>
            <w:vAlign w:val="center"/>
            <w:hideMark/>
          </w:tcPr>
          <w:p w14:paraId="33B24FA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020203</w:t>
            </w:r>
          </w:p>
        </w:tc>
        <w:tc>
          <w:tcPr>
            <w:tcW w:w="3969" w:type="dxa"/>
            <w:shd w:val="clear" w:color="auto" w:fill="auto"/>
            <w:vAlign w:val="center"/>
            <w:hideMark/>
          </w:tcPr>
          <w:p w14:paraId="5AA5B2A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Dar seguimiento a los documentos de planeación, las normas y reglamentos en materia de movilidad mediante la elaboración de opiniones técnicas y asesorías a los particulares, dependencias y entidades de la administración pública sobre temas de movilidad y seguridad vial.</w:t>
            </w:r>
          </w:p>
        </w:tc>
        <w:tc>
          <w:tcPr>
            <w:tcW w:w="3163" w:type="dxa"/>
            <w:shd w:val="clear" w:color="auto" w:fill="auto"/>
            <w:vAlign w:val="center"/>
            <w:hideMark/>
          </w:tcPr>
          <w:p w14:paraId="21C3580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un modelo integral de movilidad y transporte enfocado en proporcionar alternativas más sostenibles, eficaces y financieramente rentables que contribuyan a la seguridad y el bienestar de la sociedad, particularmente para adultos mayores, personas con discapacidad, mujeres, niñas, niños y comunidades indígenas.</w:t>
            </w:r>
          </w:p>
        </w:tc>
      </w:tr>
      <w:tr w:rsidR="00C028AC" w:rsidRPr="008511B6" w14:paraId="423A806A" w14:textId="77777777" w:rsidTr="005D45B5">
        <w:trPr>
          <w:trHeight w:val="1500"/>
        </w:trPr>
        <w:tc>
          <w:tcPr>
            <w:tcW w:w="1696" w:type="dxa"/>
            <w:shd w:val="clear" w:color="auto" w:fill="auto"/>
            <w:noWrap/>
            <w:vAlign w:val="center"/>
            <w:hideMark/>
          </w:tcPr>
          <w:p w14:paraId="41397CA3"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020301</w:t>
            </w:r>
          </w:p>
        </w:tc>
        <w:tc>
          <w:tcPr>
            <w:tcW w:w="3969" w:type="dxa"/>
            <w:shd w:val="clear" w:color="auto" w:fill="auto"/>
            <w:vAlign w:val="center"/>
            <w:hideMark/>
          </w:tcPr>
          <w:p w14:paraId="556F577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Identificar, planear y proyectar espacios públicos para el beneficio de la población, buscando la mitigación y la adaptación al cambio climático, promoviendo la captura de carbono, la infiltración de agua y el incremento la resiliencia.</w:t>
            </w:r>
          </w:p>
        </w:tc>
        <w:tc>
          <w:tcPr>
            <w:tcW w:w="3163" w:type="dxa"/>
            <w:shd w:val="clear" w:color="auto" w:fill="auto"/>
            <w:vAlign w:val="center"/>
            <w:hideMark/>
          </w:tcPr>
          <w:p w14:paraId="2B7BAA2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una agenda institucional y social que promueva la adopción de una visión integral para Sonora en materia de cultura y cuidado medioambiental enfocada en el aprovechamiento sostenible de los recursos naturales, la conservación de la diversidad biológica y el óptimo desempeño ambiental de los sectores productivos de la economía estatal.</w:t>
            </w:r>
          </w:p>
        </w:tc>
      </w:tr>
      <w:tr w:rsidR="00C028AC" w:rsidRPr="008511B6" w14:paraId="233BCDBA" w14:textId="77777777" w:rsidTr="005D45B5">
        <w:trPr>
          <w:trHeight w:val="1200"/>
        </w:trPr>
        <w:tc>
          <w:tcPr>
            <w:tcW w:w="1696" w:type="dxa"/>
            <w:shd w:val="clear" w:color="auto" w:fill="auto"/>
            <w:noWrap/>
            <w:vAlign w:val="center"/>
            <w:hideMark/>
          </w:tcPr>
          <w:p w14:paraId="595D46D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020302</w:t>
            </w:r>
          </w:p>
        </w:tc>
        <w:tc>
          <w:tcPr>
            <w:tcW w:w="3969" w:type="dxa"/>
            <w:shd w:val="clear" w:color="auto" w:fill="auto"/>
            <w:vAlign w:val="center"/>
            <w:hideMark/>
          </w:tcPr>
          <w:p w14:paraId="6A7361E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Elaborar propuestas para la implementación de infraestructura verde y azul en espacios y edificios públicos, promoviendo la captura e infiltración de agua e incrementando la resiliencia hídrica.</w:t>
            </w:r>
          </w:p>
        </w:tc>
        <w:tc>
          <w:tcPr>
            <w:tcW w:w="3163" w:type="dxa"/>
            <w:shd w:val="clear" w:color="auto" w:fill="auto"/>
            <w:vAlign w:val="center"/>
            <w:hideMark/>
          </w:tcPr>
          <w:p w14:paraId="677F8C7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a las instituciones responsables de la gestión del agua en el estado, promoviendo la participación ciudadana activa y emprendiendo acciones para asegurar el aprovechamiento sostenible del agua en todos los sectores bajo un enfoque de bienestar social, económico y ambiental.</w:t>
            </w:r>
          </w:p>
        </w:tc>
      </w:tr>
      <w:tr w:rsidR="00C028AC" w:rsidRPr="008511B6" w14:paraId="6E4828F0" w14:textId="77777777" w:rsidTr="005D45B5">
        <w:trPr>
          <w:trHeight w:val="900"/>
        </w:trPr>
        <w:tc>
          <w:tcPr>
            <w:tcW w:w="1696" w:type="dxa"/>
            <w:shd w:val="clear" w:color="auto" w:fill="auto"/>
            <w:noWrap/>
            <w:vAlign w:val="center"/>
            <w:hideMark/>
          </w:tcPr>
          <w:p w14:paraId="48502A0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020401</w:t>
            </w:r>
          </w:p>
        </w:tc>
        <w:tc>
          <w:tcPr>
            <w:tcW w:w="3969" w:type="dxa"/>
            <w:shd w:val="clear" w:color="auto" w:fill="auto"/>
            <w:vAlign w:val="center"/>
            <w:hideMark/>
          </w:tcPr>
          <w:p w14:paraId="4668C64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Elaborar, coordinar o supervisar la elaboración de proyectos ejecutivos estratégicos del municipio.</w:t>
            </w:r>
          </w:p>
        </w:tc>
        <w:tc>
          <w:tcPr>
            <w:tcW w:w="3163" w:type="dxa"/>
            <w:shd w:val="clear" w:color="auto" w:fill="auto"/>
            <w:vAlign w:val="center"/>
            <w:hideMark/>
          </w:tcPr>
          <w:p w14:paraId="3C8C529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proyectos que potencialicen el desarrollo económico y la conectividad de las regiones del estado, para consolidar el acceso a mercados locales y globales.</w:t>
            </w:r>
          </w:p>
        </w:tc>
      </w:tr>
      <w:tr w:rsidR="00C028AC" w:rsidRPr="008511B6" w14:paraId="24FD79AD" w14:textId="77777777" w:rsidTr="005D45B5">
        <w:trPr>
          <w:trHeight w:val="1200"/>
        </w:trPr>
        <w:tc>
          <w:tcPr>
            <w:tcW w:w="1696" w:type="dxa"/>
            <w:shd w:val="clear" w:color="auto" w:fill="auto"/>
            <w:noWrap/>
            <w:vAlign w:val="center"/>
            <w:hideMark/>
          </w:tcPr>
          <w:p w14:paraId="61577C17"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020501</w:t>
            </w:r>
          </w:p>
        </w:tc>
        <w:tc>
          <w:tcPr>
            <w:tcW w:w="3969" w:type="dxa"/>
            <w:shd w:val="clear" w:color="auto" w:fill="auto"/>
            <w:vAlign w:val="center"/>
            <w:hideMark/>
          </w:tcPr>
          <w:p w14:paraId="744076C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Realizar acuerdos de coordinación o colaboración para la vinculación con dependencias o entidades gubernamentales, organizaciones de la sociedad civil, educativas u organismos internacionales.</w:t>
            </w:r>
          </w:p>
        </w:tc>
        <w:tc>
          <w:tcPr>
            <w:tcW w:w="3163" w:type="dxa"/>
            <w:shd w:val="clear" w:color="auto" w:fill="auto"/>
            <w:vAlign w:val="center"/>
            <w:hideMark/>
          </w:tcPr>
          <w:p w14:paraId="6819131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2E1232E3" w14:textId="77777777" w:rsidTr="008511B6">
        <w:trPr>
          <w:trHeight w:val="1157"/>
        </w:trPr>
        <w:tc>
          <w:tcPr>
            <w:tcW w:w="1696" w:type="dxa"/>
            <w:shd w:val="clear" w:color="auto" w:fill="auto"/>
            <w:noWrap/>
            <w:vAlign w:val="center"/>
            <w:hideMark/>
          </w:tcPr>
          <w:p w14:paraId="2B31970C"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020502</w:t>
            </w:r>
          </w:p>
        </w:tc>
        <w:tc>
          <w:tcPr>
            <w:tcW w:w="3969" w:type="dxa"/>
            <w:shd w:val="clear" w:color="auto" w:fill="auto"/>
            <w:vAlign w:val="center"/>
            <w:hideMark/>
          </w:tcPr>
          <w:p w14:paraId="287C7FD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Organizar o participar en campañas, cursos y presentaciones sobre temas de desarrollo urbano sostenible, ordenamiento territorial, movilidad y espacios públicos.</w:t>
            </w:r>
          </w:p>
        </w:tc>
        <w:tc>
          <w:tcPr>
            <w:tcW w:w="3163" w:type="dxa"/>
            <w:shd w:val="clear" w:color="auto" w:fill="auto"/>
            <w:vAlign w:val="center"/>
            <w:hideMark/>
          </w:tcPr>
          <w:p w14:paraId="4B41958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64FE9372" w14:textId="77777777" w:rsidTr="005D45B5">
        <w:trPr>
          <w:trHeight w:val="1500"/>
        </w:trPr>
        <w:tc>
          <w:tcPr>
            <w:tcW w:w="1696" w:type="dxa"/>
            <w:shd w:val="clear" w:color="auto" w:fill="auto"/>
            <w:noWrap/>
            <w:vAlign w:val="center"/>
            <w:hideMark/>
          </w:tcPr>
          <w:p w14:paraId="0B36F5F3"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020601</w:t>
            </w:r>
          </w:p>
        </w:tc>
        <w:tc>
          <w:tcPr>
            <w:tcW w:w="3969" w:type="dxa"/>
            <w:shd w:val="clear" w:color="auto" w:fill="auto"/>
            <w:vAlign w:val="center"/>
            <w:hideMark/>
          </w:tcPr>
          <w:p w14:paraId="568629B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Contribuir con obras de infraestructura vial en el municipio para la disminución del rezago en la movilidad de los ciudadanos</w:t>
            </w:r>
          </w:p>
        </w:tc>
        <w:tc>
          <w:tcPr>
            <w:tcW w:w="3163" w:type="dxa"/>
            <w:shd w:val="clear" w:color="auto" w:fill="auto"/>
            <w:vAlign w:val="center"/>
            <w:hideMark/>
          </w:tcPr>
          <w:p w14:paraId="73FA50E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134FBFDA" w14:textId="77777777" w:rsidTr="005D45B5">
        <w:trPr>
          <w:trHeight w:val="1500"/>
        </w:trPr>
        <w:tc>
          <w:tcPr>
            <w:tcW w:w="1696" w:type="dxa"/>
            <w:shd w:val="clear" w:color="auto" w:fill="auto"/>
            <w:noWrap/>
            <w:vAlign w:val="center"/>
            <w:hideMark/>
          </w:tcPr>
          <w:p w14:paraId="156B5B0D"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020602</w:t>
            </w:r>
          </w:p>
        </w:tc>
        <w:tc>
          <w:tcPr>
            <w:tcW w:w="3969" w:type="dxa"/>
            <w:shd w:val="clear" w:color="auto" w:fill="auto"/>
            <w:vAlign w:val="center"/>
            <w:hideMark/>
          </w:tcPr>
          <w:p w14:paraId="5290C50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infraestructura de la ciudad a través del mantenimiento y conservación de vialidades urbanas y rurales, así como canales pluviales y arroyos.</w:t>
            </w:r>
          </w:p>
        </w:tc>
        <w:tc>
          <w:tcPr>
            <w:tcW w:w="3163" w:type="dxa"/>
            <w:shd w:val="clear" w:color="auto" w:fill="auto"/>
            <w:vAlign w:val="center"/>
            <w:hideMark/>
          </w:tcPr>
          <w:p w14:paraId="16E2BBE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08CD4A90" w14:textId="77777777" w:rsidTr="005D45B5">
        <w:trPr>
          <w:trHeight w:val="1500"/>
        </w:trPr>
        <w:tc>
          <w:tcPr>
            <w:tcW w:w="1696" w:type="dxa"/>
            <w:shd w:val="clear" w:color="auto" w:fill="auto"/>
            <w:noWrap/>
            <w:vAlign w:val="center"/>
            <w:hideMark/>
          </w:tcPr>
          <w:p w14:paraId="757FB86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020603</w:t>
            </w:r>
          </w:p>
        </w:tc>
        <w:tc>
          <w:tcPr>
            <w:tcW w:w="3969" w:type="dxa"/>
            <w:shd w:val="clear" w:color="auto" w:fill="auto"/>
            <w:vAlign w:val="center"/>
            <w:hideMark/>
          </w:tcPr>
          <w:p w14:paraId="3FD1453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Reducir el rezago en servicios básicos y condiciones de vivienda a través de la construcción de infraestructura esencial y el mejoramiento de espacios públicos, asegurando una adecuada ejecución de las obras mediante estudios y proyectos relacionados.</w:t>
            </w:r>
          </w:p>
        </w:tc>
        <w:tc>
          <w:tcPr>
            <w:tcW w:w="3163" w:type="dxa"/>
            <w:shd w:val="clear" w:color="auto" w:fill="auto"/>
            <w:vAlign w:val="center"/>
            <w:hideMark/>
          </w:tcPr>
          <w:p w14:paraId="5A584EA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el abastecimiento de agua potable y el acceso a los servicios básicos de drenaje, alcantarillado y saneamiento en zonas urbanas, suburbanas y rurales, con especial atención en impactar positivamente a comunidades de alto grado de marginación.</w:t>
            </w:r>
          </w:p>
        </w:tc>
      </w:tr>
      <w:tr w:rsidR="00C028AC" w:rsidRPr="008511B6" w14:paraId="0163E7DE" w14:textId="77777777" w:rsidTr="005D45B5">
        <w:trPr>
          <w:trHeight w:val="1500"/>
        </w:trPr>
        <w:tc>
          <w:tcPr>
            <w:tcW w:w="1696" w:type="dxa"/>
            <w:shd w:val="clear" w:color="auto" w:fill="auto"/>
            <w:noWrap/>
            <w:vAlign w:val="center"/>
            <w:hideMark/>
          </w:tcPr>
          <w:p w14:paraId="46B22225"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020604</w:t>
            </w:r>
          </w:p>
        </w:tc>
        <w:tc>
          <w:tcPr>
            <w:tcW w:w="3969" w:type="dxa"/>
            <w:shd w:val="clear" w:color="auto" w:fill="auto"/>
            <w:vAlign w:val="center"/>
            <w:hideMark/>
          </w:tcPr>
          <w:p w14:paraId="3AD4C93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Mantener las vialidades principales de la ciudad con la señalización horizontal y un sistema de semaforización sincronizado y en buen estado, contribuyendo a una movilidad segura, ágil y ordenada.</w:t>
            </w:r>
          </w:p>
        </w:tc>
        <w:tc>
          <w:tcPr>
            <w:tcW w:w="3163" w:type="dxa"/>
            <w:shd w:val="clear" w:color="auto" w:fill="auto"/>
            <w:vAlign w:val="center"/>
            <w:hideMark/>
          </w:tcPr>
          <w:p w14:paraId="10394DA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79EEB6FA" w14:textId="77777777" w:rsidTr="005D45B5">
        <w:trPr>
          <w:trHeight w:val="1500"/>
        </w:trPr>
        <w:tc>
          <w:tcPr>
            <w:tcW w:w="1696" w:type="dxa"/>
            <w:shd w:val="clear" w:color="auto" w:fill="auto"/>
            <w:noWrap/>
            <w:vAlign w:val="center"/>
            <w:hideMark/>
          </w:tcPr>
          <w:p w14:paraId="70C2E2F9"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020701</w:t>
            </w:r>
          </w:p>
        </w:tc>
        <w:tc>
          <w:tcPr>
            <w:tcW w:w="3969" w:type="dxa"/>
            <w:shd w:val="clear" w:color="auto" w:fill="auto"/>
            <w:vAlign w:val="center"/>
            <w:hideMark/>
          </w:tcPr>
          <w:p w14:paraId="7F8A548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Sistematizar el seguimiento de las demandas ciudadanas de obras públicas para su concertación y en su caso inversión directa para ejecución bajo los principios de corresponsabilidad, solidaridad, rendición de cuentas y transparencia.</w:t>
            </w:r>
          </w:p>
        </w:tc>
        <w:tc>
          <w:tcPr>
            <w:tcW w:w="3163" w:type="dxa"/>
            <w:shd w:val="clear" w:color="auto" w:fill="auto"/>
            <w:vAlign w:val="center"/>
            <w:hideMark/>
          </w:tcPr>
          <w:p w14:paraId="78DAB8C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5D9C263D" w14:textId="77777777" w:rsidTr="008511B6">
        <w:trPr>
          <w:trHeight w:val="448"/>
        </w:trPr>
        <w:tc>
          <w:tcPr>
            <w:tcW w:w="1696" w:type="dxa"/>
            <w:shd w:val="clear" w:color="auto" w:fill="auto"/>
            <w:noWrap/>
            <w:vAlign w:val="center"/>
            <w:hideMark/>
          </w:tcPr>
          <w:p w14:paraId="55EE803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020801</w:t>
            </w:r>
          </w:p>
        </w:tc>
        <w:tc>
          <w:tcPr>
            <w:tcW w:w="3969" w:type="dxa"/>
            <w:shd w:val="clear" w:color="auto" w:fill="auto"/>
            <w:vAlign w:val="center"/>
            <w:hideMark/>
          </w:tcPr>
          <w:p w14:paraId="39B8BCE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el abasto de agua potable para satisfacer en calidad y cantidad a la población el mediano y largo plazo.</w:t>
            </w:r>
          </w:p>
        </w:tc>
        <w:tc>
          <w:tcPr>
            <w:tcW w:w="3163" w:type="dxa"/>
            <w:shd w:val="clear" w:color="auto" w:fill="auto"/>
            <w:vAlign w:val="center"/>
            <w:hideMark/>
          </w:tcPr>
          <w:p w14:paraId="7F32DED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el abastecimiento de agua potable y el acceso a los servicios básicos de drenaje, alcantarillado y saneamiento en zonas urbanas, suburbanas y rurales, con especial atención en impactar positivamente a comunidades de alto grado de marginación.</w:t>
            </w:r>
          </w:p>
        </w:tc>
      </w:tr>
      <w:tr w:rsidR="00C028AC" w:rsidRPr="008511B6" w14:paraId="7ADA88A1" w14:textId="77777777" w:rsidTr="005D45B5">
        <w:trPr>
          <w:trHeight w:val="1200"/>
        </w:trPr>
        <w:tc>
          <w:tcPr>
            <w:tcW w:w="1696" w:type="dxa"/>
            <w:shd w:val="clear" w:color="auto" w:fill="auto"/>
            <w:noWrap/>
            <w:vAlign w:val="center"/>
            <w:hideMark/>
          </w:tcPr>
          <w:p w14:paraId="4A73D24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020802</w:t>
            </w:r>
          </w:p>
        </w:tc>
        <w:tc>
          <w:tcPr>
            <w:tcW w:w="3969" w:type="dxa"/>
            <w:shd w:val="clear" w:color="auto" w:fill="auto"/>
            <w:vAlign w:val="center"/>
            <w:hideMark/>
          </w:tcPr>
          <w:p w14:paraId="585762C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Mantener en operación la red e infraestructura de drenaje y alcantarillado sanitario municipal para el desalojo en forma segura de las aguas residuales generadas para su posterior tratamiento.</w:t>
            </w:r>
          </w:p>
        </w:tc>
        <w:tc>
          <w:tcPr>
            <w:tcW w:w="3163" w:type="dxa"/>
            <w:shd w:val="clear" w:color="auto" w:fill="auto"/>
            <w:vAlign w:val="center"/>
            <w:hideMark/>
          </w:tcPr>
          <w:p w14:paraId="2B7677B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el abastecimiento de agua potable y el acceso a los servicios básicos de drenaje, alcantarillado y saneamiento en zonas urbanas, suburbanas y rurales, con especial atención en impactar positivamente a comunidades de alto grado de marginación.</w:t>
            </w:r>
          </w:p>
        </w:tc>
      </w:tr>
      <w:tr w:rsidR="00C028AC" w:rsidRPr="008511B6" w14:paraId="40CF10D6" w14:textId="77777777" w:rsidTr="005D45B5">
        <w:trPr>
          <w:trHeight w:val="1500"/>
        </w:trPr>
        <w:tc>
          <w:tcPr>
            <w:tcW w:w="1696" w:type="dxa"/>
            <w:shd w:val="clear" w:color="auto" w:fill="auto"/>
            <w:noWrap/>
            <w:vAlign w:val="center"/>
            <w:hideMark/>
          </w:tcPr>
          <w:p w14:paraId="2CB885B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020803</w:t>
            </w:r>
          </w:p>
        </w:tc>
        <w:tc>
          <w:tcPr>
            <w:tcW w:w="3969" w:type="dxa"/>
            <w:shd w:val="clear" w:color="auto" w:fill="auto"/>
            <w:vAlign w:val="center"/>
            <w:hideMark/>
          </w:tcPr>
          <w:p w14:paraId="3DEDC53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Sanear, reusar y disponer de los volúmenes de aguas residuales generadas y optimizar los costos de operación de las plantas de tratamiento, viabilidad y/o construcción de las líneas moradas, así como promover el uso de aguas tratadas.</w:t>
            </w:r>
          </w:p>
        </w:tc>
        <w:tc>
          <w:tcPr>
            <w:tcW w:w="3163" w:type="dxa"/>
            <w:shd w:val="clear" w:color="auto" w:fill="auto"/>
            <w:vAlign w:val="center"/>
            <w:hideMark/>
          </w:tcPr>
          <w:p w14:paraId="65B3E11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el abastecimiento de agua potable y el acceso a los servicios básicos de drenaje, alcantarillado y saneamiento en zonas urbanas, suburbanas y rurales, con especial atención en impactar positivamente a comunidades de alto grado de marginación.</w:t>
            </w:r>
          </w:p>
        </w:tc>
      </w:tr>
      <w:tr w:rsidR="00C028AC" w:rsidRPr="008511B6" w14:paraId="6963BE27" w14:textId="77777777" w:rsidTr="008511B6">
        <w:trPr>
          <w:trHeight w:val="590"/>
        </w:trPr>
        <w:tc>
          <w:tcPr>
            <w:tcW w:w="1696" w:type="dxa"/>
            <w:shd w:val="clear" w:color="auto" w:fill="auto"/>
            <w:noWrap/>
            <w:vAlign w:val="center"/>
            <w:hideMark/>
          </w:tcPr>
          <w:p w14:paraId="62C5C7A5"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020901</w:t>
            </w:r>
          </w:p>
        </w:tc>
        <w:tc>
          <w:tcPr>
            <w:tcW w:w="3969" w:type="dxa"/>
            <w:shd w:val="clear" w:color="auto" w:fill="auto"/>
            <w:vAlign w:val="center"/>
            <w:hideMark/>
          </w:tcPr>
          <w:p w14:paraId="5888DFF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Brindar a los usuarios los servicios con calidad y sentido social, promoviendo una recaudación eficaz y eficiente.</w:t>
            </w:r>
          </w:p>
        </w:tc>
        <w:tc>
          <w:tcPr>
            <w:tcW w:w="3163" w:type="dxa"/>
            <w:shd w:val="clear" w:color="auto" w:fill="auto"/>
            <w:vAlign w:val="center"/>
            <w:hideMark/>
          </w:tcPr>
          <w:p w14:paraId="16056E4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a las instituciones responsables de la gestión del agua en el estado, promoviendo la participación ciudadana activa y emprendiendo acciones para asegurar el aprovechamiento sostenible del agua en todos los sectores bajo un enfoque de bienestar social, económico y ambiental.</w:t>
            </w:r>
          </w:p>
        </w:tc>
      </w:tr>
      <w:tr w:rsidR="00C028AC" w:rsidRPr="008511B6" w14:paraId="55674C3F" w14:textId="77777777" w:rsidTr="005D45B5">
        <w:trPr>
          <w:trHeight w:val="1500"/>
        </w:trPr>
        <w:tc>
          <w:tcPr>
            <w:tcW w:w="1696" w:type="dxa"/>
            <w:shd w:val="clear" w:color="auto" w:fill="auto"/>
            <w:noWrap/>
            <w:vAlign w:val="center"/>
            <w:hideMark/>
          </w:tcPr>
          <w:p w14:paraId="3282D8C0"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020902</w:t>
            </w:r>
          </w:p>
        </w:tc>
        <w:tc>
          <w:tcPr>
            <w:tcW w:w="3969" w:type="dxa"/>
            <w:shd w:val="clear" w:color="auto" w:fill="auto"/>
            <w:vAlign w:val="center"/>
            <w:hideMark/>
          </w:tcPr>
          <w:p w14:paraId="60C21DE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mecanismos de control, sistemas de información para la evaluación del desempeño, transparencia, mejorar la percepción e imagen institucional, así como la defensa legal del patrimonio del Organismo Operador Municipal Agua de Hermosillo.</w:t>
            </w:r>
          </w:p>
        </w:tc>
        <w:tc>
          <w:tcPr>
            <w:tcW w:w="3163" w:type="dxa"/>
            <w:shd w:val="clear" w:color="auto" w:fill="auto"/>
            <w:vAlign w:val="center"/>
            <w:hideMark/>
          </w:tcPr>
          <w:p w14:paraId="120142A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a las instituciones responsables de la gestión del agua en el estado, promoviendo la participación ciudadana activa y emprendiendo acciones para asegurar el aprovechamiento sostenible del agua en todos los sectores bajo un enfoque de bienestar social, económico y ambiental.</w:t>
            </w:r>
          </w:p>
        </w:tc>
      </w:tr>
      <w:tr w:rsidR="00C028AC" w:rsidRPr="008511B6" w14:paraId="4A36F2D6" w14:textId="77777777" w:rsidTr="005D45B5">
        <w:trPr>
          <w:trHeight w:val="1200"/>
        </w:trPr>
        <w:tc>
          <w:tcPr>
            <w:tcW w:w="1696" w:type="dxa"/>
            <w:shd w:val="clear" w:color="auto" w:fill="auto"/>
            <w:noWrap/>
            <w:vAlign w:val="center"/>
            <w:hideMark/>
          </w:tcPr>
          <w:p w14:paraId="76E4FA9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021001</w:t>
            </w:r>
          </w:p>
        </w:tc>
        <w:tc>
          <w:tcPr>
            <w:tcW w:w="3969" w:type="dxa"/>
            <w:shd w:val="clear" w:color="auto" w:fill="auto"/>
            <w:vAlign w:val="center"/>
            <w:hideMark/>
          </w:tcPr>
          <w:p w14:paraId="496DFCF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un programa de manejo, tratamiento y disposición de residuos en el municipio de Hermosillo.</w:t>
            </w:r>
          </w:p>
        </w:tc>
        <w:tc>
          <w:tcPr>
            <w:tcW w:w="3163" w:type="dxa"/>
            <w:shd w:val="clear" w:color="auto" w:fill="auto"/>
            <w:vAlign w:val="center"/>
            <w:hideMark/>
          </w:tcPr>
          <w:p w14:paraId="1B8EA40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608AC431" w14:textId="77777777" w:rsidTr="005D45B5">
        <w:trPr>
          <w:trHeight w:val="1200"/>
        </w:trPr>
        <w:tc>
          <w:tcPr>
            <w:tcW w:w="1696" w:type="dxa"/>
            <w:shd w:val="clear" w:color="auto" w:fill="auto"/>
            <w:noWrap/>
            <w:vAlign w:val="center"/>
            <w:hideMark/>
          </w:tcPr>
          <w:p w14:paraId="390EDD3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021002</w:t>
            </w:r>
          </w:p>
        </w:tc>
        <w:tc>
          <w:tcPr>
            <w:tcW w:w="3969" w:type="dxa"/>
            <w:shd w:val="clear" w:color="auto" w:fill="auto"/>
            <w:vAlign w:val="center"/>
            <w:hideMark/>
          </w:tcPr>
          <w:p w14:paraId="0A49B99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Realizar un plan de mejoramiento y mantenimiento de los panteones municipales para hacerlos más seguros y funcionales.</w:t>
            </w:r>
          </w:p>
        </w:tc>
        <w:tc>
          <w:tcPr>
            <w:tcW w:w="3163" w:type="dxa"/>
            <w:shd w:val="clear" w:color="auto" w:fill="auto"/>
            <w:vAlign w:val="center"/>
            <w:hideMark/>
          </w:tcPr>
          <w:p w14:paraId="496270B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2BCF93DD" w14:textId="77777777" w:rsidTr="008511B6">
        <w:trPr>
          <w:trHeight w:val="448"/>
        </w:trPr>
        <w:tc>
          <w:tcPr>
            <w:tcW w:w="1696" w:type="dxa"/>
            <w:shd w:val="clear" w:color="auto" w:fill="auto"/>
            <w:noWrap/>
            <w:vAlign w:val="center"/>
            <w:hideMark/>
          </w:tcPr>
          <w:p w14:paraId="46956FF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021003</w:t>
            </w:r>
          </w:p>
        </w:tc>
        <w:tc>
          <w:tcPr>
            <w:tcW w:w="3969" w:type="dxa"/>
            <w:shd w:val="clear" w:color="auto" w:fill="auto"/>
            <w:vAlign w:val="center"/>
            <w:hideMark/>
          </w:tcPr>
          <w:p w14:paraId="6DF5C46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Reforzar el compromiso con la sostenibilidad y la gestión responsable de residuos, incentivando la participación ciudadana en la recolección y separación de materiales reciclables.</w:t>
            </w:r>
          </w:p>
        </w:tc>
        <w:tc>
          <w:tcPr>
            <w:tcW w:w="3163" w:type="dxa"/>
            <w:shd w:val="clear" w:color="auto" w:fill="auto"/>
            <w:vAlign w:val="center"/>
            <w:hideMark/>
          </w:tcPr>
          <w:p w14:paraId="087C838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51A32E9E" w14:textId="77777777" w:rsidTr="005D45B5">
        <w:trPr>
          <w:trHeight w:val="600"/>
        </w:trPr>
        <w:tc>
          <w:tcPr>
            <w:tcW w:w="1696" w:type="dxa"/>
            <w:shd w:val="clear" w:color="auto" w:fill="auto"/>
            <w:noWrap/>
            <w:vAlign w:val="center"/>
            <w:hideMark/>
          </w:tcPr>
          <w:p w14:paraId="55683E6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021101</w:t>
            </w:r>
          </w:p>
        </w:tc>
        <w:tc>
          <w:tcPr>
            <w:tcW w:w="3969" w:type="dxa"/>
            <w:shd w:val="clear" w:color="auto" w:fill="auto"/>
            <w:vAlign w:val="center"/>
            <w:hideMark/>
          </w:tcPr>
          <w:p w14:paraId="1B2DF8D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el bienestar y protección animal en nuestra ciudad.</w:t>
            </w:r>
          </w:p>
        </w:tc>
        <w:tc>
          <w:tcPr>
            <w:tcW w:w="3163" w:type="dxa"/>
            <w:shd w:val="clear" w:color="auto" w:fill="auto"/>
            <w:vAlign w:val="center"/>
            <w:hideMark/>
          </w:tcPr>
          <w:p w14:paraId="4DAF1AC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una política de cuidado y protección de animales domésticos y fomentar su adopción responsable.</w:t>
            </w:r>
          </w:p>
        </w:tc>
      </w:tr>
      <w:tr w:rsidR="00C028AC" w:rsidRPr="008511B6" w14:paraId="1F1B8B82" w14:textId="77777777" w:rsidTr="005D45B5">
        <w:trPr>
          <w:trHeight w:val="1500"/>
        </w:trPr>
        <w:tc>
          <w:tcPr>
            <w:tcW w:w="1696" w:type="dxa"/>
            <w:shd w:val="clear" w:color="auto" w:fill="auto"/>
            <w:noWrap/>
            <w:vAlign w:val="center"/>
            <w:hideMark/>
          </w:tcPr>
          <w:p w14:paraId="7C40339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021201</w:t>
            </w:r>
          </w:p>
        </w:tc>
        <w:tc>
          <w:tcPr>
            <w:tcW w:w="3969" w:type="dxa"/>
            <w:shd w:val="clear" w:color="auto" w:fill="auto"/>
            <w:vAlign w:val="center"/>
            <w:hideMark/>
          </w:tcPr>
          <w:p w14:paraId="46074F8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Mantener la cobertura de alumbrado público con un servicio de calidad, eficiente y sostenible.</w:t>
            </w:r>
          </w:p>
        </w:tc>
        <w:tc>
          <w:tcPr>
            <w:tcW w:w="3163" w:type="dxa"/>
            <w:shd w:val="clear" w:color="auto" w:fill="auto"/>
            <w:vAlign w:val="center"/>
            <w:hideMark/>
          </w:tcPr>
          <w:p w14:paraId="21824EF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3720E5FA" w14:textId="77777777" w:rsidTr="005D45B5">
        <w:trPr>
          <w:trHeight w:val="1500"/>
        </w:trPr>
        <w:tc>
          <w:tcPr>
            <w:tcW w:w="1696" w:type="dxa"/>
            <w:shd w:val="clear" w:color="auto" w:fill="auto"/>
            <w:noWrap/>
            <w:vAlign w:val="center"/>
            <w:hideMark/>
          </w:tcPr>
          <w:p w14:paraId="7EC3BBC9"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021202</w:t>
            </w:r>
          </w:p>
        </w:tc>
        <w:tc>
          <w:tcPr>
            <w:tcW w:w="3969" w:type="dxa"/>
            <w:shd w:val="clear" w:color="auto" w:fill="auto"/>
            <w:vAlign w:val="center"/>
            <w:hideMark/>
          </w:tcPr>
          <w:p w14:paraId="36080BC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Ampliar el sistema de alumbrado público en conformidad con las prioridades y normas aplicables.</w:t>
            </w:r>
          </w:p>
        </w:tc>
        <w:tc>
          <w:tcPr>
            <w:tcW w:w="3163" w:type="dxa"/>
            <w:shd w:val="clear" w:color="auto" w:fill="auto"/>
            <w:vAlign w:val="center"/>
            <w:hideMark/>
          </w:tcPr>
          <w:p w14:paraId="6DB796C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07801CF0" w14:textId="77777777" w:rsidTr="005D45B5">
        <w:trPr>
          <w:trHeight w:val="1500"/>
        </w:trPr>
        <w:tc>
          <w:tcPr>
            <w:tcW w:w="1696" w:type="dxa"/>
            <w:shd w:val="clear" w:color="auto" w:fill="auto"/>
            <w:noWrap/>
            <w:vAlign w:val="center"/>
            <w:hideMark/>
          </w:tcPr>
          <w:p w14:paraId="042387F5"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021301</w:t>
            </w:r>
          </w:p>
        </w:tc>
        <w:tc>
          <w:tcPr>
            <w:tcW w:w="3969" w:type="dxa"/>
            <w:shd w:val="clear" w:color="auto" w:fill="auto"/>
            <w:vAlign w:val="center"/>
            <w:hideMark/>
          </w:tcPr>
          <w:p w14:paraId="6223773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el uso de energías limpias en el entorno con medidas de eficiencia energética y mitigación del cambio climático.</w:t>
            </w:r>
          </w:p>
        </w:tc>
        <w:tc>
          <w:tcPr>
            <w:tcW w:w="3163" w:type="dxa"/>
            <w:shd w:val="clear" w:color="auto" w:fill="auto"/>
            <w:vAlign w:val="center"/>
            <w:hideMark/>
          </w:tcPr>
          <w:p w14:paraId="05A0DE6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2C81B4D0" w14:textId="77777777" w:rsidTr="005D45B5">
        <w:trPr>
          <w:trHeight w:val="1500"/>
        </w:trPr>
        <w:tc>
          <w:tcPr>
            <w:tcW w:w="1696" w:type="dxa"/>
            <w:shd w:val="clear" w:color="auto" w:fill="auto"/>
            <w:noWrap/>
            <w:vAlign w:val="center"/>
            <w:hideMark/>
          </w:tcPr>
          <w:p w14:paraId="58E2D3A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021302</w:t>
            </w:r>
          </w:p>
        </w:tc>
        <w:tc>
          <w:tcPr>
            <w:tcW w:w="3969" w:type="dxa"/>
            <w:shd w:val="clear" w:color="auto" w:fill="auto"/>
            <w:vAlign w:val="center"/>
            <w:hideMark/>
          </w:tcPr>
          <w:p w14:paraId="10DF0E9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Concientizar a la población en materia de eficiencia energética, generación de energía limpia, electromovilidad, tecnología y medidas de mitigación del cambio climático.</w:t>
            </w:r>
          </w:p>
        </w:tc>
        <w:tc>
          <w:tcPr>
            <w:tcW w:w="3163" w:type="dxa"/>
            <w:shd w:val="clear" w:color="auto" w:fill="auto"/>
            <w:vAlign w:val="center"/>
            <w:hideMark/>
          </w:tcPr>
          <w:p w14:paraId="58400EB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79573A80" w14:textId="77777777" w:rsidTr="005D45B5">
        <w:trPr>
          <w:trHeight w:val="1500"/>
        </w:trPr>
        <w:tc>
          <w:tcPr>
            <w:tcW w:w="1696" w:type="dxa"/>
            <w:shd w:val="clear" w:color="auto" w:fill="auto"/>
            <w:noWrap/>
            <w:vAlign w:val="center"/>
            <w:hideMark/>
          </w:tcPr>
          <w:p w14:paraId="07024EB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021303</w:t>
            </w:r>
          </w:p>
        </w:tc>
        <w:tc>
          <w:tcPr>
            <w:tcW w:w="3969" w:type="dxa"/>
            <w:shd w:val="clear" w:color="auto" w:fill="auto"/>
            <w:vAlign w:val="center"/>
            <w:hideMark/>
          </w:tcPr>
          <w:p w14:paraId="7E93142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Operar el sistema municipal de información ambiental.</w:t>
            </w:r>
          </w:p>
        </w:tc>
        <w:tc>
          <w:tcPr>
            <w:tcW w:w="3163" w:type="dxa"/>
            <w:shd w:val="clear" w:color="auto" w:fill="auto"/>
            <w:vAlign w:val="center"/>
            <w:hideMark/>
          </w:tcPr>
          <w:p w14:paraId="6B7818A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una agenda institucional y social que promueva la adopción de una visión integral para Sonora en materia de cultura y cuidado medioambiental enfocada en el aprovechamiento sostenible de los recursos naturales, la conservación de la diversidad biológica y el óptimo desempeño ambiental de los sectores productivos de la economía estatal.</w:t>
            </w:r>
          </w:p>
        </w:tc>
      </w:tr>
      <w:tr w:rsidR="00C028AC" w:rsidRPr="008511B6" w14:paraId="7490B4B1" w14:textId="77777777" w:rsidTr="008511B6">
        <w:trPr>
          <w:trHeight w:val="732"/>
        </w:trPr>
        <w:tc>
          <w:tcPr>
            <w:tcW w:w="1696" w:type="dxa"/>
            <w:shd w:val="clear" w:color="auto" w:fill="auto"/>
            <w:noWrap/>
            <w:vAlign w:val="center"/>
            <w:hideMark/>
          </w:tcPr>
          <w:p w14:paraId="226C2D5F"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021401</w:t>
            </w:r>
          </w:p>
        </w:tc>
        <w:tc>
          <w:tcPr>
            <w:tcW w:w="3969" w:type="dxa"/>
            <w:shd w:val="clear" w:color="auto" w:fill="auto"/>
            <w:vAlign w:val="center"/>
            <w:hideMark/>
          </w:tcPr>
          <w:p w14:paraId="2B156C8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Desarrollar acciones para el uso eficiente de los recursos energéticos y colaborar con otros organismos públicos y/o privados, para la generación de información.</w:t>
            </w:r>
          </w:p>
        </w:tc>
        <w:tc>
          <w:tcPr>
            <w:tcW w:w="3163" w:type="dxa"/>
            <w:shd w:val="clear" w:color="auto" w:fill="auto"/>
            <w:vAlign w:val="center"/>
            <w:hideMark/>
          </w:tcPr>
          <w:p w14:paraId="6FF0664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una agenda institucional y social que promueva la adopción de una visión integral para Sonora en materia de cultura y cuidado medioambiental enfocada en el aprovechamiento sostenible de los recursos naturales, la conservación de la diversidad biológica y el óptimo desempeño ambiental de los sectores productivos de la economía estatal.</w:t>
            </w:r>
          </w:p>
        </w:tc>
      </w:tr>
      <w:tr w:rsidR="00C028AC" w:rsidRPr="008511B6" w14:paraId="09A71C35" w14:textId="77777777" w:rsidTr="005D45B5">
        <w:trPr>
          <w:trHeight w:val="1200"/>
        </w:trPr>
        <w:tc>
          <w:tcPr>
            <w:tcW w:w="1696" w:type="dxa"/>
            <w:shd w:val="clear" w:color="auto" w:fill="auto"/>
            <w:noWrap/>
            <w:vAlign w:val="center"/>
            <w:hideMark/>
          </w:tcPr>
          <w:p w14:paraId="6E70D0B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030101</w:t>
            </w:r>
          </w:p>
        </w:tc>
        <w:tc>
          <w:tcPr>
            <w:tcW w:w="3969" w:type="dxa"/>
            <w:shd w:val="clear" w:color="auto" w:fill="auto"/>
            <w:vAlign w:val="center"/>
            <w:hideMark/>
          </w:tcPr>
          <w:p w14:paraId="7904551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Consolidar un marco jurídico adecuado para implementar una política ordenada y coherente en materia ordenamiento territorial y de desarrollo urbano.</w:t>
            </w:r>
          </w:p>
        </w:tc>
        <w:tc>
          <w:tcPr>
            <w:tcW w:w="3163" w:type="dxa"/>
            <w:shd w:val="clear" w:color="auto" w:fill="auto"/>
            <w:vAlign w:val="center"/>
            <w:hideMark/>
          </w:tcPr>
          <w:p w14:paraId="36417EB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181F95BE" w14:textId="77777777" w:rsidTr="005D45B5">
        <w:trPr>
          <w:trHeight w:val="1500"/>
        </w:trPr>
        <w:tc>
          <w:tcPr>
            <w:tcW w:w="1696" w:type="dxa"/>
            <w:shd w:val="clear" w:color="auto" w:fill="auto"/>
            <w:noWrap/>
            <w:vAlign w:val="center"/>
            <w:hideMark/>
          </w:tcPr>
          <w:p w14:paraId="6AF1DC0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030102</w:t>
            </w:r>
          </w:p>
        </w:tc>
        <w:tc>
          <w:tcPr>
            <w:tcW w:w="3969" w:type="dxa"/>
            <w:shd w:val="clear" w:color="auto" w:fill="auto"/>
            <w:vAlign w:val="center"/>
            <w:hideMark/>
          </w:tcPr>
          <w:p w14:paraId="5B93741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Fomentar y supervisar el cumplimiento del Programa Municipal de Desarrollo Urbano del Municipio de Hermosillo mediante la implementación de políticas, directrices y normativas que impulsen la sostenibilidad y la mejora de la competitividad.</w:t>
            </w:r>
          </w:p>
        </w:tc>
        <w:tc>
          <w:tcPr>
            <w:tcW w:w="3163" w:type="dxa"/>
            <w:shd w:val="clear" w:color="auto" w:fill="auto"/>
            <w:vAlign w:val="center"/>
            <w:hideMark/>
          </w:tcPr>
          <w:p w14:paraId="42D8F44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1E55440B" w14:textId="77777777" w:rsidTr="005D45B5">
        <w:trPr>
          <w:trHeight w:val="1500"/>
        </w:trPr>
        <w:tc>
          <w:tcPr>
            <w:tcW w:w="1696" w:type="dxa"/>
            <w:shd w:val="clear" w:color="auto" w:fill="auto"/>
            <w:noWrap/>
            <w:vAlign w:val="center"/>
            <w:hideMark/>
          </w:tcPr>
          <w:p w14:paraId="0EC066F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030103</w:t>
            </w:r>
          </w:p>
        </w:tc>
        <w:tc>
          <w:tcPr>
            <w:tcW w:w="3969" w:type="dxa"/>
            <w:shd w:val="clear" w:color="auto" w:fill="auto"/>
            <w:vAlign w:val="center"/>
            <w:hideMark/>
          </w:tcPr>
          <w:p w14:paraId="063B4D3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Conservar y enriquecer la imagen urbana de los centros poblacionales, incluyendo calles, avenidas y bulevares, mediante la creación y mejora de los espacios públicos.</w:t>
            </w:r>
          </w:p>
        </w:tc>
        <w:tc>
          <w:tcPr>
            <w:tcW w:w="3163" w:type="dxa"/>
            <w:shd w:val="clear" w:color="auto" w:fill="auto"/>
            <w:vAlign w:val="center"/>
            <w:hideMark/>
          </w:tcPr>
          <w:p w14:paraId="2C0D893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5872B2C3" w14:textId="77777777" w:rsidTr="005D45B5">
        <w:trPr>
          <w:trHeight w:val="1500"/>
        </w:trPr>
        <w:tc>
          <w:tcPr>
            <w:tcW w:w="1696" w:type="dxa"/>
            <w:shd w:val="clear" w:color="auto" w:fill="auto"/>
            <w:noWrap/>
            <w:vAlign w:val="center"/>
            <w:hideMark/>
          </w:tcPr>
          <w:p w14:paraId="48201DA8"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030201</w:t>
            </w:r>
          </w:p>
        </w:tc>
        <w:tc>
          <w:tcPr>
            <w:tcW w:w="3969" w:type="dxa"/>
            <w:shd w:val="clear" w:color="auto" w:fill="auto"/>
            <w:vAlign w:val="center"/>
            <w:hideMark/>
          </w:tcPr>
          <w:p w14:paraId="131E90B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Proporcionar trámites y servicios eficientes y de calidad a habitantes, empresas, organizaciones e instituciones, públicas y privadas, con el fin de lograr un desarrollo económico y social sostenido</w:t>
            </w:r>
          </w:p>
        </w:tc>
        <w:tc>
          <w:tcPr>
            <w:tcW w:w="3163" w:type="dxa"/>
            <w:shd w:val="clear" w:color="auto" w:fill="auto"/>
            <w:vAlign w:val="center"/>
            <w:hideMark/>
          </w:tcPr>
          <w:p w14:paraId="16A1CE4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1B7386B9" w14:textId="77777777" w:rsidTr="005D45B5">
        <w:trPr>
          <w:trHeight w:val="1500"/>
        </w:trPr>
        <w:tc>
          <w:tcPr>
            <w:tcW w:w="1696" w:type="dxa"/>
            <w:shd w:val="clear" w:color="auto" w:fill="auto"/>
            <w:noWrap/>
            <w:vAlign w:val="center"/>
            <w:hideMark/>
          </w:tcPr>
          <w:p w14:paraId="4340B530"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030301</w:t>
            </w:r>
          </w:p>
        </w:tc>
        <w:tc>
          <w:tcPr>
            <w:tcW w:w="3969" w:type="dxa"/>
            <w:shd w:val="clear" w:color="auto" w:fill="auto"/>
            <w:vAlign w:val="center"/>
            <w:hideMark/>
          </w:tcPr>
          <w:p w14:paraId="2473BDD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Fomentar el desarrollo sostenible mediante la promoción del uso racional y eficiente de los recursos y el aprovechamiento de tecnologías de vanguardia en favor del medio ambiente.</w:t>
            </w:r>
          </w:p>
        </w:tc>
        <w:tc>
          <w:tcPr>
            <w:tcW w:w="3163" w:type="dxa"/>
            <w:shd w:val="clear" w:color="auto" w:fill="auto"/>
            <w:vAlign w:val="center"/>
            <w:hideMark/>
          </w:tcPr>
          <w:p w14:paraId="0745CA6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construcción y el desarrollo de infraestructura urbana, suburbana y rural, dando prioridad a los espacios públicos que fomenten la cohesión social, que sean confortables, seguros y que propicien la convivencia, con el objeto de mejorar la calidad de vida y el bienestar de las y los sonorenses.</w:t>
            </w:r>
          </w:p>
        </w:tc>
      </w:tr>
      <w:tr w:rsidR="00C028AC" w:rsidRPr="008511B6" w14:paraId="3B59CD5F" w14:textId="77777777" w:rsidTr="005D45B5">
        <w:trPr>
          <w:trHeight w:val="1800"/>
        </w:trPr>
        <w:tc>
          <w:tcPr>
            <w:tcW w:w="1696" w:type="dxa"/>
            <w:shd w:val="clear" w:color="auto" w:fill="auto"/>
            <w:noWrap/>
            <w:vAlign w:val="center"/>
            <w:hideMark/>
          </w:tcPr>
          <w:p w14:paraId="3A0439D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030401</w:t>
            </w:r>
          </w:p>
        </w:tc>
        <w:tc>
          <w:tcPr>
            <w:tcW w:w="3969" w:type="dxa"/>
            <w:shd w:val="clear" w:color="auto" w:fill="auto"/>
            <w:vAlign w:val="center"/>
            <w:hideMark/>
          </w:tcPr>
          <w:p w14:paraId="4F2C477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Actualizar la normatividad aplicable relacionada con las actividades productivas, de servicios, salud y ordenamiento territorial, y conformar un equipo de colaboradores con las capacidades técnicas y operativas necesarias para realizar las actividades de verificación conforme al marco normativo.</w:t>
            </w:r>
          </w:p>
        </w:tc>
        <w:tc>
          <w:tcPr>
            <w:tcW w:w="3163" w:type="dxa"/>
            <w:shd w:val="clear" w:color="auto" w:fill="auto"/>
            <w:vAlign w:val="center"/>
            <w:hideMark/>
          </w:tcPr>
          <w:p w14:paraId="70BDC5C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38811E84" w14:textId="77777777" w:rsidTr="005D45B5">
        <w:trPr>
          <w:trHeight w:val="900"/>
        </w:trPr>
        <w:tc>
          <w:tcPr>
            <w:tcW w:w="1696" w:type="dxa"/>
            <w:shd w:val="clear" w:color="auto" w:fill="auto"/>
            <w:noWrap/>
            <w:vAlign w:val="center"/>
            <w:hideMark/>
          </w:tcPr>
          <w:p w14:paraId="7F287A1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030402</w:t>
            </w:r>
          </w:p>
        </w:tc>
        <w:tc>
          <w:tcPr>
            <w:tcW w:w="3969" w:type="dxa"/>
            <w:shd w:val="clear" w:color="auto" w:fill="auto"/>
            <w:vAlign w:val="center"/>
            <w:hideMark/>
          </w:tcPr>
          <w:p w14:paraId="4EDFE61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Integrar un sistema de información de padrones de las diversas actividades productivas, de servicios y de ordenamiento territorial del municipio de Hermosillo.</w:t>
            </w:r>
          </w:p>
        </w:tc>
        <w:tc>
          <w:tcPr>
            <w:tcW w:w="3163" w:type="dxa"/>
            <w:shd w:val="clear" w:color="auto" w:fill="auto"/>
            <w:vAlign w:val="center"/>
            <w:hideMark/>
          </w:tcPr>
          <w:p w14:paraId="7E8B13BC"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el financiamiento, la rehabilitación de la infraestructura productiva y el equipamiento de las actividades del sector primario, para mejorar su productividad con un enfoque sostenible.</w:t>
            </w:r>
          </w:p>
        </w:tc>
      </w:tr>
      <w:tr w:rsidR="00C028AC" w:rsidRPr="008511B6" w14:paraId="358205D9" w14:textId="77777777" w:rsidTr="005D45B5">
        <w:trPr>
          <w:trHeight w:val="1500"/>
        </w:trPr>
        <w:tc>
          <w:tcPr>
            <w:tcW w:w="1696" w:type="dxa"/>
            <w:shd w:val="clear" w:color="auto" w:fill="auto"/>
            <w:noWrap/>
            <w:vAlign w:val="center"/>
            <w:hideMark/>
          </w:tcPr>
          <w:p w14:paraId="4C7C744F"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030403</w:t>
            </w:r>
          </w:p>
        </w:tc>
        <w:tc>
          <w:tcPr>
            <w:tcW w:w="3969" w:type="dxa"/>
            <w:shd w:val="clear" w:color="auto" w:fill="auto"/>
            <w:vAlign w:val="center"/>
            <w:hideMark/>
          </w:tcPr>
          <w:p w14:paraId="5D86EA0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coordinación interinstitucional en materia de autorizaciones de eventos y espectáculos públicos, así como de comercio y oficios en la vía pública, que fomenten el orden y el cumplimiento normativo en beneficio de la sociedad hermosillense.</w:t>
            </w:r>
          </w:p>
        </w:tc>
        <w:tc>
          <w:tcPr>
            <w:tcW w:w="3163" w:type="dxa"/>
            <w:shd w:val="clear" w:color="auto" w:fill="auto"/>
            <w:vAlign w:val="center"/>
            <w:hideMark/>
          </w:tcPr>
          <w:p w14:paraId="1BCD7EB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3AA35620" w14:textId="77777777" w:rsidTr="005D45B5">
        <w:trPr>
          <w:trHeight w:val="1800"/>
        </w:trPr>
        <w:tc>
          <w:tcPr>
            <w:tcW w:w="1696" w:type="dxa"/>
            <w:shd w:val="clear" w:color="auto" w:fill="auto"/>
            <w:noWrap/>
            <w:vAlign w:val="center"/>
            <w:hideMark/>
          </w:tcPr>
          <w:p w14:paraId="58271C7D"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030501</w:t>
            </w:r>
          </w:p>
        </w:tc>
        <w:tc>
          <w:tcPr>
            <w:tcW w:w="3969" w:type="dxa"/>
            <w:shd w:val="clear" w:color="auto" w:fill="auto"/>
            <w:vAlign w:val="center"/>
            <w:hideMark/>
          </w:tcPr>
          <w:p w14:paraId="6F7CCC4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Proporcionar la atención presencial y electrónica a los hermosillenses para la obtención de autorizaciones y permisos de comercio, así como de eventos y espectáculos públicos, en estricto apego a las disposiciones reglamentarias, en un marco de mejora continua.</w:t>
            </w:r>
          </w:p>
        </w:tc>
        <w:tc>
          <w:tcPr>
            <w:tcW w:w="3163" w:type="dxa"/>
            <w:shd w:val="clear" w:color="auto" w:fill="auto"/>
            <w:vAlign w:val="center"/>
            <w:hideMark/>
          </w:tcPr>
          <w:p w14:paraId="21B512E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principios de un Gobierno Abierto, así como ampliar la digitalización de los servicios gubernamentales para facilitar su acceso a la población a través del uso de las Nuevas Tecnologías de la Información y Comunicación</w:t>
            </w:r>
          </w:p>
        </w:tc>
      </w:tr>
      <w:tr w:rsidR="00C028AC" w:rsidRPr="008511B6" w14:paraId="05D11593" w14:textId="77777777" w:rsidTr="008511B6">
        <w:trPr>
          <w:trHeight w:val="1097"/>
        </w:trPr>
        <w:tc>
          <w:tcPr>
            <w:tcW w:w="1696" w:type="dxa"/>
            <w:shd w:val="clear" w:color="auto" w:fill="auto"/>
            <w:noWrap/>
            <w:vAlign w:val="center"/>
            <w:hideMark/>
          </w:tcPr>
          <w:p w14:paraId="272BEF88"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030601</w:t>
            </w:r>
          </w:p>
        </w:tc>
        <w:tc>
          <w:tcPr>
            <w:tcW w:w="3969" w:type="dxa"/>
            <w:shd w:val="clear" w:color="auto" w:fill="auto"/>
            <w:vAlign w:val="center"/>
            <w:hideMark/>
          </w:tcPr>
          <w:p w14:paraId="5B90E91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Desarrollar programas de promoción económica y atención a inversionistas, identificando sectores estratégicos que maximicen las oportunidades de creación de clústeres en los que participe la industria local.</w:t>
            </w:r>
          </w:p>
        </w:tc>
        <w:tc>
          <w:tcPr>
            <w:tcW w:w="3163" w:type="dxa"/>
            <w:shd w:val="clear" w:color="auto" w:fill="auto"/>
            <w:vAlign w:val="center"/>
            <w:hideMark/>
          </w:tcPr>
          <w:p w14:paraId="614A98B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las ventajas competitivas de Sonora en sectores estratégicos para fomentar un desarrollo equilibrado y sostenible.</w:t>
            </w:r>
          </w:p>
        </w:tc>
      </w:tr>
      <w:tr w:rsidR="00C028AC" w:rsidRPr="008511B6" w14:paraId="1B174FCA" w14:textId="77777777" w:rsidTr="005D45B5">
        <w:trPr>
          <w:trHeight w:val="1200"/>
        </w:trPr>
        <w:tc>
          <w:tcPr>
            <w:tcW w:w="1696" w:type="dxa"/>
            <w:shd w:val="clear" w:color="auto" w:fill="auto"/>
            <w:noWrap/>
            <w:vAlign w:val="center"/>
            <w:hideMark/>
          </w:tcPr>
          <w:p w14:paraId="4135564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030602</w:t>
            </w:r>
          </w:p>
        </w:tc>
        <w:tc>
          <w:tcPr>
            <w:tcW w:w="3969" w:type="dxa"/>
            <w:shd w:val="clear" w:color="auto" w:fill="auto"/>
            <w:vAlign w:val="center"/>
            <w:hideMark/>
          </w:tcPr>
          <w:p w14:paraId="363B021C"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Diseñar programas de desarrollo de proveedores e identificar dentro y fuera del país los nichos de valor agregado para crear una comunidad empresarial sin fronteras.</w:t>
            </w:r>
          </w:p>
        </w:tc>
        <w:tc>
          <w:tcPr>
            <w:tcW w:w="3163" w:type="dxa"/>
            <w:shd w:val="clear" w:color="auto" w:fill="auto"/>
            <w:vAlign w:val="center"/>
            <w:hideMark/>
          </w:tcPr>
          <w:p w14:paraId="10CCC7B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para Sonora una visión de desarrollo con un enfoque municipal y regional, que promueva la vocación productiva de las regiones del estado y que atienda las necesidades básicas de los municipios.</w:t>
            </w:r>
          </w:p>
        </w:tc>
      </w:tr>
      <w:tr w:rsidR="00C028AC" w:rsidRPr="008511B6" w14:paraId="26937CA2" w14:textId="77777777" w:rsidTr="005D45B5">
        <w:trPr>
          <w:trHeight w:val="1500"/>
        </w:trPr>
        <w:tc>
          <w:tcPr>
            <w:tcW w:w="1696" w:type="dxa"/>
            <w:shd w:val="clear" w:color="auto" w:fill="auto"/>
            <w:noWrap/>
            <w:vAlign w:val="center"/>
            <w:hideMark/>
          </w:tcPr>
          <w:p w14:paraId="685CBFB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030701</w:t>
            </w:r>
          </w:p>
        </w:tc>
        <w:tc>
          <w:tcPr>
            <w:tcW w:w="3969" w:type="dxa"/>
            <w:shd w:val="clear" w:color="auto" w:fill="auto"/>
            <w:vAlign w:val="center"/>
            <w:hideMark/>
          </w:tcPr>
          <w:p w14:paraId="4933A65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Integrar un ecosistema emprendedor y promover el emprendimiento de base tecnológica vinculado a los esfuerzos de atracción de inversión, para crear clústeres de innovación que incrementen la competitividad de la ciudad.</w:t>
            </w:r>
          </w:p>
        </w:tc>
        <w:tc>
          <w:tcPr>
            <w:tcW w:w="3163" w:type="dxa"/>
            <w:shd w:val="clear" w:color="auto" w:fill="auto"/>
            <w:vAlign w:val="center"/>
            <w:hideMark/>
          </w:tcPr>
          <w:p w14:paraId="5D8085A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Instrumentar modelos de negocios que propicien un ecosistema de empresas sociales y cooperativas, con el fin de fortalecer y consolidar al sector social como uno de los pilares del desarrollo económico y de la generación de bienestar, principalmente para los pueblos originarios, etnias y comunidades rurales con mayor rezago.</w:t>
            </w:r>
          </w:p>
        </w:tc>
      </w:tr>
      <w:tr w:rsidR="00C028AC" w:rsidRPr="008511B6" w14:paraId="5FCD4214" w14:textId="77777777" w:rsidTr="005D45B5">
        <w:trPr>
          <w:trHeight w:val="900"/>
        </w:trPr>
        <w:tc>
          <w:tcPr>
            <w:tcW w:w="1696" w:type="dxa"/>
            <w:shd w:val="clear" w:color="auto" w:fill="auto"/>
            <w:noWrap/>
            <w:vAlign w:val="center"/>
            <w:hideMark/>
          </w:tcPr>
          <w:p w14:paraId="03211218"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030801</w:t>
            </w:r>
          </w:p>
        </w:tc>
        <w:tc>
          <w:tcPr>
            <w:tcW w:w="3969" w:type="dxa"/>
            <w:shd w:val="clear" w:color="auto" w:fill="auto"/>
            <w:vAlign w:val="center"/>
            <w:hideMark/>
          </w:tcPr>
          <w:p w14:paraId="26BFE1E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las atracciones turísticas del municipio de Hermosillo y el turismo de negocios y de la salud para potenciar el impacto económico del sector.</w:t>
            </w:r>
          </w:p>
        </w:tc>
        <w:tc>
          <w:tcPr>
            <w:tcW w:w="3163" w:type="dxa"/>
            <w:shd w:val="clear" w:color="auto" w:fill="auto"/>
            <w:vAlign w:val="center"/>
            <w:hideMark/>
          </w:tcPr>
          <w:p w14:paraId="2A4979A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Consolidar el liderazgo de Sonora como una potencia turística en el mercado local, regional, nacional e internacional como un motor para la reactivación económica inclusiva, equitativa y sostenible.</w:t>
            </w:r>
          </w:p>
        </w:tc>
      </w:tr>
      <w:tr w:rsidR="00C028AC" w:rsidRPr="008511B6" w14:paraId="6618F181" w14:textId="77777777" w:rsidTr="005D45B5">
        <w:trPr>
          <w:trHeight w:val="1500"/>
        </w:trPr>
        <w:tc>
          <w:tcPr>
            <w:tcW w:w="1696" w:type="dxa"/>
            <w:shd w:val="clear" w:color="auto" w:fill="auto"/>
            <w:noWrap/>
            <w:vAlign w:val="center"/>
            <w:hideMark/>
          </w:tcPr>
          <w:p w14:paraId="606CD28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030802</w:t>
            </w:r>
          </w:p>
        </w:tc>
        <w:tc>
          <w:tcPr>
            <w:tcW w:w="3969" w:type="dxa"/>
            <w:shd w:val="clear" w:color="auto" w:fill="auto"/>
            <w:vAlign w:val="center"/>
            <w:hideMark/>
          </w:tcPr>
          <w:p w14:paraId="49D4858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la realización de eventos de análisis del sector económico y turístico del municipio de Hermosillo para diseñar estrategias efectivas para su despliegue a través de la realización de proyectos especiales y el desarrollo de capacidades de las empresas locales.</w:t>
            </w:r>
          </w:p>
        </w:tc>
        <w:tc>
          <w:tcPr>
            <w:tcW w:w="3163" w:type="dxa"/>
            <w:shd w:val="clear" w:color="auto" w:fill="auto"/>
            <w:vAlign w:val="center"/>
            <w:hideMark/>
          </w:tcPr>
          <w:p w14:paraId="7912ECF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Potenciar la derrama económica a través de la mejora de la infraestructura turística estratégica, para fomentar el desarrollo económico local y regional.</w:t>
            </w:r>
          </w:p>
        </w:tc>
      </w:tr>
      <w:tr w:rsidR="00C028AC" w:rsidRPr="008511B6" w14:paraId="60056C3C" w14:textId="77777777" w:rsidTr="008511B6">
        <w:trPr>
          <w:trHeight w:val="2149"/>
        </w:trPr>
        <w:tc>
          <w:tcPr>
            <w:tcW w:w="1696" w:type="dxa"/>
            <w:shd w:val="clear" w:color="auto" w:fill="auto"/>
            <w:noWrap/>
            <w:vAlign w:val="center"/>
            <w:hideMark/>
          </w:tcPr>
          <w:p w14:paraId="65F5C9C9"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030901</w:t>
            </w:r>
          </w:p>
        </w:tc>
        <w:tc>
          <w:tcPr>
            <w:tcW w:w="3969" w:type="dxa"/>
            <w:shd w:val="clear" w:color="auto" w:fill="auto"/>
            <w:vAlign w:val="center"/>
            <w:hideMark/>
          </w:tcPr>
          <w:p w14:paraId="214B21C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Otorgar seguridad jurídica a las personas y las empresas, dar transparencia y facilitar el cumplimiento regulatorio, a través del diseño de una política de mejora regulatoria que favorezca la reactivación económica y fortalezca el desarrollo y la competitividad del municipio, fomentando el uso de tecnologías de la información para agilizar la resolución de trámites para la apertura de empresas.</w:t>
            </w:r>
          </w:p>
        </w:tc>
        <w:tc>
          <w:tcPr>
            <w:tcW w:w="3163" w:type="dxa"/>
            <w:shd w:val="clear" w:color="auto" w:fill="auto"/>
            <w:vAlign w:val="center"/>
            <w:hideMark/>
          </w:tcPr>
          <w:p w14:paraId="5A5A94A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adopción de una nueva cultura empresarial basada en la cooperación estratégica, la inclusión, la responsabilidad social y la priorización de beneficios compartidos en las comunidades donde se desarrolla la actividad económica, particularmente con las personas trabajadoras y la base social.</w:t>
            </w:r>
          </w:p>
        </w:tc>
      </w:tr>
      <w:tr w:rsidR="00C028AC" w:rsidRPr="008511B6" w14:paraId="59881CB7" w14:textId="77777777" w:rsidTr="005D45B5">
        <w:trPr>
          <w:trHeight w:val="1500"/>
        </w:trPr>
        <w:tc>
          <w:tcPr>
            <w:tcW w:w="1696" w:type="dxa"/>
            <w:shd w:val="clear" w:color="auto" w:fill="auto"/>
            <w:noWrap/>
            <w:vAlign w:val="center"/>
            <w:hideMark/>
          </w:tcPr>
          <w:p w14:paraId="4B16220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030902</w:t>
            </w:r>
          </w:p>
        </w:tc>
        <w:tc>
          <w:tcPr>
            <w:tcW w:w="3969" w:type="dxa"/>
            <w:shd w:val="clear" w:color="auto" w:fill="auto"/>
            <w:vAlign w:val="center"/>
            <w:hideMark/>
          </w:tcPr>
          <w:p w14:paraId="2B240D0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Propiciar mejoras en la infraestructura básica y los servicios públicos del municipio que sean indispensables para la apertura y el adecuado funcionamiento de las empresas y generar proyectos de inversión productiva e inmobiliaria.</w:t>
            </w:r>
          </w:p>
        </w:tc>
        <w:tc>
          <w:tcPr>
            <w:tcW w:w="3163" w:type="dxa"/>
            <w:shd w:val="clear" w:color="auto" w:fill="auto"/>
            <w:vAlign w:val="center"/>
            <w:hideMark/>
          </w:tcPr>
          <w:p w14:paraId="2115B9D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adopción de una nueva cultura empresarial basada en la cooperación estratégica, la inclusión, la responsabilidad social y la priorización de beneficios compartidos en las comunidades donde se desarrolla la actividad económica, particularmente con las personas trabajadoras y la base social.</w:t>
            </w:r>
          </w:p>
        </w:tc>
      </w:tr>
      <w:tr w:rsidR="00C028AC" w:rsidRPr="008511B6" w14:paraId="0B10C804" w14:textId="77777777" w:rsidTr="008511B6">
        <w:trPr>
          <w:trHeight w:val="590"/>
        </w:trPr>
        <w:tc>
          <w:tcPr>
            <w:tcW w:w="1696" w:type="dxa"/>
            <w:shd w:val="clear" w:color="auto" w:fill="auto"/>
            <w:noWrap/>
            <w:vAlign w:val="center"/>
            <w:hideMark/>
          </w:tcPr>
          <w:p w14:paraId="55C2729E"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040101</w:t>
            </w:r>
          </w:p>
        </w:tc>
        <w:tc>
          <w:tcPr>
            <w:tcW w:w="3969" w:type="dxa"/>
            <w:shd w:val="clear" w:color="auto" w:fill="auto"/>
            <w:vAlign w:val="center"/>
            <w:hideMark/>
          </w:tcPr>
          <w:p w14:paraId="1FB404F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Contribuir a la inclusión social  de personas en situación de discapacidad y de los grupos de atención prioritaria en situación vulnerable mediante servicios, subsidios y donativos en especie, así como promover acciones para la prevención y promoción de la salud en la comunidad.</w:t>
            </w:r>
          </w:p>
        </w:tc>
        <w:tc>
          <w:tcPr>
            <w:tcW w:w="3163" w:type="dxa"/>
            <w:shd w:val="clear" w:color="auto" w:fill="auto"/>
            <w:vAlign w:val="center"/>
            <w:hideMark/>
          </w:tcPr>
          <w:p w14:paraId="582E80D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Consolidar una cultura de respeto, reconocimiento y revalorización de los derechos humanos de grupos históricamente vulnerados y marginados, como los miembros de pueblos originarios, las personas con discapacidad y las personas LGBTTTIQ+.</w:t>
            </w:r>
          </w:p>
        </w:tc>
      </w:tr>
      <w:tr w:rsidR="00C028AC" w:rsidRPr="008511B6" w14:paraId="5B698FD3" w14:textId="77777777" w:rsidTr="005D45B5">
        <w:trPr>
          <w:trHeight w:val="1200"/>
        </w:trPr>
        <w:tc>
          <w:tcPr>
            <w:tcW w:w="1696" w:type="dxa"/>
            <w:shd w:val="clear" w:color="auto" w:fill="auto"/>
            <w:noWrap/>
            <w:vAlign w:val="center"/>
            <w:hideMark/>
          </w:tcPr>
          <w:p w14:paraId="1DD5FF1F"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040102</w:t>
            </w:r>
          </w:p>
        </w:tc>
        <w:tc>
          <w:tcPr>
            <w:tcW w:w="3969" w:type="dxa"/>
            <w:shd w:val="clear" w:color="auto" w:fill="auto"/>
            <w:vAlign w:val="center"/>
            <w:hideMark/>
          </w:tcPr>
          <w:p w14:paraId="35A90E8C"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Proporcionar a la sociedad espacios públicos seguros, inclusivos y accesibles para el desarrollo de sus capacidades e integración social.</w:t>
            </w:r>
          </w:p>
        </w:tc>
        <w:tc>
          <w:tcPr>
            <w:tcW w:w="3163" w:type="dxa"/>
            <w:shd w:val="clear" w:color="auto" w:fill="auto"/>
            <w:vAlign w:val="center"/>
            <w:hideMark/>
          </w:tcPr>
          <w:p w14:paraId="319FD2D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Consolidar una cultura de respeto, reconocimiento y revalorización de los derechos humanos de grupos históricamente vulnerados y marginados, como los miembros de pueblos originarios, las personas con discapacidad y las personas LGBTTTIQ+.</w:t>
            </w:r>
          </w:p>
        </w:tc>
      </w:tr>
      <w:tr w:rsidR="00C028AC" w:rsidRPr="008511B6" w14:paraId="486C544A" w14:textId="77777777" w:rsidTr="005D45B5">
        <w:trPr>
          <w:trHeight w:val="1200"/>
        </w:trPr>
        <w:tc>
          <w:tcPr>
            <w:tcW w:w="1696" w:type="dxa"/>
            <w:shd w:val="clear" w:color="auto" w:fill="auto"/>
            <w:noWrap/>
            <w:vAlign w:val="center"/>
            <w:hideMark/>
          </w:tcPr>
          <w:p w14:paraId="7BBF712F"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040103</w:t>
            </w:r>
          </w:p>
        </w:tc>
        <w:tc>
          <w:tcPr>
            <w:tcW w:w="3969" w:type="dxa"/>
            <w:shd w:val="clear" w:color="auto" w:fill="auto"/>
            <w:vAlign w:val="center"/>
            <w:hideMark/>
          </w:tcPr>
          <w:p w14:paraId="7A66089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Reducir todas las formas de malnutrición para incidir en el desarrollo físico e intelectual de grupos vulnerables que radican en zonas de atención prioritaria.</w:t>
            </w:r>
          </w:p>
        </w:tc>
        <w:tc>
          <w:tcPr>
            <w:tcW w:w="3163" w:type="dxa"/>
            <w:shd w:val="clear" w:color="auto" w:fill="auto"/>
            <w:vAlign w:val="center"/>
            <w:hideMark/>
          </w:tcPr>
          <w:p w14:paraId="376568A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Consolidar una cultura de respeto, reconocimiento y revalorización de los derechos humanos de grupos históricamente vulnerados y marginados, como los miembros de pueblos originarios, las personas con discapacidad y las personas LGBTTTIQ+.</w:t>
            </w:r>
          </w:p>
        </w:tc>
      </w:tr>
      <w:tr w:rsidR="00C028AC" w:rsidRPr="008511B6" w14:paraId="5FE773F3" w14:textId="77777777" w:rsidTr="005D45B5">
        <w:trPr>
          <w:trHeight w:val="900"/>
        </w:trPr>
        <w:tc>
          <w:tcPr>
            <w:tcW w:w="1696" w:type="dxa"/>
            <w:shd w:val="clear" w:color="auto" w:fill="auto"/>
            <w:noWrap/>
            <w:vAlign w:val="center"/>
            <w:hideMark/>
          </w:tcPr>
          <w:p w14:paraId="7EEA664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040104</w:t>
            </w:r>
          </w:p>
        </w:tc>
        <w:tc>
          <w:tcPr>
            <w:tcW w:w="3969" w:type="dxa"/>
            <w:shd w:val="clear" w:color="auto" w:fill="auto"/>
            <w:vAlign w:val="center"/>
            <w:hideMark/>
          </w:tcPr>
          <w:p w14:paraId="0161E7D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Procurar la protección de los derechos de las niñas, niños, adolescentes y adultos mayores.</w:t>
            </w:r>
          </w:p>
        </w:tc>
        <w:tc>
          <w:tcPr>
            <w:tcW w:w="3163" w:type="dxa"/>
            <w:shd w:val="clear" w:color="auto" w:fill="auto"/>
            <w:vAlign w:val="center"/>
            <w:hideMark/>
          </w:tcPr>
          <w:p w14:paraId="2407F24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Garantizar espacios de convivencia armónica, inclusión, respeto a la diversidad y a los derechos humanos en las diversas instituciones del estado de Sonora.</w:t>
            </w:r>
          </w:p>
        </w:tc>
      </w:tr>
      <w:tr w:rsidR="00C028AC" w:rsidRPr="008511B6" w14:paraId="3DAB0866" w14:textId="77777777" w:rsidTr="005D45B5">
        <w:trPr>
          <w:trHeight w:val="1800"/>
        </w:trPr>
        <w:tc>
          <w:tcPr>
            <w:tcW w:w="1696" w:type="dxa"/>
            <w:shd w:val="clear" w:color="auto" w:fill="auto"/>
            <w:noWrap/>
            <w:vAlign w:val="center"/>
            <w:hideMark/>
          </w:tcPr>
          <w:p w14:paraId="4D581FE9"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040201</w:t>
            </w:r>
          </w:p>
        </w:tc>
        <w:tc>
          <w:tcPr>
            <w:tcW w:w="3969" w:type="dxa"/>
            <w:shd w:val="clear" w:color="auto" w:fill="auto"/>
            <w:vAlign w:val="center"/>
            <w:hideMark/>
          </w:tcPr>
          <w:p w14:paraId="48CCFBB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los mecanismos de comunicación con los derechohabientes y el proveedor del servicio médico para mantener actualizado el padrón de acuerdo a los Leyes, Reglamentos y Lineamientos vigentes, así como dar seguimiento a los casos de solicitud de pensión que presenten los beneficiarios elegibles.</w:t>
            </w:r>
          </w:p>
        </w:tc>
        <w:tc>
          <w:tcPr>
            <w:tcW w:w="3163" w:type="dxa"/>
            <w:shd w:val="clear" w:color="auto" w:fill="auto"/>
            <w:vAlign w:val="center"/>
            <w:hideMark/>
          </w:tcPr>
          <w:p w14:paraId="7AE1A60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derechos fundamentales de los trabajadores con un enfoque de transversalidad que incluya equitativamente a gremios y agrupaciones sindicales, empleadores y autoridades en materia de justicia laboral.</w:t>
            </w:r>
          </w:p>
        </w:tc>
      </w:tr>
      <w:tr w:rsidR="00C028AC" w:rsidRPr="008511B6" w14:paraId="159FAB1C" w14:textId="77777777" w:rsidTr="005D45B5">
        <w:trPr>
          <w:trHeight w:val="1200"/>
        </w:trPr>
        <w:tc>
          <w:tcPr>
            <w:tcW w:w="1696" w:type="dxa"/>
            <w:shd w:val="clear" w:color="auto" w:fill="auto"/>
            <w:noWrap/>
            <w:vAlign w:val="center"/>
            <w:hideMark/>
          </w:tcPr>
          <w:p w14:paraId="656E1130"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040301</w:t>
            </w:r>
          </w:p>
        </w:tc>
        <w:tc>
          <w:tcPr>
            <w:tcW w:w="3969" w:type="dxa"/>
            <w:shd w:val="clear" w:color="auto" w:fill="auto"/>
            <w:vAlign w:val="center"/>
            <w:hideMark/>
          </w:tcPr>
          <w:p w14:paraId="4A963A0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Proporcionar a los ciudadanos información relevante, para que, en conjunto con las autoridades sanitarias, participe en el cuidado de su salud, de su familia y de la comunidad.</w:t>
            </w:r>
          </w:p>
        </w:tc>
        <w:tc>
          <w:tcPr>
            <w:tcW w:w="3163" w:type="dxa"/>
            <w:shd w:val="clear" w:color="auto" w:fill="auto"/>
            <w:vAlign w:val="center"/>
            <w:hideMark/>
          </w:tcPr>
          <w:p w14:paraId="003BEA7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Garantizar el acceso seguro y equitativo a servicios de salud, sin distinción de edad, raza, género, orientación sexual, etnia, religión o condición socioeconómica.</w:t>
            </w:r>
          </w:p>
        </w:tc>
      </w:tr>
      <w:tr w:rsidR="00C028AC" w:rsidRPr="008511B6" w14:paraId="7B37033B" w14:textId="77777777" w:rsidTr="008511B6">
        <w:trPr>
          <w:trHeight w:val="1358"/>
        </w:trPr>
        <w:tc>
          <w:tcPr>
            <w:tcW w:w="1696" w:type="dxa"/>
            <w:shd w:val="clear" w:color="auto" w:fill="auto"/>
            <w:noWrap/>
            <w:vAlign w:val="center"/>
            <w:hideMark/>
          </w:tcPr>
          <w:p w14:paraId="297401A7"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040302</w:t>
            </w:r>
          </w:p>
        </w:tc>
        <w:tc>
          <w:tcPr>
            <w:tcW w:w="3969" w:type="dxa"/>
            <w:shd w:val="clear" w:color="auto" w:fill="auto"/>
            <w:vAlign w:val="center"/>
            <w:hideMark/>
          </w:tcPr>
          <w:p w14:paraId="6270398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Realizar jornadas que incluyan educación, revisiones dentales, atención preventiva, curativa y rehabilitación para seleccionar a ciudadanos en condiciones de vulnerabilidad a fin de referenciarlos a los consultorios fijos y mejoren su salud oral.</w:t>
            </w:r>
          </w:p>
        </w:tc>
        <w:tc>
          <w:tcPr>
            <w:tcW w:w="3163" w:type="dxa"/>
            <w:shd w:val="clear" w:color="auto" w:fill="auto"/>
            <w:vAlign w:val="center"/>
            <w:hideMark/>
          </w:tcPr>
          <w:p w14:paraId="065B64C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programas preventivos y comunitarios que permitan mantener una población sana.</w:t>
            </w:r>
          </w:p>
        </w:tc>
      </w:tr>
      <w:tr w:rsidR="00C028AC" w:rsidRPr="008511B6" w14:paraId="3F554271" w14:textId="77777777" w:rsidTr="005D45B5">
        <w:trPr>
          <w:trHeight w:val="1500"/>
        </w:trPr>
        <w:tc>
          <w:tcPr>
            <w:tcW w:w="1696" w:type="dxa"/>
            <w:shd w:val="clear" w:color="auto" w:fill="auto"/>
            <w:noWrap/>
            <w:vAlign w:val="center"/>
            <w:hideMark/>
          </w:tcPr>
          <w:p w14:paraId="0883EAD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040303</w:t>
            </w:r>
          </w:p>
        </w:tc>
        <w:tc>
          <w:tcPr>
            <w:tcW w:w="3969" w:type="dxa"/>
            <w:shd w:val="clear" w:color="auto" w:fill="auto"/>
            <w:vAlign w:val="center"/>
            <w:hideMark/>
          </w:tcPr>
          <w:p w14:paraId="47D41B7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Garantizar los servicios orientados a ciudadanos en condiciones de vulnerabilidad y mejorar la salud a personas pertenecientes a grupos étnicos acercando los servicios atención primaria, preventivos e integrales en materia de salud pública.</w:t>
            </w:r>
          </w:p>
        </w:tc>
        <w:tc>
          <w:tcPr>
            <w:tcW w:w="3163" w:type="dxa"/>
            <w:shd w:val="clear" w:color="auto" w:fill="auto"/>
            <w:vAlign w:val="center"/>
            <w:hideMark/>
          </w:tcPr>
          <w:p w14:paraId="2F2F296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Consolidar un marco de política pública que implemente acciones en favor de los pueblos originarios y comunidades indígenas con presencia en Sonora, con un enfoque de derechos humanos, justicia histórica, reparación y no repetición</w:t>
            </w:r>
          </w:p>
        </w:tc>
      </w:tr>
      <w:tr w:rsidR="00C028AC" w:rsidRPr="008511B6" w14:paraId="3BC79AB3" w14:textId="77777777" w:rsidTr="005D45B5">
        <w:trPr>
          <w:trHeight w:val="1500"/>
        </w:trPr>
        <w:tc>
          <w:tcPr>
            <w:tcW w:w="1696" w:type="dxa"/>
            <w:shd w:val="clear" w:color="auto" w:fill="auto"/>
            <w:noWrap/>
            <w:vAlign w:val="center"/>
            <w:hideMark/>
          </w:tcPr>
          <w:p w14:paraId="44E2CEF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040401</w:t>
            </w:r>
          </w:p>
        </w:tc>
        <w:tc>
          <w:tcPr>
            <w:tcW w:w="3969" w:type="dxa"/>
            <w:shd w:val="clear" w:color="auto" w:fill="auto"/>
            <w:vAlign w:val="center"/>
            <w:hideMark/>
          </w:tcPr>
          <w:p w14:paraId="4C2A41A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Ampliar los alcances del programa de Saneamiento Básico Municipal, a fin de mantener una comunidad limpia y reducir el riesgo de proliferación de enfermedades trasmitidas por vectores.</w:t>
            </w:r>
          </w:p>
        </w:tc>
        <w:tc>
          <w:tcPr>
            <w:tcW w:w="3163" w:type="dxa"/>
            <w:shd w:val="clear" w:color="auto" w:fill="auto"/>
            <w:vAlign w:val="center"/>
            <w:hideMark/>
          </w:tcPr>
          <w:p w14:paraId="0C267E4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universalización eficiente y transparente de los servicios de salud, por medio de la integración de una red de servicios de salud preventivos y curativos, en los tres niveles de atención, con una distribución regional óptima que garantice el acceso oportuno a la salud a la población sonorense.</w:t>
            </w:r>
          </w:p>
        </w:tc>
      </w:tr>
      <w:tr w:rsidR="00C028AC" w:rsidRPr="008511B6" w14:paraId="258D269A" w14:textId="77777777" w:rsidTr="005D45B5">
        <w:trPr>
          <w:trHeight w:val="1500"/>
        </w:trPr>
        <w:tc>
          <w:tcPr>
            <w:tcW w:w="1696" w:type="dxa"/>
            <w:shd w:val="clear" w:color="auto" w:fill="auto"/>
            <w:noWrap/>
            <w:vAlign w:val="center"/>
            <w:hideMark/>
          </w:tcPr>
          <w:p w14:paraId="7386993E"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040501</w:t>
            </w:r>
          </w:p>
        </w:tc>
        <w:tc>
          <w:tcPr>
            <w:tcW w:w="3969" w:type="dxa"/>
            <w:shd w:val="clear" w:color="auto" w:fill="auto"/>
            <w:vAlign w:val="center"/>
            <w:hideMark/>
          </w:tcPr>
          <w:p w14:paraId="0DB1E60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Establecer el control y tratamiento de infecciones por transmisión sexual en el municipio de Hermosillo, mediante la identificación, seguimiento y regulación sanitaria de las personas que se dedican a la actividad comercial del sexo-servicio.</w:t>
            </w:r>
          </w:p>
        </w:tc>
        <w:tc>
          <w:tcPr>
            <w:tcW w:w="3163" w:type="dxa"/>
            <w:shd w:val="clear" w:color="auto" w:fill="auto"/>
            <w:vAlign w:val="center"/>
            <w:hideMark/>
          </w:tcPr>
          <w:p w14:paraId="7CD2297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Garantizar el acceso seguro y equitativo a servicios de salud, sin distinción de edad, raza, género, orientación sexual, etnia, religión o condición socioeconómica.</w:t>
            </w:r>
          </w:p>
        </w:tc>
      </w:tr>
      <w:tr w:rsidR="00C028AC" w:rsidRPr="008511B6" w14:paraId="2D68F1B3" w14:textId="77777777" w:rsidTr="005D45B5">
        <w:trPr>
          <w:trHeight w:val="1500"/>
        </w:trPr>
        <w:tc>
          <w:tcPr>
            <w:tcW w:w="1696" w:type="dxa"/>
            <w:shd w:val="clear" w:color="auto" w:fill="auto"/>
            <w:noWrap/>
            <w:vAlign w:val="center"/>
            <w:hideMark/>
          </w:tcPr>
          <w:p w14:paraId="330EA54F"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040601</w:t>
            </w:r>
          </w:p>
        </w:tc>
        <w:tc>
          <w:tcPr>
            <w:tcW w:w="3969" w:type="dxa"/>
            <w:shd w:val="clear" w:color="auto" w:fill="auto"/>
            <w:vAlign w:val="center"/>
            <w:hideMark/>
          </w:tcPr>
          <w:p w14:paraId="53E8867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Realizar acciones integrales de promoción, prevención y canalización oportuna, con el fin de reducir el impacto que las enfermedades mentales y las adicciones causan en los usuarios, sus familias y la sociedad en general, sin estigmatizaciones ni discriminaciones</w:t>
            </w:r>
          </w:p>
        </w:tc>
        <w:tc>
          <w:tcPr>
            <w:tcW w:w="3163" w:type="dxa"/>
            <w:shd w:val="clear" w:color="auto" w:fill="auto"/>
            <w:vAlign w:val="center"/>
            <w:hideMark/>
          </w:tcPr>
          <w:p w14:paraId="1A7C4B7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universalización eficiente y transparente de los servicios de salud, por medio de la integración de una red de servicios de salud preventivos y curativos, en los tres niveles de atención, con una distribución regional óptima que garantice el acceso oportuno a la salud a la población sonorense.</w:t>
            </w:r>
          </w:p>
        </w:tc>
      </w:tr>
      <w:tr w:rsidR="00C028AC" w:rsidRPr="008511B6" w14:paraId="3539F6F7" w14:textId="77777777" w:rsidTr="005D45B5">
        <w:trPr>
          <w:trHeight w:val="1200"/>
        </w:trPr>
        <w:tc>
          <w:tcPr>
            <w:tcW w:w="1696" w:type="dxa"/>
            <w:shd w:val="clear" w:color="auto" w:fill="auto"/>
            <w:noWrap/>
            <w:vAlign w:val="center"/>
            <w:hideMark/>
          </w:tcPr>
          <w:p w14:paraId="2E0D1A19"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040701</w:t>
            </w:r>
          </w:p>
        </w:tc>
        <w:tc>
          <w:tcPr>
            <w:tcW w:w="3969" w:type="dxa"/>
            <w:shd w:val="clear" w:color="auto" w:fill="auto"/>
            <w:vAlign w:val="center"/>
            <w:hideMark/>
          </w:tcPr>
          <w:p w14:paraId="47AF022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Realizar actividades de forma conjunta con las distintas dependencias gubernamentales y sociedad civil organizada, con el fin de acercar la atención médica a la población vulnerable.</w:t>
            </w:r>
          </w:p>
        </w:tc>
        <w:tc>
          <w:tcPr>
            <w:tcW w:w="3163" w:type="dxa"/>
            <w:shd w:val="clear" w:color="auto" w:fill="auto"/>
            <w:vAlign w:val="center"/>
            <w:hideMark/>
          </w:tcPr>
          <w:p w14:paraId="1FF2808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Garantizar el acceso seguro y equitativo a servicios de salud, sin distinción de edad, raza, género, orientación sexual, etnia, religión o condición socioeconómica.</w:t>
            </w:r>
          </w:p>
        </w:tc>
      </w:tr>
      <w:tr w:rsidR="00C028AC" w:rsidRPr="008511B6" w14:paraId="60EB074B" w14:textId="77777777" w:rsidTr="005D45B5">
        <w:trPr>
          <w:trHeight w:val="1200"/>
        </w:trPr>
        <w:tc>
          <w:tcPr>
            <w:tcW w:w="1696" w:type="dxa"/>
            <w:shd w:val="clear" w:color="auto" w:fill="auto"/>
            <w:noWrap/>
            <w:vAlign w:val="center"/>
            <w:hideMark/>
          </w:tcPr>
          <w:p w14:paraId="0BC42A7D"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040801</w:t>
            </w:r>
          </w:p>
        </w:tc>
        <w:tc>
          <w:tcPr>
            <w:tcW w:w="3969" w:type="dxa"/>
            <w:shd w:val="clear" w:color="auto" w:fill="auto"/>
            <w:vAlign w:val="center"/>
            <w:hideMark/>
          </w:tcPr>
          <w:p w14:paraId="7F9EBF3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acceso a la cultura en la zona urbana y rural, ofreciendo una agenda artística de calidad que sea plural, diversa e inclusiva que reconozca la identidad y riqueza cultural de nuestro municipio.</w:t>
            </w:r>
          </w:p>
        </w:tc>
        <w:tc>
          <w:tcPr>
            <w:tcW w:w="3163" w:type="dxa"/>
            <w:shd w:val="clear" w:color="auto" w:fill="auto"/>
            <w:vAlign w:val="center"/>
            <w:hideMark/>
          </w:tcPr>
          <w:p w14:paraId="0819CD7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Fomentar una nueva visión cultural incluyente, con perspectiva de género y respeto a la multiculturalidad que promueva el derecho a la cultura y la reconstrucción del tejido social, aminorando las brechas de desigualdad.</w:t>
            </w:r>
          </w:p>
        </w:tc>
      </w:tr>
      <w:tr w:rsidR="00C028AC" w:rsidRPr="008511B6" w14:paraId="3715F349" w14:textId="77777777" w:rsidTr="005D45B5">
        <w:trPr>
          <w:trHeight w:val="1800"/>
        </w:trPr>
        <w:tc>
          <w:tcPr>
            <w:tcW w:w="1696" w:type="dxa"/>
            <w:shd w:val="clear" w:color="auto" w:fill="auto"/>
            <w:noWrap/>
            <w:vAlign w:val="center"/>
            <w:hideMark/>
          </w:tcPr>
          <w:p w14:paraId="3383BEA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040802</w:t>
            </w:r>
          </w:p>
        </w:tc>
        <w:tc>
          <w:tcPr>
            <w:tcW w:w="3969" w:type="dxa"/>
            <w:shd w:val="clear" w:color="auto" w:fill="auto"/>
            <w:vAlign w:val="center"/>
            <w:hideMark/>
          </w:tcPr>
          <w:p w14:paraId="6035266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profesionalización del sector cultural y la incorporación de las artes como elemento de transformación social, impulsando las empresas creativas como potenciador del desarrollo en el municipio, a través de apoyos y estímulos, coordinando esfuerzos con organizaciones públicas o privadas</w:t>
            </w:r>
          </w:p>
        </w:tc>
        <w:tc>
          <w:tcPr>
            <w:tcW w:w="3163" w:type="dxa"/>
            <w:shd w:val="clear" w:color="auto" w:fill="auto"/>
            <w:vAlign w:val="center"/>
            <w:hideMark/>
          </w:tcPr>
          <w:p w14:paraId="720EA67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Fomentar una nueva visión cultural incluyente, con perspectiva de género y respeto a la multiculturalidad que promueva el derecho a la cultura y la reconstrucción del tejido social, aminorando las brechas de desigualdad.</w:t>
            </w:r>
          </w:p>
        </w:tc>
      </w:tr>
      <w:tr w:rsidR="00C028AC" w:rsidRPr="008511B6" w14:paraId="7D61EF1D" w14:textId="77777777" w:rsidTr="005D45B5">
        <w:trPr>
          <w:trHeight w:val="1500"/>
        </w:trPr>
        <w:tc>
          <w:tcPr>
            <w:tcW w:w="1696" w:type="dxa"/>
            <w:shd w:val="clear" w:color="auto" w:fill="auto"/>
            <w:noWrap/>
            <w:vAlign w:val="center"/>
            <w:hideMark/>
          </w:tcPr>
          <w:p w14:paraId="6023045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040803</w:t>
            </w:r>
          </w:p>
        </w:tc>
        <w:tc>
          <w:tcPr>
            <w:tcW w:w="3969" w:type="dxa"/>
            <w:shd w:val="clear" w:color="auto" w:fill="auto"/>
            <w:vAlign w:val="center"/>
            <w:hideMark/>
          </w:tcPr>
          <w:p w14:paraId="3A699E9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Red de Bibliotecas Públicas Municipales como centros culturales dinámicos, accesibles e inclusivos que promuevan el fomento a la lectura y escritura creativa, el desarrollo cultural y la participación de toda la población hermosillense.</w:t>
            </w:r>
          </w:p>
        </w:tc>
        <w:tc>
          <w:tcPr>
            <w:tcW w:w="3163" w:type="dxa"/>
            <w:shd w:val="clear" w:color="auto" w:fill="auto"/>
            <w:vAlign w:val="center"/>
            <w:hideMark/>
          </w:tcPr>
          <w:p w14:paraId="00F6212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Fomentar una nueva visión cultural incluyente, con perspectiva de género y respeto a la multiculturalidad que promueva el derecho a la cultura y la reconstrucción del tejido social, aminorando las brechas de desigualdad.</w:t>
            </w:r>
          </w:p>
        </w:tc>
      </w:tr>
      <w:tr w:rsidR="00C028AC" w:rsidRPr="008511B6" w14:paraId="39269263" w14:textId="77777777" w:rsidTr="008511B6">
        <w:trPr>
          <w:trHeight w:val="1374"/>
        </w:trPr>
        <w:tc>
          <w:tcPr>
            <w:tcW w:w="1696" w:type="dxa"/>
            <w:shd w:val="clear" w:color="auto" w:fill="auto"/>
            <w:noWrap/>
            <w:vAlign w:val="center"/>
            <w:hideMark/>
          </w:tcPr>
          <w:p w14:paraId="311F1C9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040901</w:t>
            </w:r>
          </w:p>
        </w:tc>
        <w:tc>
          <w:tcPr>
            <w:tcW w:w="3969" w:type="dxa"/>
            <w:shd w:val="clear" w:color="auto" w:fill="auto"/>
            <w:vAlign w:val="center"/>
            <w:hideMark/>
          </w:tcPr>
          <w:p w14:paraId="1199291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deporte como herramienta para el desarrollo integral de las personas, sirviéndole a las familias hermosillenses con espacios adecuados y oportunidades para el sano esparcimiento, la activación física y la práctica regulada de todas las disciplinas deportivas.</w:t>
            </w:r>
          </w:p>
        </w:tc>
        <w:tc>
          <w:tcPr>
            <w:tcW w:w="3163" w:type="dxa"/>
            <w:shd w:val="clear" w:color="auto" w:fill="auto"/>
            <w:vAlign w:val="center"/>
            <w:hideMark/>
          </w:tcPr>
          <w:p w14:paraId="3BC96B4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práctica de actividades deportivas, recreativas y culturales en la niñez, juventud y adultez, priorizando los grupos en situación vulnerable, para favorecer su inclusión, desarrollo y bienestar.</w:t>
            </w:r>
          </w:p>
        </w:tc>
      </w:tr>
      <w:tr w:rsidR="00C028AC" w:rsidRPr="008511B6" w14:paraId="6EAFFC62" w14:textId="77777777" w:rsidTr="008511B6">
        <w:trPr>
          <w:trHeight w:val="590"/>
        </w:trPr>
        <w:tc>
          <w:tcPr>
            <w:tcW w:w="1696" w:type="dxa"/>
            <w:shd w:val="clear" w:color="auto" w:fill="auto"/>
            <w:noWrap/>
            <w:vAlign w:val="center"/>
            <w:hideMark/>
          </w:tcPr>
          <w:p w14:paraId="17CAADE5"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041001</w:t>
            </w:r>
          </w:p>
        </w:tc>
        <w:tc>
          <w:tcPr>
            <w:tcW w:w="3969" w:type="dxa"/>
            <w:shd w:val="clear" w:color="auto" w:fill="auto"/>
            <w:vAlign w:val="center"/>
            <w:hideMark/>
          </w:tcPr>
          <w:p w14:paraId="557DDA1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Consensuar la toma de decisiones gubernamentales con la participación de la sociedad, para la construcción de políticas públicas inclusivas, efectivas y representativas que promuevan un desarrollo sostenible, equitativo y sustentable para la población del municipio.</w:t>
            </w:r>
          </w:p>
        </w:tc>
        <w:tc>
          <w:tcPr>
            <w:tcW w:w="3163" w:type="dxa"/>
            <w:shd w:val="clear" w:color="auto" w:fill="auto"/>
            <w:vAlign w:val="center"/>
            <w:hideMark/>
          </w:tcPr>
          <w:p w14:paraId="5823C10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Articular una estrategia transversal entre los sectores público, social y privado para transitar a las y los sonorenses que viven en condiciones de pobreza, pobreza extrema o vulnerabilidad, de sujetos de asistencia social a convertirse en titulares y garantes de derechos.</w:t>
            </w:r>
          </w:p>
        </w:tc>
      </w:tr>
      <w:tr w:rsidR="00C028AC" w:rsidRPr="008511B6" w14:paraId="232E7667" w14:textId="77777777" w:rsidTr="005D45B5">
        <w:trPr>
          <w:trHeight w:val="1200"/>
        </w:trPr>
        <w:tc>
          <w:tcPr>
            <w:tcW w:w="1696" w:type="dxa"/>
            <w:shd w:val="clear" w:color="auto" w:fill="auto"/>
            <w:noWrap/>
            <w:vAlign w:val="center"/>
            <w:hideMark/>
          </w:tcPr>
          <w:p w14:paraId="70721E3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041002</w:t>
            </w:r>
          </w:p>
        </w:tc>
        <w:tc>
          <w:tcPr>
            <w:tcW w:w="3969" w:type="dxa"/>
            <w:shd w:val="clear" w:color="auto" w:fill="auto"/>
            <w:vAlign w:val="center"/>
            <w:hideMark/>
          </w:tcPr>
          <w:p w14:paraId="64FDB29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Dar cumplimiento a lo dispuesto en los lineamientos de operación del Fondo de Aportaciones para la Infraestructura Social Municipal (FAISMUN) publicados en DOF.</w:t>
            </w:r>
          </w:p>
        </w:tc>
        <w:tc>
          <w:tcPr>
            <w:tcW w:w="3163" w:type="dxa"/>
            <w:shd w:val="clear" w:color="auto" w:fill="auto"/>
            <w:vAlign w:val="center"/>
            <w:hideMark/>
          </w:tcPr>
          <w:p w14:paraId="73B934E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Articular una estrategia transversal entre los sectores público, social y privado para transitar a las y los sonorenses que viven en condiciones de pobreza, pobreza extrema o vulnerabilidad, de sujetos de asistencia social a convertirse en titulares y garantes de derechos.</w:t>
            </w:r>
          </w:p>
        </w:tc>
      </w:tr>
      <w:tr w:rsidR="00C028AC" w:rsidRPr="008511B6" w14:paraId="3692B9FE" w14:textId="77777777" w:rsidTr="005D45B5">
        <w:trPr>
          <w:trHeight w:val="900"/>
        </w:trPr>
        <w:tc>
          <w:tcPr>
            <w:tcW w:w="1696" w:type="dxa"/>
            <w:shd w:val="clear" w:color="auto" w:fill="auto"/>
            <w:noWrap/>
            <w:vAlign w:val="center"/>
            <w:hideMark/>
          </w:tcPr>
          <w:p w14:paraId="48811F2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041003</w:t>
            </w:r>
          </w:p>
        </w:tc>
        <w:tc>
          <w:tcPr>
            <w:tcW w:w="3969" w:type="dxa"/>
            <w:shd w:val="clear" w:color="auto" w:fill="auto"/>
            <w:vAlign w:val="center"/>
            <w:hideMark/>
          </w:tcPr>
          <w:p w14:paraId="1C956E9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Fomentar acciones para combatir el rezago educativo en el municipio de Hermosillo, así como mejorar la calidad de vida de sus habitantes.</w:t>
            </w:r>
          </w:p>
        </w:tc>
        <w:tc>
          <w:tcPr>
            <w:tcW w:w="3163" w:type="dxa"/>
            <w:shd w:val="clear" w:color="auto" w:fill="auto"/>
            <w:vAlign w:val="center"/>
            <w:hideMark/>
          </w:tcPr>
          <w:p w14:paraId="2BC16D8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Fomentar la educación socioemocional en los diferentes niveles educativos y promoviendo prácticas hacia una vida digna, saludable y sustentable.</w:t>
            </w:r>
          </w:p>
        </w:tc>
      </w:tr>
      <w:tr w:rsidR="00C028AC" w:rsidRPr="008511B6" w14:paraId="3008D020" w14:textId="77777777" w:rsidTr="005D45B5">
        <w:trPr>
          <w:trHeight w:val="1200"/>
        </w:trPr>
        <w:tc>
          <w:tcPr>
            <w:tcW w:w="1696" w:type="dxa"/>
            <w:shd w:val="clear" w:color="auto" w:fill="auto"/>
            <w:noWrap/>
            <w:vAlign w:val="center"/>
            <w:hideMark/>
          </w:tcPr>
          <w:p w14:paraId="35F60DB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041004</w:t>
            </w:r>
          </w:p>
        </w:tc>
        <w:tc>
          <w:tcPr>
            <w:tcW w:w="3969" w:type="dxa"/>
            <w:shd w:val="clear" w:color="auto" w:fill="auto"/>
            <w:vAlign w:val="center"/>
            <w:hideMark/>
          </w:tcPr>
          <w:p w14:paraId="3B798B3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Favorecer el bienestar social y el desarrollo integral de las y los jóvenes del municipio de Hermosillo.</w:t>
            </w:r>
          </w:p>
        </w:tc>
        <w:tc>
          <w:tcPr>
            <w:tcW w:w="3163" w:type="dxa"/>
            <w:shd w:val="clear" w:color="auto" w:fill="auto"/>
            <w:vAlign w:val="center"/>
            <w:hideMark/>
          </w:tcPr>
          <w:p w14:paraId="40DE6D0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Articular una estrategia transversal entre los sectores público, social y privado para transitar a las y los sonorenses que viven en condiciones de pobreza, pobreza extrema o vulnerabilidad, de sujetos de asistencia social a convertirse en titulares y garantes de derechos.</w:t>
            </w:r>
          </w:p>
        </w:tc>
      </w:tr>
      <w:tr w:rsidR="00C028AC" w:rsidRPr="008511B6" w14:paraId="6805F7B3" w14:textId="77777777" w:rsidTr="008511B6">
        <w:trPr>
          <w:trHeight w:val="448"/>
        </w:trPr>
        <w:tc>
          <w:tcPr>
            <w:tcW w:w="1696" w:type="dxa"/>
            <w:shd w:val="clear" w:color="auto" w:fill="auto"/>
            <w:noWrap/>
            <w:vAlign w:val="center"/>
            <w:hideMark/>
          </w:tcPr>
          <w:p w14:paraId="5D2532C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041005</w:t>
            </w:r>
          </w:p>
        </w:tc>
        <w:tc>
          <w:tcPr>
            <w:tcW w:w="3969" w:type="dxa"/>
            <w:shd w:val="clear" w:color="auto" w:fill="auto"/>
            <w:vAlign w:val="center"/>
            <w:hideMark/>
          </w:tcPr>
          <w:p w14:paraId="77196C8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 xml:space="preserve">Fomentar un desarrollo rural integral, sustentable e inclusivo en el municipio, con el </w:t>
            </w:r>
            <w:r w:rsidRPr="008511B6">
              <w:rPr>
                <w:rFonts w:eastAsia="Times New Roman" w:cs="Arial"/>
                <w:color w:val="000000"/>
                <w:sz w:val="18"/>
                <w:szCs w:val="18"/>
                <w:lang w:eastAsia="es-MX"/>
              </w:rPr>
              <w:lastRenderedPageBreak/>
              <w:t>objetivo de mejorar la calidad de vida de la población rural y contribuir a su desarrollo social.</w:t>
            </w:r>
          </w:p>
        </w:tc>
        <w:tc>
          <w:tcPr>
            <w:tcW w:w="3163" w:type="dxa"/>
            <w:shd w:val="clear" w:color="auto" w:fill="auto"/>
            <w:vAlign w:val="center"/>
            <w:hideMark/>
          </w:tcPr>
          <w:p w14:paraId="25667E3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lastRenderedPageBreak/>
              <w:t xml:space="preserve">Articular una estrategia transversal entre los sectores público, social y privado para transitar a las y los sonorenses que viven en condiciones </w:t>
            </w:r>
            <w:r w:rsidRPr="008511B6">
              <w:rPr>
                <w:rFonts w:eastAsia="Times New Roman" w:cs="Arial"/>
                <w:color w:val="000000"/>
                <w:sz w:val="18"/>
                <w:szCs w:val="18"/>
                <w:lang w:eastAsia="es-MX"/>
              </w:rPr>
              <w:lastRenderedPageBreak/>
              <w:t>de pobreza, pobreza extrema o vulnerabilidad, de sujetos de asistencia social a convertirse en titulares y garantes de derechos.</w:t>
            </w:r>
          </w:p>
        </w:tc>
      </w:tr>
      <w:tr w:rsidR="00C028AC" w:rsidRPr="008511B6" w14:paraId="3C69CF4E" w14:textId="77777777" w:rsidTr="005D45B5">
        <w:trPr>
          <w:trHeight w:val="1200"/>
        </w:trPr>
        <w:tc>
          <w:tcPr>
            <w:tcW w:w="1696" w:type="dxa"/>
            <w:shd w:val="clear" w:color="auto" w:fill="auto"/>
            <w:noWrap/>
            <w:vAlign w:val="center"/>
            <w:hideMark/>
          </w:tcPr>
          <w:p w14:paraId="47FC6C70"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041006</w:t>
            </w:r>
          </w:p>
        </w:tc>
        <w:tc>
          <w:tcPr>
            <w:tcW w:w="3969" w:type="dxa"/>
            <w:shd w:val="clear" w:color="auto" w:fill="auto"/>
            <w:vAlign w:val="center"/>
            <w:hideMark/>
          </w:tcPr>
          <w:p w14:paraId="39D8D96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un desarrollo rural integral, sustentable e inclusivo en el municipio, con el objetivo de mejorar la calidad de vida de la población rural y fortalecer su seguridad alimentaria.</w:t>
            </w:r>
          </w:p>
        </w:tc>
        <w:tc>
          <w:tcPr>
            <w:tcW w:w="3163" w:type="dxa"/>
            <w:shd w:val="clear" w:color="auto" w:fill="auto"/>
            <w:vAlign w:val="center"/>
            <w:hideMark/>
          </w:tcPr>
          <w:p w14:paraId="4F1A3B82"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Articular una estrategia transversal entre los sectores público, social y privado para transitar a las y los sonorenses que viven en condiciones de pobreza, pobreza extrema o vulnerabilidad, de sujetos de asistencia social a convertirse en titulares y garantes de derechos.</w:t>
            </w:r>
          </w:p>
        </w:tc>
      </w:tr>
      <w:tr w:rsidR="00C028AC" w:rsidRPr="008511B6" w14:paraId="056E68EE" w14:textId="77777777" w:rsidTr="005D45B5">
        <w:trPr>
          <w:trHeight w:val="900"/>
        </w:trPr>
        <w:tc>
          <w:tcPr>
            <w:tcW w:w="1696" w:type="dxa"/>
            <w:shd w:val="clear" w:color="auto" w:fill="auto"/>
            <w:noWrap/>
            <w:vAlign w:val="center"/>
            <w:hideMark/>
          </w:tcPr>
          <w:p w14:paraId="4242BE73"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041007</w:t>
            </w:r>
          </w:p>
        </w:tc>
        <w:tc>
          <w:tcPr>
            <w:tcW w:w="3969" w:type="dxa"/>
            <w:shd w:val="clear" w:color="auto" w:fill="auto"/>
            <w:vAlign w:val="center"/>
            <w:hideMark/>
          </w:tcPr>
          <w:p w14:paraId="159116D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iniciativas para reducir el rezago educativo en el municipio de Hermosillo y mejorar la calidad de vida de sus habitantes.</w:t>
            </w:r>
          </w:p>
        </w:tc>
        <w:tc>
          <w:tcPr>
            <w:tcW w:w="3163" w:type="dxa"/>
            <w:shd w:val="clear" w:color="auto" w:fill="auto"/>
            <w:vAlign w:val="center"/>
            <w:hideMark/>
          </w:tcPr>
          <w:p w14:paraId="7A25565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Generar medidas para mitigar la deserción y el abandono escolar, a partir de la mejora del sistema educativo y de las condiciones de vida de la población estudiantil.</w:t>
            </w:r>
          </w:p>
        </w:tc>
      </w:tr>
      <w:tr w:rsidR="00C028AC" w:rsidRPr="008511B6" w14:paraId="2CA160FF" w14:textId="77777777" w:rsidTr="005D45B5">
        <w:trPr>
          <w:trHeight w:val="900"/>
        </w:trPr>
        <w:tc>
          <w:tcPr>
            <w:tcW w:w="1696" w:type="dxa"/>
            <w:shd w:val="clear" w:color="auto" w:fill="auto"/>
            <w:noWrap/>
            <w:vAlign w:val="center"/>
            <w:hideMark/>
          </w:tcPr>
          <w:p w14:paraId="77BC28C8"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050101</w:t>
            </w:r>
          </w:p>
        </w:tc>
        <w:tc>
          <w:tcPr>
            <w:tcW w:w="3969" w:type="dxa"/>
            <w:shd w:val="clear" w:color="auto" w:fill="auto"/>
            <w:vAlign w:val="center"/>
            <w:hideMark/>
          </w:tcPr>
          <w:p w14:paraId="087574F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Establecer un plan de trabajo con el fin de desarrollar las acciones, metas e indicadores mediante un monitoreo constante.</w:t>
            </w:r>
          </w:p>
        </w:tc>
        <w:tc>
          <w:tcPr>
            <w:tcW w:w="3163" w:type="dxa"/>
            <w:shd w:val="clear" w:color="auto" w:fill="auto"/>
            <w:vAlign w:val="center"/>
            <w:hideMark/>
          </w:tcPr>
          <w:p w14:paraId="1D143E2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Institucionalizar la gobernabilidad con un enfoque democrático a través del fortalecimiento presupuestal, la coordinación interinstitucional y la operación de mecanismos de participación social.</w:t>
            </w:r>
          </w:p>
        </w:tc>
      </w:tr>
      <w:tr w:rsidR="00C028AC" w:rsidRPr="008511B6" w14:paraId="4868052C" w14:textId="77777777" w:rsidTr="005D45B5">
        <w:trPr>
          <w:trHeight w:val="900"/>
        </w:trPr>
        <w:tc>
          <w:tcPr>
            <w:tcW w:w="1696" w:type="dxa"/>
            <w:shd w:val="clear" w:color="auto" w:fill="auto"/>
            <w:noWrap/>
            <w:vAlign w:val="center"/>
            <w:hideMark/>
          </w:tcPr>
          <w:p w14:paraId="4612CFA8"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050102</w:t>
            </w:r>
          </w:p>
        </w:tc>
        <w:tc>
          <w:tcPr>
            <w:tcW w:w="3969" w:type="dxa"/>
            <w:shd w:val="clear" w:color="auto" w:fill="auto"/>
            <w:vAlign w:val="center"/>
            <w:hideMark/>
          </w:tcPr>
          <w:p w14:paraId="5AB542A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Mejorar la coordinación interinstitucional para reducir el tiempo de respuesta de las solicitudes ciudadanas.</w:t>
            </w:r>
          </w:p>
        </w:tc>
        <w:tc>
          <w:tcPr>
            <w:tcW w:w="3163" w:type="dxa"/>
            <w:shd w:val="clear" w:color="auto" w:fill="auto"/>
            <w:vAlign w:val="center"/>
            <w:hideMark/>
          </w:tcPr>
          <w:p w14:paraId="76CA428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Institucionalizar la gobernabilidad con un enfoque democrático a través del fortalecimiento presupuestal, la coordinación interinstitucional y la operación de mecanismos de participación social.</w:t>
            </w:r>
          </w:p>
        </w:tc>
      </w:tr>
      <w:tr w:rsidR="00C028AC" w:rsidRPr="008511B6" w14:paraId="527A5180" w14:textId="77777777" w:rsidTr="005D45B5">
        <w:trPr>
          <w:trHeight w:val="900"/>
        </w:trPr>
        <w:tc>
          <w:tcPr>
            <w:tcW w:w="1696" w:type="dxa"/>
            <w:shd w:val="clear" w:color="auto" w:fill="auto"/>
            <w:noWrap/>
            <w:vAlign w:val="center"/>
            <w:hideMark/>
          </w:tcPr>
          <w:p w14:paraId="599B3CD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050103</w:t>
            </w:r>
          </w:p>
        </w:tc>
        <w:tc>
          <w:tcPr>
            <w:tcW w:w="3969" w:type="dxa"/>
            <w:shd w:val="clear" w:color="auto" w:fill="auto"/>
            <w:vAlign w:val="center"/>
            <w:hideMark/>
          </w:tcPr>
          <w:p w14:paraId="337974AC"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mecanismos de gestión de información para la toma de decisiones orientada al cumplimiento de los objetivos estratégicos del municipio.</w:t>
            </w:r>
          </w:p>
        </w:tc>
        <w:tc>
          <w:tcPr>
            <w:tcW w:w="3163" w:type="dxa"/>
            <w:shd w:val="clear" w:color="auto" w:fill="auto"/>
            <w:vAlign w:val="center"/>
            <w:hideMark/>
          </w:tcPr>
          <w:p w14:paraId="557DB44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Institucionalizar la gobernabilidad con un enfoque democrático a través del fortalecimiento presupuestal, la coordinación interinstitucional y la operación de mecanismos de participación social.</w:t>
            </w:r>
          </w:p>
        </w:tc>
      </w:tr>
      <w:tr w:rsidR="00C028AC" w:rsidRPr="008511B6" w14:paraId="5CE5BBDD" w14:textId="77777777" w:rsidTr="005D45B5">
        <w:trPr>
          <w:trHeight w:val="900"/>
        </w:trPr>
        <w:tc>
          <w:tcPr>
            <w:tcW w:w="1696" w:type="dxa"/>
            <w:shd w:val="clear" w:color="auto" w:fill="auto"/>
            <w:noWrap/>
            <w:vAlign w:val="center"/>
            <w:hideMark/>
          </w:tcPr>
          <w:p w14:paraId="3995747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050104</w:t>
            </w:r>
          </w:p>
        </w:tc>
        <w:tc>
          <w:tcPr>
            <w:tcW w:w="3969" w:type="dxa"/>
            <w:shd w:val="clear" w:color="auto" w:fill="auto"/>
            <w:vAlign w:val="center"/>
            <w:hideMark/>
          </w:tcPr>
          <w:p w14:paraId="35A0DDD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convenios de colaboración con los organismos e instituciones públicas y privadas a nivel municipal, estatal, nacional e internacional.</w:t>
            </w:r>
          </w:p>
        </w:tc>
        <w:tc>
          <w:tcPr>
            <w:tcW w:w="3163" w:type="dxa"/>
            <w:shd w:val="clear" w:color="auto" w:fill="auto"/>
            <w:vAlign w:val="center"/>
            <w:hideMark/>
          </w:tcPr>
          <w:p w14:paraId="776AF27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Institucionalizar la gobernabilidad con un enfoque democrático a través del fortalecimiento presupuestal, la coordinación interinstitucional y la operación de mecanismos de participación social.</w:t>
            </w:r>
          </w:p>
        </w:tc>
      </w:tr>
      <w:tr w:rsidR="00C028AC" w:rsidRPr="008511B6" w14:paraId="48324B35" w14:textId="77777777" w:rsidTr="008511B6">
        <w:trPr>
          <w:trHeight w:val="2053"/>
        </w:trPr>
        <w:tc>
          <w:tcPr>
            <w:tcW w:w="1696" w:type="dxa"/>
            <w:shd w:val="clear" w:color="auto" w:fill="auto"/>
            <w:noWrap/>
            <w:vAlign w:val="center"/>
            <w:hideMark/>
          </w:tcPr>
          <w:p w14:paraId="7465034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050201</w:t>
            </w:r>
          </w:p>
        </w:tc>
        <w:tc>
          <w:tcPr>
            <w:tcW w:w="3969" w:type="dxa"/>
            <w:shd w:val="clear" w:color="auto" w:fill="auto"/>
            <w:vAlign w:val="center"/>
            <w:hideMark/>
          </w:tcPr>
          <w:p w14:paraId="623C57A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Llevar a cabo la planeación, desarrollo, implementación, monitoreo y evaluación de la política pública municipal en materia de igualdad entre hombres y mujeres mediante la armonización legislativa del marco federal y estatal, que coadyuve progresivamente a la promoción de los derechos humanos en todos los contextos de desarrollo, el empoderamiento de las mujeres y el combate a la violencia de género.</w:t>
            </w:r>
          </w:p>
        </w:tc>
        <w:tc>
          <w:tcPr>
            <w:tcW w:w="3163" w:type="dxa"/>
            <w:shd w:val="clear" w:color="auto" w:fill="auto"/>
            <w:vAlign w:val="center"/>
            <w:hideMark/>
          </w:tcPr>
          <w:p w14:paraId="3FFC2C0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ejercicio pleno de los derechos humanos y empoderamiento de las mujeres mediante políticas públicas interinstitucionales para alcanzar una igualdad sustantiva de género.</w:t>
            </w:r>
          </w:p>
        </w:tc>
      </w:tr>
      <w:tr w:rsidR="00C028AC" w:rsidRPr="008511B6" w14:paraId="095C83EF" w14:textId="77777777" w:rsidTr="005D45B5">
        <w:trPr>
          <w:trHeight w:val="1500"/>
        </w:trPr>
        <w:tc>
          <w:tcPr>
            <w:tcW w:w="1696" w:type="dxa"/>
            <w:shd w:val="clear" w:color="auto" w:fill="auto"/>
            <w:noWrap/>
            <w:vAlign w:val="center"/>
            <w:hideMark/>
          </w:tcPr>
          <w:p w14:paraId="4C7C0659"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050301</w:t>
            </w:r>
          </w:p>
        </w:tc>
        <w:tc>
          <w:tcPr>
            <w:tcW w:w="3969" w:type="dxa"/>
            <w:shd w:val="clear" w:color="auto" w:fill="auto"/>
            <w:vAlign w:val="center"/>
            <w:hideMark/>
          </w:tcPr>
          <w:p w14:paraId="4D0C52D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Publicar, mantener actualizada y difundir proactivamente información pública, así como los avisos de privacidad y el documento de seguridad en el portal de transparencia; además de dar una atención oportuna de las solicitudes de acceso a la información.</w:t>
            </w:r>
          </w:p>
        </w:tc>
        <w:tc>
          <w:tcPr>
            <w:tcW w:w="3163" w:type="dxa"/>
            <w:shd w:val="clear" w:color="auto" w:fill="auto"/>
            <w:vAlign w:val="center"/>
            <w:hideMark/>
          </w:tcPr>
          <w:p w14:paraId="6CD3832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y fortalecer la transparencia en el sector público, a través de la mejora de los mecanismos institucionales de combate a la corrupción, contribuyendo a la regeneración de la ética en las instituciones y en la sociedad.</w:t>
            </w:r>
          </w:p>
        </w:tc>
      </w:tr>
      <w:tr w:rsidR="00C028AC" w:rsidRPr="008511B6" w14:paraId="28C343A0" w14:textId="77777777" w:rsidTr="005D45B5">
        <w:trPr>
          <w:trHeight w:val="1200"/>
        </w:trPr>
        <w:tc>
          <w:tcPr>
            <w:tcW w:w="1696" w:type="dxa"/>
            <w:shd w:val="clear" w:color="auto" w:fill="auto"/>
            <w:noWrap/>
            <w:vAlign w:val="center"/>
            <w:hideMark/>
          </w:tcPr>
          <w:p w14:paraId="3D3E23FE"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050302</w:t>
            </w:r>
          </w:p>
        </w:tc>
        <w:tc>
          <w:tcPr>
            <w:tcW w:w="3969" w:type="dxa"/>
            <w:shd w:val="clear" w:color="auto" w:fill="auto"/>
            <w:vAlign w:val="center"/>
            <w:hideMark/>
          </w:tcPr>
          <w:p w14:paraId="13F79BA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Desarrollar e implementar un plan de capacitación para el fortalecimiento sobre transparencia, acceso a la información pública y protección de datos personales con el fin de mejorar las Buenas Prácticas en la materia</w:t>
            </w:r>
          </w:p>
        </w:tc>
        <w:tc>
          <w:tcPr>
            <w:tcW w:w="3163" w:type="dxa"/>
            <w:shd w:val="clear" w:color="auto" w:fill="auto"/>
            <w:vAlign w:val="center"/>
            <w:hideMark/>
          </w:tcPr>
          <w:p w14:paraId="1D1AD0A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y fortalecer la transparencia en el sector público, a través de la mejora de los mecanismos institucionales de combate a la corrupción, contribuyendo a la regeneración de la ética en las instituciones y en la sociedad.</w:t>
            </w:r>
          </w:p>
        </w:tc>
      </w:tr>
      <w:tr w:rsidR="00C028AC" w:rsidRPr="008511B6" w14:paraId="090F88CE" w14:textId="77777777" w:rsidTr="005D45B5">
        <w:trPr>
          <w:trHeight w:val="1200"/>
        </w:trPr>
        <w:tc>
          <w:tcPr>
            <w:tcW w:w="1696" w:type="dxa"/>
            <w:shd w:val="clear" w:color="auto" w:fill="auto"/>
            <w:noWrap/>
            <w:vAlign w:val="center"/>
            <w:hideMark/>
          </w:tcPr>
          <w:p w14:paraId="66062A5D"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050401</w:t>
            </w:r>
          </w:p>
        </w:tc>
        <w:tc>
          <w:tcPr>
            <w:tcW w:w="3969" w:type="dxa"/>
            <w:shd w:val="clear" w:color="auto" w:fill="auto"/>
            <w:vAlign w:val="center"/>
            <w:hideMark/>
          </w:tcPr>
          <w:p w14:paraId="1594187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Generar acciones para eficientar el gasto público de manera racional, confiable y transparente, mediante la implementación de mejores prácticas en la materia.</w:t>
            </w:r>
          </w:p>
        </w:tc>
        <w:tc>
          <w:tcPr>
            <w:tcW w:w="3163" w:type="dxa"/>
            <w:shd w:val="clear" w:color="auto" w:fill="auto"/>
            <w:vAlign w:val="center"/>
            <w:hideMark/>
          </w:tcPr>
          <w:p w14:paraId="6D7A54A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Establecer mecanismos eficientes para el ejercicio del gasto y manejo responsable de la deuda pública del estado, que permitan mantener un balance presupuestario sostenible, asegurando la transparencia en la rendición de cuentas y la integridad de las finanzas públicas.</w:t>
            </w:r>
          </w:p>
        </w:tc>
      </w:tr>
      <w:tr w:rsidR="00C028AC" w:rsidRPr="008511B6" w14:paraId="51B68549" w14:textId="77777777" w:rsidTr="005D45B5">
        <w:trPr>
          <w:trHeight w:val="1500"/>
        </w:trPr>
        <w:tc>
          <w:tcPr>
            <w:tcW w:w="1696" w:type="dxa"/>
            <w:shd w:val="clear" w:color="auto" w:fill="auto"/>
            <w:noWrap/>
            <w:vAlign w:val="center"/>
            <w:hideMark/>
          </w:tcPr>
          <w:p w14:paraId="34000866"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050402</w:t>
            </w:r>
          </w:p>
        </w:tc>
        <w:tc>
          <w:tcPr>
            <w:tcW w:w="3969" w:type="dxa"/>
            <w:shd w:val="clear" w:color="auto" w:fill="auto"/>
            <w:vAlign w:val="center"/>
            <w:hideMark/>
          </w:tcPr>
          <w:p w14:paraId="004F086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capacidad del Ayuntamiento para la prestación de servicios públicos mediante la mejora en la gestión del capital humano y con ello aumentar la productividad a través de parámetros de calidad y eficiencia.</w:t>
            </w:r>
          </w:p>
        </w:tc>
        <w:tc>
          <w:tcPr>
            <w:tcW w:w="3163" w:type="dxa"/>
            <w:shd w:val="clear" w:color="auto" w:fill="auto"/>
            <w:vAlign w:val="center"/>
            <w:hideMark/>
          </w:tcPr>
          <w:p w14:paraId="7302E92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2CED8A72" w14:textId="77777777" w:rsidTr="005D45B5">
        <w:trPr>
          <w:trHeight w:val="1200"/>
        </w:trPr>
        <w:tc>
          <w:tcPr>
            <w:tcW w:w="1696" w:type="dxa"/>
            <w:shd w:val="clear" w:color="auto" w:fill="auto"/>
            <w:noWrap/>
            <w:vAlign w:val="center"/>
            <w:hideMark/>
          </w:tcPr>
          <w:p w14:paraId="622411C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050403</w:t>
            </w:r>
          </w:p>
        </w:tc>
        <w:tc>
          <w:tcPr>
            <w:tcW w:w="3969" w:type="dxa"/>
            <w:shd w:val="clear" w:color="auto" w:fill="auto"/>
            <w:vAlign w:val="center"/>
            <w:hideMark/>
          </w:tcPr>
          <w:p w14:paraId="1CCA7AA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Desarrollar la conectividad y digitalización de procesos en materia de atención ciudadana con el objetivo de implementar prácticas de gobierno abierto y para el avance en la construcción de un gobierno digital.</w:t>
            </w:r>
          </w:p>
        </w:tc>
        <w:tc>
          <w:tcPr>
            <w:tcW w:w="3163" w:type="dxa"/>
            <w:shd w:val="clear" w:color="auto" w:fill="auto"/>
            <w:vAlign w:val="center"/>
            <w:hideMark/>
          </w:tcPr>
          <w:p w14:paraId="1ED0021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principios de un Gobierno Abierto, así como ampliar la digitalización de los servicios gubernamentales para facilitar su acceso a la población a través del uso de las Nuevas Tecnologías de la Información y Comunicación</w:t>
            </w:r>
          </w:p>
        </w:tc>
      </w:tr>
      <w:tr w:rsidR="00C028AC" w:rsidRPr="008511B6" w14:paraId="6D8159DE" w14:textId="77777777" w:rsidTr="005D45B5">
        <w:trPr>
          <w:trHeight w:val="1500"/>
        </w:trPr>
        <w:tc>
          <w:tcPr>
            <w:tcW w:w="1696" w:type="dxa"/>
            <w:shd w:val="clear" w:color="auto" w:fill="auto"/>
            <w:noWrap/>
            <w:vAlign w:val="center"/>
            <w:hideMark/>
          </w:tcPr>
          <w:p w14:paraId="2FE4F99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050404</w:t>
            </w:r>
          </w:p>
        </w:tc>
        <w:tc>
          <w:tcPr>
            <w:tcW w:w="3969" w:type="dxa"/>
            <w:shd w:val="clear" w:color="auto" w:fill="auto"/>
            <w:vAlign w:val="center"/>
            <w:hideMark/>
          </w:tcPr>
          <w:p w14:paraId="7E47652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Desarrollar un perfil progresivo en impuestos y derechos cobrados a la ciudadanía, dando confianza y certidumbre a las y los contribuyentes de su correcta aplicación en el gasto público, generando una eficiencia y control del erario, utilizando las TIC´s.</w:t>
            </w:r>
          </w:p>
        </w:tc>
        <w:tc>
          <w:tcPr>
            <w:tcW w:w="3163" w:type="dxa"/>
            <w:shd w:val="clear" w:color="auto" w:fill="auto"/>
            <w:vAlign w:val="center"/>
            <w:hideMark/>
          </w:tcPr>
          <w:p w14:paraId="1400607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principios de un Gobierno Abierto, así como ampliar la digitalización de los servicios gubernamentales para facilitar su acceso a la población a través del uso de las Nuevas Tecnologías de la Información y Comunicación</w:t>
            </w:r>
          </w:p>
        </w:tc>
      </w:tr>
      <w:tr w:rsidR="00C028AC" w:rsidRPr="008511B6" w14:paraId="60D50A68" w14:textId="77777777" w:rsidTr="005D45B5">
        <w:trPr>
          <w:trHeight w:val="1200"/>
        </w:trPr>
        <w:tc>
          <w:tcPr>
            <w:tcW w:w="1696" w:type="dxa"/>
            <w:shd w:val="clear" w:color="auto" w:fill="auto"/>
            <w:noWrap/>
            <w:vAlign w:val="center"/>
            <w:hideMark/>
          </w:tcPr>
          <w:p w14:paraId="16619309"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050501</w:t>
            </w:r>
          </w:p>
        </w:tc>
        <w:tc>
          <w:tcPr>
            <w:tcW w:w="3969" w:type="dxa"/>
            <w:shd w:val="clear" w:color="auto" w:fill="auto"/>
            <w:vAlign w:val="center"/>
            <w:hideMark/>
          </w:tcPr>
          <w:p w14:paraId="38527DA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Verificar y evaluar el debido ejercicio de los recursos y el desempeño de los servidores públicos de acuerdo con la normatividad vigente.</w:t>
            </w:r>
          </w:p>
        </w:tc>
        <w:tc>
          <w:tcPr>
            <w:tcW w:w="3163" w:type="dxa"/>
            <w:shd w:val="clear" w:color="auto" w:fill="auto"/>
            <w:vAlign w:val="center"/>
            <w:hideMark/>
          </w:tcPr>
          <w:p w14:paraId="4FAAA6F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76D99A6F" w14:textId="77777777" w:rsidTr="005D45B5">
        <w:trPr>
          <w:trHeight w:val="1200"/>
        </w:trPr>
        <w:tc>
          <w:tcPr>
            <w:tcW w:w="1696" w:type="dxa"/>
            <w:shd w:val="clear" w:color="auto" w:fill="auto"/>
            <w:noWrap/>
            <w:vAlign w:val="center"/>
            <w:hideMark/>
          </w:tcPr>
          <w:p w14:paraId="67FD1118"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050502</w:t>
            </w:r>
          </w:p>
        </w:tc>
        <w:tc>
          <w:tcPr>
            <w:tcW w:w="3969" w:type="dxa"/>
            <w:shd w:val="clear" w:color="auto" w:fill="auto"/>
            <w:vAlign w:val="center"/>
            <w:hideMark/>
          </w:tcPr>
          <w:p w14:paraId="7285B35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Investigar, sustanciar y resolver procedimientos de presunta responsabilidad administrativa.</w:t>
            </w:r>
          </w:p>
        </w:tc>
        <w:tc>
          <w:tcPr>
            <w:tcW w:w="3163" w:type="dxa"/>
            <w:shd w:val="clear" w:color="auto" w:fill="auto"/>
            <w:vAlign w:val="center"/>
            <w:hideMark/>
          </w:tcPr>
          <w:p w14:paraId="0E3DE07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1D037882" w14:textId="77777777" w:rsidTr="008511B6">
        <w:trPr>
          <w:trHeight w:val="590"/>
        </w:trPr>
        <w:tc>
          <w:tcPr>
            <w:tcW w:w="1696" w:type="dxa"/>
            <w:shd w:val="clear" w:color="auto" w:fill="auto"/>
            <w:noWrap/>
            <w:vAlign w:val="center"/>
            <w:hideMark/>
          </w:tcPr>
          <w:p w14:paraId="150686A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050601</w:t>
            </w:r>
          </w:p>
        </w:tc>
        <w:tc>
          <w:tcPr>
            <w:tcW w:w="3969" w:type="dxa"/>
            <w:shd w:val="clear" w:color="auto" w:fill="auto"/>
            <w:vAlign w:val="center"/>
            <w:hideMark/>
          </w:tcPr>
          <w:p w14:paraId="366908C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Atender, acompañar y orientar a la ciudadanía respecto a las normas y reglas a las que están sujetos las y los servidores públicos para garantizar la debida conducta en el desempeño de sus funciones.</w:t>
            </w:r>
          </w:p>
        </w:tc>
        <w:tc>
          <w:tcPr>
            <w:tcW w:w="3163" w:type="dxa"/>
            <w:shd w:val="clear" w:color="auto" w:fill="auto"/>
            <w:vAlign w:val="center"/>
            <w:hideMark/>
          </w:tcPr>
          <w:p w14:paraId="76830FD6"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38F1DF38" w14:textId="77777777" w:rsidTr="005D45B5">
        <w:trPr>
          <w:trHeight w:val="1200"/>
        </w:trPr>
        <w:tc>
          <w:tcPr>
            <w:tcW w:w="1696" w:type="dxa"/>
            <w:shd w:val="clear" w:color="auto" w:fill="auto"/>
            <w:noWrap/>
            <w:vAlign w:val="center"/>
            <w:hideMark/>
          </w:tcPr>
          <w:p w14:paraId="2932DF2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050602</w:t>
            </w:r>
          </w:p>
        </w:tc>
        <w:tc>
          <w:tcPr>
            <w:tcW w:w="3969" w:type="dxa"/>
            <w:shd w:val="clear" w:color="auto" w:fill="auto"/>
            <w:vAlign w:val="center"/>
            <w:hideMark/>
          </w:tcPr>
          <w:p w14:paraId="1FA6CEE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la participación ciudadana en la observancia del ejercicio de los recursos públicos y la prestación de los servicios municipales.</w:t>
            </w:r>
          </w:p>
        </w:tc>
        <w:tc>
          <w:tcPr>
            <w:tcW w:w="3163" w:type="dxa"/>
            <w:shd w:val="clear" w:color="auto" w:fill="auto"/>
            <w:vAlign w:val="center"/>
            <w:hideMark/>
          </w:tcPr>
          <w:p w14:paraId="5D5C4C8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2A623B1B" w14:textId="77777777" w:rsidTr="005D45B5">
        <w:trPr>
          <w:trHeight w:val="1800"/>
        </w:trPr>
        <w:tc>
          <w:tcPr>
            <w:tcW w:w="1696" w:type="dxa"/>
            <w:shd w:val="clear" w:color="auto" w:fill="auto"/>
            <w:noWrap/>
            <w:vAlign w:val="center"/>
            <w:hideMark/>
          </w:tcPr>
          <w:p w14:paraId="320D35F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050603</w:t>
            </w:r>
          </w:p>
        </w:tc>
        <w:tc>
          <w:tcPr>
            <w:tcW w:w="3969" w:type="dxa"/>
            <w:shd w:val="clear" w:color="auto" w:fill="auto"/>
            <w:vAlign w:val="center"/>
            <w:hideMark/>
          </w:tcPr>
          <w:p w14:paraId="3FDB4D25"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Desarrollar los temas de la normativa aplicable para el conocimiento de todas las dependencias y entidades mediante la elaboración de lineamientos, actualizaciones, así como el cumplimiento de los avances de actividades del órgano de control y evaluación gubernamental y el seguimiento de acuerdos.</w:t>
            </w:r>
          </w:p>
        </w:tc>
        <w:tc>
          <w:tcPr>
            <w:tcW w:w="3163" w:type="dxa"/>
            <w:shd w:val="clear" w:color="auto" w:fill="auto"/>
            <w:vAlign w:val="center"/>
            <w:hideMark/>
          </w:tcPr>
          <w:p w14:paraId="5B2B622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2F74B4CC" w14:textId="77777777" w:rsidTr="005D45B5">
        <w:trPr>
          <w:trHeight w:val="1500"/>
        </w:trPr>
        <w:tc>
          <w:tcPr>
            <w:tcW w:w="1696" w:type="dxa"/>
            <w:shd w:val="clear" w:color="auto" w:fill="auto"/>
            <w:noWrap/>
            <w:vAlign w:val="center"/>
            <w:hideMark/>
          </w:tcPr>
          <w:p w14:paraId="15823DB9"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050701</w:t>
            </w:r>
          </w:p>
        </w:tc>
        <w:tc>
          <w:tcPr>
            <w:tcW w:w="3969" w:type="dxa"/>
            <w:shd w:val="clear" w:color="auto" w:fill="auto"/>
            <w:vAlign w:val="center"/>
            <w:hideMark/>
          </w:tcPr>
          <w:p w14:paraId="40869D8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Lograr que las políticas de gobierno se traduzcan en beneficios para la ciudadanía y resolver los asuntos de manera colegiada, como Ayuntamiento abierto, ciudadano, incluyente y eficiente en las sesiones públicas</w:t>
            </w:r>
          </w:p>
        </w:tc>
        <w:tc>
          <w:tcPr>
            <w:tcW w:w="3163" w:type="dxa"/>
            <w:shd w:val="clear" w:color="auto" w:fill="auto"/>
            <w:vAlign w:val="center"/>
            <w:hideMark/>
          </w:tcPr>
          <w:p w14:paraId="0756FEAC"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0603A68F" w14:textId="77777777" w:rsidTr="005D45B5">
        <w:trPr>
          <w:trHeight w:val="1500"/>
        </w:trPr>
        <w:tc>
          <w:tcPr>
            <w:tcW w:w="1696" w:type="dxa"/>
            <w:shd w:val="clear" w:color="auto" w:fill="auto"/>
            <w:noWrap/>
            <w:vAlign w:val="center"/>
            <w:hideMark/>
          </w:tcPr>
          <w:p w14:paraId="2B48C54F"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050801</w:t>
            </w:r>
          </w:p>
        </w:tc>
        <w:tc>
          <w:tcPr>
            <w:tcW w:w="3969" w:type="dxa"/>
            <w:shd w:val="clear" w:color="auto" w:fill="auto"/>
            <w:vAlign w:val="center"/>
            <w:hideMark/>
          </w:tcPr>
          <w:p w14:paraId="21C6415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Contribuir a la gobernabilidad del municipio a través de un diálogo colaborativo con la sociedad, con el objetivo de generar acciones que fortalezcan la atención y el seguimiento de las demandas de la ciudadanía en general.</w:t>
            </w:r>
          </w:p>
        </w:tc>
        <w:tc>
          <w:tcPr>
            <w:tcW w:w="3163" w:type="dxa"/>
            <w:shd w:val="clear" w:color="auto" w:fill="auto"/>
            <w:vAlign w:val="center"/>
            <w:hideMark/>
          </w:tcPr>
          <w:p w14:paraId="4DC47D3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Institucionalizar la gobernabilidad con un enfoque democrático a través del fortalecimiento presupuestal, la coordinación interinstitucional y la operación de mecanismos de participación social.</w:t>
            </w:r>
          </w:p>
        </w:tc>
      </w:tr>
      <w:tr w:rsidR="00C028AC" w:rsidRPr="008511B6" w14:paraId="20E34E43" w14:textId="77777777" w:rsidTr="005D45B5">
        <w:trPr>
          <w:trHeight w:val="1200"/>
        </w:trPr>
        <w:tc>
          <w:tcPr>
            <w:tcW w:w="1696" w:type="dxa"/>
            <w:shd w:val="clear" w:color="auto" w:fill="auto"/>
            <w:noWrap/>
            <w:vAlign w:val="center"/>
            <w:hideMark/>
          </w:tcPr>
          <w:p w14:paraId="551962B0"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050901</w:t>
            </w:r>
          </w:p>
        </w:tc>
        <w:tc>
          <w:tcPr>
            <w:tcW w:w="3969" w:type="dxa"/>
            <w:shd w:val="clear" w:color="auto" w:fill="auto"/>
            <w:vAlign w:val="center"/>
            <w:hideMark/>
          </w:tcPr>
          <w:p w14:paraId="49EBD04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Optimizar la organización del archivo histórico municipal para beneficiar a la comunidad.</w:t>
            </w:r>
          </w:p>
        </w:tc>
        <w:tc>
          <w:tcPr>
            <w:tcW w:w="3163" w:type="dxa"/>
            <w:shd w:val="clear" w:color="auto" w:fill="auto"/>
            <w:vAlign w:val="center"/>
            <w:hideMark/>
          </w:tcPr>
          <w:p w14:paraId="76A1310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principios de un Gobierno Abierto, así como ampliar la digitalización de los servicios gubernamentales para facilitar su acceso a la población a través del uso de las Nuevas Tecnologías de la Información y Comunicación</w:t>
            </w:r>
          </w:p>
        </w:tc>
      </w:tr>
      <w:tr w:rsidR="00C028AC" w:rsidRPr="008511B6" w14:paraId="0818BFD4" w14:textId="77777777" w:rsidTr="005D45B5">
        <w:trPr>
          <w:trHeight w:val="1200"/>
        </w:trPr>
        <w:tc>
          <w:tcPr>
            <w:tcW w:w="1696" w:type="dxa"/>
            <w:shd w:val="clear" w:color="auto" w:fill="auto"/>
            <w:noWrap/>
            <w:vAlign w:val="center"/>
            <w:hideMark/>
          </w:tcPr>
          <w:p w14:paraId="4B3E1D1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050902</w:t>
            </w:r>
          </w:p>
        </w:tc>
        <w:tc>
          <w:tcPr>
            <w:tcW w:w="3969" w:type="dxa"/>
            <w:shd w:val="clear" w:color="auto" w:fill="auto"/>
            <w:vAlign w:val="center"/>
            <w:hideMark/>
          </w:tcPr>
          <w:p w14:paraId="28EF7A9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y mejorar la gestión documental y los procesos archivísticos en las Dependencias y Organismos del Ayuntamiento de Hermosillo.</w:t>
            </w:r>
          </w:p>
        </w:tc>
        <w:tc>
          <w:tcPr>
            <w:tcW w:w="3163" w:type="dxa"/>
            <w:shd w:val="clear" w:color="auto" w:fill="auto"/>
            <w:vAlign w:val="center"/>
            <w:hideMark/>
          </w:tcPr>
          <w:p w14:paraId="063DB36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principios de un Gobierno Abierto, así como ampliar la digitalización de los servicios gubernamentales para facilitar su acceso a la población a través del uso de las Nuevas Tecnologías de la Información y Comunicación</w:t>
            </w:r>
          </w:p>
        </w:tc>
      </w:tr>
      <w:tr w:rsidR="00C028AC" w:rsidRPr="008511B6" w14:paraId="6B3D0F03" w14:textId="77777777" w:rsidTr="005D45B5">
        <w:trPr>
          <w:trHeight w:val="1500"/>
        </w:trPr>
        <w:tc>
          <w:tcPr>
            <w:tcW w:w="1696" w:type="dxa"/>
            <w:shd w:val="clear" w:color="auto" w:fill="auto"/>
            <w:noWrap/>
            <w:vAlign w:val="center"/>
            <w:hideMark/>
          </w:tcPr>
          <w:p w14:paraId="3883E515"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051001</w:t>
            </w:r>
          </w:p>
        </w:tc>
        <w:tc>
          <w:tcPr>
            <w:tcW w:w="3969" w:type="dxa"/>
            <w:shd w:val="clear" w:color="auto" w:fill="auto"/>
            <w:vAlign w:val="center"/>
            <w:hideMark/>
          </w:tcPr>
          <w:p w14:paraId="36F831E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Fomentar que todas las acciones y decisiones del Ayuntamiento cumplan con las disposiciones legales aplicables, mediante la unificación de criterios para la emisión de dictámenes y opiniones jurídicas en materia de contratos, convenios, reglamentos y normativas.</w:t>
            </w:r>
          </w:p>
        </w:tc>
        <w:tc>
          <w:tcPr>
            <w:tcW w:w="3163" w:type="dxa"/>
            <w:shd w:val="clear" w:color="auto" w:fill="auto"/>
            <w:vAlign w:val="center"/>
            <w:hideMark/>
          </w:tcPr>
          <w:p w14:paraId="6A9EDAC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asistencia y asesoría jurídica, y fomentar la actualización normativa, el seguimiento de juicios y la coordinación de los asuntos contenciosos.</w:t>
            </w:r>
          </w:p>
        </w:tc>
      </w:tr>
      <w:tr w:rsidR="00C028AC" w:rsidRPr="008511B6" w14:paraId="1099F0CB" w14:textId="77777777" w:rsidTr="008511B6">
        <w:trPr>
          <w:trHeight w:val="1299"/>
        </w:trPr>
        <w:tc>
          <w:tcPr>
            <w:tcW w:w="1696" w:type="dxa"/>
            <w:shd w:val="clear" w:color="auto" w:fill="auto"/>
            <w:noWrap/>
            <w:vAlign w:val="center"/>
            <w:hideMark/>
          </w:tcPr>
          <w:p w14:paraId="2075E1CC"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051101</w:t>
            </w:r>
          </w:p>
        </w:tc>
        <w:tc>
          <w:tcPr>
            <w:tcW w:w="3969" w:type="dxa"/>
            <w:shd w:val="clear" w:color="auto" w:fill="auto"/>
            <w:vAlign w:val="center"/>
            <w:hideMark/>
          </w:tcPr>
          <w:p w14:paraId="656424C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Desarrollar campañas de comunicación para difundir de manera efectiva a la ciudadanía las acciones, programas y campañas del Gobierno Municipal, determinando los medios de comunicación con mayor impacto de acuerdo con el segmento requerido.</w:t>
            </w:r>
          </w:p>
        </w:tc>
        <w:tc>
          <w:tcPr>
            <w:tcW w:w="3163" w:type="dxa"/>
            <w:shd w:val="clear" w:color="auto" w:fill="auto"/>
            <w:vAlign w:val="center"/>
            <w:hideMark/>
          </w:tcPr>
          <w:p w14:paraId="4DE2CB3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Institucionalizar la gobernabilidad con un enfoque democrático a través del fortalecimiento presupuestal, la coordinación interinstitucional y la operación de mecanismos de participación social.</w:t>
            </w:r>
          </w:p>
        </w:tc>
      </w:tr>
      <w:tr w:rsidR="00C028AC" w:rsidRPr="008511B6" w14:paraId="71984F32" w14:textId="77777777" w:rsidTr="005D45B5">
        <w:trPr>
          <w:trHeight w:val="1200"/>
        </w:trPr>
        <w:tc>
          <w:tcPr>
            <w:tcW w:w="1696" w:type="dxa"/>
            <w:shd w:val="clear" w:color="auto" w:fill="auto"/>
            <w:noWrap/>
            <w:vAlign w:val="center"/>
            <w:hideMark/>
          </w:tcPr>
          <w:p w14:paraId="7CB754FD"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051201</w:t>
            </w:r>
          </w:p>
        </w:tc>
        <w:tc>
          <w:tcPr>
            <w:tcW w:w="3969" w:type="dxa"/>
            <w:shd w:val="clear" w:color="auto" w:fill="auto"/>
            <w:vAlign w:val="center"/>
            <w:hideMark/>
          </w:tcPr>
          <w:p w14:paraId="2044656C"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Mantener las actualizaciones periódicas de la base de datos catastral con el uso de la tecnología de vanguardia.</w:t>
            </w:r>
          </w:p>
        </w:tc>
        <w:tc>
          <w:tcPr>
            <w:tcW w:w="3163" w:type="dxa"/>
            <w:shd w:val="clear" w:color="auto" w:fill="auto"/>
            <w:vAlign w:val="center"/>
            <w:hideMark/>
          </w:tcPr>
          <w:p w14:paraId="7AF3AF4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Impulsar los principios de un Gobierno Abierto, así como ampliar la digitalización de los servicios gubernamentales para facilitar su acceso a la población a través del uso de las Nuevas Tecnologías de la Información y Comunicación</w:t>
            </w:r>
          </w:p>
        </w:tc>
      </w:tr>
      <w:tr w:rsidR="00C028AC" w:rsidRPr="008511B6" w14:paraId="34EB743C" w14:textId="77777777" w:rsidTr="005D45B5">
        <w:trPr>
          <w:trHeight w:val="1200"/>
        </w:trPr>
        <w:tc>
          <w:tcPr>
            <w:tcW w:w="1696" w:type="dxa"/>
            <w:shd w:val="clear" w:color="auto" w:fill="auto"/>
            <w:noWrap/>
            <w:vAlign w:val="center"/>
            <w:hideMark/>
          </w:tcPr>
          <w:p w14:paraId="7B231CAF"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051202</w:t>
            </w:r>
          </w:p>
        </w:tc>
        <w:tc>
          <w:tcPr>
            <w:tcW w:w="3969" w:type="dxa"/>
            <w:shd w:val="clear" w:color="auto" w:fill="auto"/>
            <w:vAlign w:val="center"/>
            <w:hideMark/>
          </w:tcPr>
          <w:p w14:paraId="0D10589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Proporcionar atención al ciudadano en servicios catastrales de forma ágil y apegada al marco normativo.</w:t>
            </w:r>
          </w:p>
        </w:tc>
        <w:tc>
          <w:tcPr>
            <w:tcW w:w="3163" w:type="dxa"/>
            <w:shd w:val="clear" w:color="auto" w:fill="auto"/>
            <w:vAlign w:val="center"/>
            <w:hideMark/>
          </w:tcPr>
          <w:p w14:paraId="47236BC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Establecer mecanismos eficientes para el ejercicio del gasto y manejo responsable de la deuda pública del estado, que permitan mantener un balance presupuestario sostenible, asegurando la transparencia en la rendición de cuentas y la integridad de las finanzas públicas.</w:t>
            </w:r>
          </w:p>
        </w:tc>
      </w:tr>
      <w:tr w:rsidR="00C028AC" w:rsidRPr="008511B6" w14:paraId="63A3D066" w14:textId="77777777" w:rsidTr="005D45B5">
        <w:trPr>
          <w:trHeight w:val="1200"/>
        </w:trPr>
        <w:tc>
          <w:tcPr>
            <w:tcW w:w="1696" w:type="dxa"/>
            <w:shd w:val="clear" w:color="auto" w:fill="auto"/>
            <w:noWrap/>
            <w:vAlign w:val="center"/>
            <w:hideMark/>
          </w:tcPr>
          <w:p w14:paraId="47D6F6B1"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051203</w:t>
            </w:r>
          </w:p>
        </w:tc>
        <w:tc>
          <w:tcPr>
            <w:tcW w:w="3969" w:type="dxa"/>
            <w:shd w:val="clear" w:color="auto" w:fill="auto"/>
            <w:vAlign w:val="center"/>
            <w:hideMark/>
          </w:tcPr>
          <w:p w14:paraId="1CC2B66D"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coordinación interinstitucional y con organismos públicos y privados para la evolución del catastro municipal y los valores del territorio.</w:t>
            </w:r>
          </w:p>
        </w:tc>
        <w:tc>
          <w:tcPr>
            <w:tcW w:w="3163" w:type="dxa"/>
            <w:shd w:val="clear" w:color="auto" w:fill="auto"/>
            <w:vAlign w:val="center"/>
            <w:hideMark/>
          </w:tcPr>
          <w:p w14:paraId="74DD2A1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Implementar en el Gobierno del Estado una visión municipalista, que consolide la colaboración y coordinación estrecha con los 72 Ayuntamientos para encontrar soluciones a las principales problemáticas que aquejan a los municipios.</w:t>
            </w:r>
          </w:p>
        </w:tc>
      </w:tr>
      <w:tr w:rsidR="00C028AC" w:rsidRPr="008511B6" w14:paraId="2F482A43" w14:textId="77777777" w:rsidTr="005D45B5">
        <w:trPr>
          <w:trHeight w:val="1200"/>
        </w:trPr>
        <w:tc>
          <w:tcPr>
            <w:tcW w:w="1696" w:type="dxa"/>
            <w:shd w:val="clear" w:color="auto" w:fill="auto"/>
            <w:noWrap/>
            <w:vAlign w:val="center"/>
            <w:hideMark/>
          </w:tcPr>
          <w:p w14:paraId="1E7ECD92"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051301</w:t>
            </w:r>
          </w:p>
        </w:tc>
        <w:tc>
          <w:tcPr>
            <w:tcW w:w="3969" w:type="dxa"/>
            <w:shd w:val="clear" w:color="auto" w:fill="auto"/>
            <w:vAlign w:val="center"/>
            <w:hideMark/>
          </w:tcPr>
          <w:p w14:paraId="01A11ED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Establecer y ejecutar un programa permanente de fortalecimiento del cumplimiento de obligaciones fiscales municipales.</w:t>
            </w:r>
          </w:p>
        </w:tc>
        <w:tc>
          <w:tcPr>
            <w:tcW w:w="3163" w:type="dxa"/>
            <w:shd w:val="clear" w:color="auto" w:fill="auto"/>
            <w:vAlign w:val="center"/>
            <w:hideMark/>
          </w:tcPr>
          <w:p w14:paraId="1D2854C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diseño de una estructura institucional y arquitectura financiera que sustentan la visión de desarrollo de Sonora con un enfoque de planeación democrática, economía social, equilibrio fiscal y de desarrollo sostenible.</w:t>
            </w:r>
          </w:p>
        </w:tc>
      </w:tr>
      <w:tr w:rsidR="00C028AC" w:rsidRPr="008511B6" w14:paraId="2F1984E1" w14:textId="77777777" w:rsidTr="005D45B5">
        <w:trPr>
          <w:trHeight w:val="1200"/>
        </w:trPr>
        <w:tc>
          <w:tcPr>
            <w:tcW w:w="1696" w:type="dxa"/>
            <w:shd w:val="clear" w:color="auto" w:fill="auto"/>
            <w:noWrap/>
            <w:vAlign w:val="center"/>
            <w:hideMark/>
          </w:tcPr>
          <w:p w14:paraId="7E8A0984"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051302</w:t>
            </w:r>
          </w:p>
        </w:tc>
        <w:tc>
          <w:tcPr>
            <w:tcW w:w="3969" w:type="dxa"/>
            <w:shd w:val="clear" w:color="auto" w:fill="auto"/>
            <w:vAlign w:val="center"/>
            <w:hideMark/>
          </w:tcPr>
          <w:p w14:paraId="109C05DA"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Reforzar las acciones de simplificación tributaria para hacer más eficiente la recaudación.</w:t>
            </w:r>
          </w:p>
        </w:tc>
        <w:tc>
          <w:tcPr>
            <w:tcW w:w="3163" w:type="dxa"/>
            <w:shd w:val="clear" w:color="auto" w:fill="auto"/>
            <w:vAlign w:val="center"/>
            <w:hideMark/>
          </w:tcPr>
          <w:p w14:paraId="4C9945D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diseño de una estructura institucional y arquitectura financiera que sustentan la visión de desarrollo de Sonora con un enfoque de planeación democrática, economía social, equilibrio fiscal y de desarrollo sostenible.</w:t>
            </w:r>
          </w:p>
        </w:tc>
      </w:tr>
      <w:tr w:rsidR="00C028AC" w:rsidRPr="008511B6" w14:paraId="0F54CF0D" w14:textId="77777777" w:rsidTr="005D45B5">
        <w:trPr>
          <w:trHeight w:val="1200"/>
        </w:trPr>
        <w:tc>
          <w:tcPr>
            <w:tcW w:w="1696" w:type="dxa"/>
            <w:shd w:val="clear" w:color="auto" w:fill="auto"/>
            <w:noWrap/>
            <w:vAlign w:val="center"/>
            <w:hideMark/>
          </w:tcPr>
          <w:p w14:paraId="010B6690"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051303</w:t>
            </w:r>
          </w:p>
        </w:tc>
        <w:tc>
          <w:tcPr>
            <w:tcW w:w="3969" w:type="dxa"/>
            <w:shd w:val="clear" w:color="auto" w:fill="auto"/>
            <w:vAlign w:val="center"/>
            <w:hideMark/>
          </w:tcPr>
          <w:p w14:paraId="2D6A45F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Reforzar los ingresos propios del municipio con incrementos en términos reales, fortaleciendo el Sistema Integral de Control Financiero de los organismos y dependencias.</w:t>
            </w:r>
          </w:p>
        </w:tc>
        <w:tc>
          <w:tcPr>
            <w:tcW w:w="3163" w:type="dxa"/>
            <w:shd w:val="clear" w:color="auto" w:fill="auto"/>
            <w:vAlign w:val="center"/>
            <w:hideMark/>
          </w:tcPr>
          <w:p w14:paraId="610B735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diseño de una estructura institucional y arquitectura financiera que sustentan la visión de desarrollo de Sonora con un enfoque de planeación democrática, economía social, equilibrio fiscal y de desarrollo sostenible.</w:t>
            </w:r>
          </w:p>
        </w:tc>
      </w:tr>
      <w:tr w:rsidR="00C028AC" w:rsidRPr="008511B6" w14:paraId="508C236C" w14:textId="77777777" w:rsidTr="005D45B5">
        <w:trPr>
          <w:trHeight w:val="1200"/>
        </w:trPr>
        <w:tc>
          <w:tcPr>
            <w:tcW w:w="1696" w:type="dxa"/>
            <w:shd w:val="clear" w:color="auto" w:fill="auto"/>
            <w:noWrap/>
            <w:vAlign w:val="center"/>
            <w:hideMark/>
          </w:tcPr>
          <w:p w14:paraId="4397D9DF"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051304</w:t>
            </w:r>
          </w:p>
        </w:tc>
        <w:tc>
          <w:tcPr>
            <w:tcW w:w="3969" w:type="dxa"/>
            <w:shd w:val="clear" w:color="auto" w:fill="auto"/>
            <w:vAlign w:val="center"/>
            <w:hideMark/>
          </w:tcPr>
          <w:p w14:paraId="338E2A09"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Mantener en niveles sostenibles la deuda de largo plazo, así como realizar un manejo adecuado de la liquidez con la que cuenta el municipio para hacer frente a sus obligaciones de pago.</w:t>
            </w:r>
          </w:p>
        </w:tc>
        <w:tc>
          <w:tcPr>
            <w:tcW w:w="3163" w:type="dxa"/>
            <w:shd w:val="clear" w:color="auto" w:fill="auto"/>
            <w:vAlign w:val="center"/>
            <w:hideMark/>
          </w:tcPr>
          <w:p w14:paraId="6FEF75EE"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diseño de una estructura institucional y arquitectura financiera que sustentan la visión de desarrollo de Sonora con un enfoque de planeación democrática, economía social, equilibrio fiscal y de desarrollo sostenible.</w:t>
            </w:r>
          </w:p>
        </w:tc>
      </w:tr>
      <w:tr w:rsidR="00C028AC" w:rsidRPr="008511B6" w14:paraId="2CC5201A" w14:textId="77777777" w:rsidTr="005D45B5">
        <w:trPr>
          <w:trHeight w:val="1200"/>
        </w:trPr>
        <w:tc>
          <w:tcPr>
            <w:tcW w:w="1696" w:type="dxa"/>
            <w:shd w:val="clear" w:color="auto" w:fill="auto"/>
            <w:noWrap/>
            <w:vAlign w:val="center"/>
            <w:hideMark/>
          </w:tcPr>
          <w:p w14:paraId="2B37B8B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051401</w:t>
            </w:r>
          </w:p>
        </w:tc>
        <w:tc>
          <w:tcPr>
            <w:tcW w:w="3969" w:type="dxa"/>
            <w:shd w:val="clear" w:color="auto" w:fill="auto"/>
            <w:vAlign w:val="center"/>
            <w:hideMark/>
          </w:tcPr>
          <w:p w14:paraId="13B6B740"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los vínculos entre gobierno y sociedad para el seguimiento de la planeación estratégica de corto, mediano y largo plazo acorde a las necesidades y expectativas de los hermosillenses.</w:t>
            </w:r>
          </w:p>
        </w:tc>
        <w:tc>
          <w:tcPr>
            <w:tcW w:w="3163" w:type="dxa"/>
            <w:shd w:val="clear" w:color="auto" w:fill="auto"/>
            <w:vAlign w:val="center"/>
            <w:hideMark/>
          </w:tcPr>
          <w:p w14:paraId="63A0D981"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diseño de una estructura institucional y arquitectura financiera que sustentan la visión de desarrollo de Sonora con un enfoque de planeación democrática, economía social, equilibrio fiscal y de desarrollo sostenible.</w:t>
            </w:r>
          </w:p>
        </w:tc>
      </w:tr>
      <w:tr w:rsidR="00C028AC" w:rsidRPr="008511B6" w14:paraId="72489993" w14:textId="77777777" w:rsidTr="005D45B5">
        <w:trPr>
          <w:trHeight w:val="1500"/>
        </w:trPr>
        <w:tc>
          <w:tcPr>
            <w:tcW w:w="1696" w:type="dxa"/>
            <w:shd w:val="clear" w:color="auto" w:fill="auto"/>
            <w:noWrap/>
            <w:vAlign w:val="center"/>
            <w:hideMark/>
          </w:tcPr>
          <w:p w14:paraId="216D510D"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051402</w:t>
            </w:r>
          </w:p>
        </w:tc>
        <w:tc>
          <w:tcPr>
            <w:tcW w:w="3969" w:type="dxa"/>
            <w:shd w:val="clear" w:color="auto" w:fill="auto"/>
            <w:vAlign w:val="center"/>
            <w:hideMark/>
          </w:tcPr>
          <w:p w14:paraId="79CB1DC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Evaluar la efectividad de las políticas públicas a través de la comprobación del cumplimiento de las metas de los programas presupuestarios, con el objetivo de optimizar la eficacia, eficiencia, economía y calidad en el uso de los recursos públicos municipales.</w:t>
            </w:r>
          </w:p>
        </w:tc>
        <w:tc>
          <w:tcPr>
            <w:tcW w:w="3163" w:type="dxa"/>
            <w:shd w:val="clear" w:color="auto" w:fill="auto"/>
            <w:vAlign w:val="center"/>
            <w:hideMark/>
          </w:tcPr>
          <w:p w14:paraId="0041AAF8"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diseño de una estructura institucional y arquitectura financiera que sustentan la visión de desarrollo de Sonora con un enfoque de planeación democrática, economía social, equilibrio fiscal y de desarrollo sostenible.</w:t>
            </w:r>
          </w:p>
        </w:tc>
      </w:tr>
      <w:tr w:rsidR="00C028AC" w:rsidRPr="008511B6" w14:paraId="339E7062" w14:textId="77777777" w:rsidTr="008511B6">
        <w:trPr>
          <w:trHeight w:val="1439"/>
        </w:trPr>
        <w:tc>
          <w:tcPr>
            <w:tcW w:w="1696" w:type="dxa"/>
            <w:shd w:val="clear" w:color="auto" w:fill="auto"/>
            <w:noWrap/>
            <w:vAlign w:val="center"/>
            <w:hideMark/>
          </w:tcPr>
          <w:p w14:paraId="6638800E"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051403</w:t>
            </w:r>
          </w:p>
        </w:tc>
        <w:tc>
          <w:tcPr>
            <w:tcW w:w="3969" w:type="dxa"/>
            <w:shd w:val="clear" w:color="auto" w:fill="auto"/>
            <w:vAlign w:val="center"/>
            <w:hideMark/>
          </w:tcPr>
          <w:p w14:paraId="209597A4"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Coordinar la planeación e integración del presupuesto de egresos de las dependencias y entidades de la Administración Pública Municipal, a fin de lograr el cumplimiento de objetivos, metas y su Programa Operativo Anual bajo los principios de eficacia, eficiencia y economía.</w:t>
            </w:r>
          </w:p>
        </w:tc>
        <w:tc>
          <w:tcPr>
            <w:tcW w:w="3163" w:type="dxa"/>
            <w:shd w:val="clear" w:color="auto" w:fill="auto"/>
            <w:vAlign w:val="center"/>
            <w:hideMark/>
          </w:tcPr>
          <w:p w14:paraId="25E7406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diseño de una estructura institucional y arquitectura financiera que sustentan la visión de desarrollo de Sonora con un enfoque de planeación democrática, economía social, equilibrio fiscal y de desarrollo sostenible.</w:t>
            </w:r>
          </w:p>
        </w:tc>
      </w:tr>
      <w:tr w:rsidR="00C028AC" w:rsidRPr="008511B6" w14:paraId="6EA49D12" w14:textId="77777777" w:rsidTr="005D45B5">
        <w:trPr>
          <w:trHeight w:val="1500"/>
        </w:trPr>
        <w:tc>
          <w:tcPr>
            <w:tcW w:w="1696" w:type="dxa"/>
            <w:shd w:val="clear" w:color="auto" w:fill="auto"/>
            <w:noWrap/>
            <w:vAlign w:val="center"/>
            <w:hideMark/>
          </w:tcPr>
          <w:p w14:paraId="604A2595"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051404</w:t>
            </w:r>
          </w:p>
        </w:tc>
        <w:tc>
          <w:tcPr>
            <w:tcW w:w="3969" w:type="dxa"/>
            <w:shd w:val="clear" w:color="auto" w:fill="auto"/>
            <w:vAlign w:val="center"/>
            <w:hideMark/>
          </w:tcPr>
          <w:p w14:paraId="1790B7F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Coordinar el seguimiento puntual del gasto de las dependencias y entidades municipales que integran la administración conforme a los calendarios aprobados, atendiendo las normas, criterios y lineamientos establecidos, de acuerdo con la normativa vigente.</w:t>
            </w:r>
          </w:p>
        </w:tc>
        <w:tc>
          <w:tcPr>
            <w:tcW w:w="3163" w:type="dxa"/>
            <w:shd w:val="clear" w:color="auto" w:fill="auto"/>
            <w:vAlign w:val="center"/>
            <w:hideMark/>
          </w:tcPr>
          <w:p w14:paraId="25EF7693"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diseño de una estructura institucional y arquitectura financiera que sustentan la visión de desarrollo de Sonora con un enfoque de planeación democrática, economía social, equilibrio fiscal y de desarrollo sostenible.</w:t>
            </w:r>
          </w:p>
        </w:tc>
      </w:tr>
      <w:tr w:rsidR="00C028AC" w:rsidRPr="008511B6" w14:paraId="229395D6" w14:textId="77777777" w:rsidTr="005D45B5">
        <w:trPr>
          <w:trHeight w:val="1200"/>
        </w:trPr>
        <w:tc>
          <w:tcPr>
            <w:tcW w:w="1696" w:type="dxa"/>
            <w:shd w:val="clear" w:color="auto" w:fill="auto"/>
            <w:noWrap/>
            <w:vAlign w:val="center"/>
            <w:hideMark/>
          </w:tcPr>
          <w:p w14:paraId="3C2ABA2B"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lastRenderedPageBreak/>
              <w:t>051501</w:t>
            </w:r>
          </w:p>
        </w:tc>
        <w:tc>
          <w:tcPr>
            <w:tcW w:w="3969" w:type="dxa"/>
            <w:shd w:val="clear" w:color="auto" w:fill="auto"/>
            <w:vAlign w:val="center"/>
            <w:hideMark/>
          </w:tcPr>
          <w:p w14:paraId="4E34DC8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Administrar y gestionar los recursos humanos y financieros de la Tesorería a través de herramientas que garanticen que los recursos se asignen conforme al marco normativo.</w:t>
            </w:r>
          </w:p>
        </w:tc>
        <w:tc>
          <w:tcPr>
            <w:tcW w:w="3163" w:type="dxa"/>
            <w:shd w:val="clear" w:color="auto" w:fill="auto"/>
            <w:vAlign w:val="center"/>
            <w:hideMark/>
          </w:tcPr>
          <w:p w14:paraId="5CFE4B17"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Promover el diseño de una estructura institucional y arquitectura financiera que sustentan la visión de desarrollo de Sonora con un enfoque de planeación democrática, economía social, equilibrio fiscal y de desarrollo sostenible.</w:t>
            </w:r>
          </w:p>
        </w:tc>
      </w:tr>
      <w:tr w:rsidR="00C028AC" w:rsidRPr="008511B6" w14:paraId="144186EB" w14:textId="77777777" w:rsidTr="005D45B5">
        <w:trPr>
          <w:trHeight w:val="1200"/>
        </w:trPr>
        <w:tc>
          <w:tcPr>
            <w:tcW w:w="1696" w:type="dxa"/>
            <w:shd w:val="clear" w:color="auto" w:fill="auto"/>
            <w:noWrap/>
            <w:vAlign w:val="center"/>
            <w:hideMark/>
          </w:tcPr>
          <w:p w14:paraId="12E7FC7A" w14:textId="77777777" w:rsidR="00C028AC" w:rsidRPr="00431D3D" w:rsidRDefault="00C028AC" w:rsidP="00B205BA">
            <w:pPr>
              <w:spacing w:after="120" w:line="240" w:lineRule="auto"/>
              <w:jc w:val="center"/>
              <w:rPr>
                <w:rFonts w:eastAsia="Times New Roman" w:cs="Arial"/>
                <w:color w:val="000000"/>
                <w:lang w:eastAsia="es-MX"/>
              </w:rPr>
            </w:pPr>
            <w:r w:rsidRPr="00431D3D">
              <w:rPr>
                <w:rFonts w:eastAsia="Times New Roman" w:cs="Arial"/>
                <w:color w:val="000000"/>
                <w:lang w:eastAsia="es-MX"/>
              </w:rPr>
              <w:t>051502</w:t>
            </w:r>
          </w:p>
        </w:tc>
        <w:tc>
          <w:tcPr>
            <w:tcW w:w="3969" w:type="dxa"/>
            <w:shd w:val="clear" w:color="auto" w:fill="auto"/>
            <w:vAlign w:val="center"/>
            <w:hideMark/>
          </w:tcPr>
          <w:p w14:paraId="68CD7D9B"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Coordinar la integración de la información interinstitucional para atender en tiempo y forma los requerimientos de las autoridades judiciales y de los particulares conforme a derecho.</w:t>
            </w:r>
          </w:p>
        </w:tc>
        <w:tc>
          <w:tcPr>
            <w:tcW w:w="3163" w:type="dxa"/>
            <w:shd w:val="clear" w:color="auto" w:fill="auto"/>
            <w:vAlign w:val="center"/>
            <w:hideMark/>
          </w:tcPr>
          <w:p w14:paraId="2E58805F" w14:textId="77777777" w:rsidR="00C028AC" w:rsidRPr="008511B6" w:rsidRDefault="00C028AC" w:rsidP="00B205BA">
            <w:pPr>
              <w:spacing w:after="120" w:line="240" w:lineRule="auto"/>
              <w:rPr>
                <w:rFonts w:eastAsia="Times New Roman" w:cs="Arial"/>
                <w:color w:val="000000"/>
                <w:sz w:val="18"/>
                <w:szCs w:val="18"/>
                <w:lang w:eastAsia="es-MX"/>
              </w:rPr>
            </w:pPr>
            <w:r w:rsidRPr="008511B6">
              <w:rPr>
                <w:rFonts w:eastAsia="Times New Roman" w:cs="Arial"/>
                <w:color w:val="000000"/>
                <w:sz w:val="18"/>
                <w:szCs w:val="18"/>
                <w:lang w:eastAsia="es-MX"/>
              </w:rPr>
              <w:t>Fortalecer la asistencia y asesoría jurídica, y fomentar la actualización normativa, el seguimiento de juicios y la coordinación de los asuntos contenciosos.</w:t>
            </w:r>
          </w:p>
        </w:tc>
      </w:tr>
    </w:tbl>
    <w:p w14:paraId="30E1A702" w14:textId="77777777" w:rsidR="00C028AC" w:rsidRPr="005233FA" w:rsidRDefault="00C028AC" w:rsidP="00B205BA">
      <w:pPr>
        <w:spacing w:after="120" w:line="240" w:lineRule="auto"/>
        <w:rPr>
          <w:rFonts w:cs="Arial"/>
        </w:rPr>
      </w:pPr>
    </w:p>
    <w:p w14:paraId="14E88D2D" w14:textId="77777777" w:rsidR="006004FD" w:rsidRPr="00C028AC" w:rsidRDefault="006004FD" w:rsidP="00B205BA">
      <w:pPr>
        <w:spacing w:after="120" w:line="240" w:lineRule="auto"/>
        <w:jc w:val="left"/>
        <w:rPr>
          <w:rFonts w:eastAsiaTheme="minorHAnsi" w:cs="Arial"/>
          <w:b/>
          <w:bCs/>
          <w:sz w:val="24"/>
          <w:szCs w:val="24"/>
          <w:lang w:bidi="ar-SA"/>
        </w:rPr>
      </w:pPr>
    </w:p>
    <w:sectPr w:rsidR="006004FD" w:rsidRPr="00C028AC">
      <w:headerReference w:type="default" r:id="rId52"/>
      <w:footerReference w:type="even" r:id="rId53"/>
      <w:foot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31C38" w14:textId="77777777" w:rsidR="009A5F33" w:rsidRDefault="009A5F33" w:rsidP="0044071E">
      <w:pPr>
        <w:spacing w:after="0" w:line="240" w:lineRule="auto"/>
      </w:pPr>
      <w:r>
        <w:separator/>
      </w:r>
    </w:p>
  </w:endnote>
  <w:endnote w:type="continuationSeparator" w:id="0">
    <w:p w14:paraId="383B0051" w14:textId="77777777" w:rsidR="009A5F33" w:rsidRDefault="009A5F33" w:rsidP="00440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467727909"/>
      <w:docPartObj>
        <w:docPartGallery w:val="Page Numbers (Bottom of Page)"/>
        <w:docPartUnique/>
      </w:docPartObj>
    </w:sdtPr>
    <w:sdtEndPr>
      <w:rPr>
        <w:rStyle w:val="Nmerodepgina"/>
      </w:rPr>
    </w:sdtEndPr>
    <w:sdtContent>
      <w:p w14:paraId="038E9C80" w14:textId="2A45D680" w:rsidR="00303A8B" w:rsidRDefault="00303A8B" w:rsidP="00034E3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CAAE7E2" w14:textId="77777777" w:rsidR="00303A8B" w:rsidRDefault="00303A8B" w:rsidP="00303A8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592356141"/>
      <w:docPartObj>
        <w:docPartGallery w:val="Page Numbers (Bottom of Page)"/>
        <w:docPartUnique/>
      </w:docPartObj>
    </w:sdtPr>
    <w:sdtEndPr>
      <w:rPr>
        <w:rStyle w:val="Nmerodepgina"/>
      </w:rPr>
    </w:sdtEndPr>
    <w:sdtContent>
      <w:p w14:paraId="0327D2CB" w14:textId="665FDA1A" w:rsidR="00303A8B" w:rsidRDefault="00303A8B" w:rsidP="00034E3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361347F" w14:textId="77777777" w:rsidR="00303A8B" w:rsidRDefault="00303A8B" w:rsidP="00303A8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47386" w14:textId="77777777" w:rsidR="009A5F33" w:rsidRDefault="009A5F33" w:rsidP="0044071E">
      <w:pPr>
        <w:spacing w:after="0" w:line="240" w:lineRule="auto"/>
      </w:pPr>
      <w:r>
        <w:separator/>
      </w:r>
    </w:p>
  </w:footnote>
  <w:footnote w:type="continuationSeparator" w:id="0">
    <w:p w14:paraId="14045E05" w14:textId="77777777" w:rsidR="009A5F33" w:rsidRDefault="009A5F33" w:rsidP="0044071E">
      <w:pPr>
        <w:spacing w:after="0" w:line="240" w:lineRule="auto"/>
      </w:pPr>
      <w:r>
        <w:continuationSeparator/>
      </w:r>
    </w:p>
  </w:footnote>
  <w:footnote w:id="1">
    <w:p w14:paraId="6C85044D" w14:textId="77777777" w:rsidR="006B5CD3" w:rsidRDefault="006B5CD3" w:rsidP="006B5CD3">
      <w:pPr>
        <w:pStyle w:val="Textonotapie"/>
      </w:pPr>
      <w:r>
        <w:rPr>
          <w:rStyle w:val="Refdenotaalpie"/>
        </w:rPr>
        <w:footnoteRef/>
      </w:r>
      <w:r>
        <w:t xml:space="preserve"> </w:t>
      </w:r>
      <w:r w:rsidRPr="00E6172A">
        <w:t xml:space="preserve">Asamblea General de las Naciones Unidas. (20 de septiembre de 2024). </w:t>
      </w:r>
      <w:r>
        <w:t xml:space="preserve">Proyecto de </w:t>
      </w:r>
      <w:r w:rsidRPr="00E6172A">
        <w:t>Resolución A/79/L</w:t>
      </w:r>
      <w:r>
        <w:t>.</w:t>
      </w:r>
      <w:r w:rsidRPr="00E6172A">
        <w:t>2. El Pacto para el Futuro. https://documents.un.org/doc/undoc/ltd/n24/252/92/pdf/n2425292.pdf</w:t>
      </w:r>
    </w:p>
  </w:footnote>
  <w:footnote w:id="2">
    <w:p w14:paraId="4602F8B5" w14:textId="77777777" w:rsidR="006B5CD3" w:rsidRPr="00823640" w:rsidRDefault="006B5CD3" w:rsidP="006B5CD3">
      <w:pPr>
        <w:spacing w:after="0" w:line="240" w:lineRule="auto"/>
        <w:jc w:val="left"/>
        <w:rPr>
          <w:lang w:val="en-US"/>
        </w:rPr>
      </w:pPr>
      <w:r w:rsidRPr="00823640">
        <w:rPr>
          <w:rStyle w:val="Refdenotaalpie"/>
          <w:sz w:val="20"/>
          <w:szCs w:val="18"/>
        </w:rPr>
        <w:footnoteRef/>
      </w:r>
      <w:r w:rsidRPr="00B2719B">
        <w:rPr>
          <w:sz w:val="20"/>
          <w:szCs w:val="18"/>
          <w:lang w:val="en-US"/>
        </w:rPr>
        <w:t xml:space="preserve"> </w:t>
      </w:r>
      <w:r w:rsidRPr="00B2719B">
        <w:rPr>
          <w:sz w:val="20"/>
          <w:szCs w:val="20"/>
          <w:lang w:val="en-US"/>
        </w:rPr>
        <w:t>United Nations Development Programme. (June 4, 2024). Announcing the theme of the 2025 Human Development Report: Harnessing digital transformation to advance human development. https://hdr.undp.org/content/announcing-theme-2025-human-development-report-harnessing-digital-transformation-advance</w:t>
      </w:r>
    </w:p>
  </w:footnote>
  <w:footnote w:id="3">
    <w:p w14:paraId="7B0BFF9B" w14:textId="77777777" w:rsidR="006B5CD3" w:rsidRDefault="006B5CD3" w:rsidP="006B5CD3">
      <w:pPr>
        <w:pStyle w:val="Textonotapie"/>
      </w:pPr>
      <w:r>
        <w:rPr>
          <w:rStyle w:val="Refdenotaalpie"/>
        </w:rPr>
        <w:footnoteRef/>
      </w:r>
      <w:r>
        <w:t xml:space="preserve"> </w:t>
      </w:r>
      <w:r w:rsidRPr="00AF48BF">
        <w:t>Banco Mundial.</w:t>
      </w:r>
      <w:r>
        <w:t xml:space="preserve"> (11 de junio de 2024). El crecimiento mundial se estabiliza por primera vez en tres años. </w:t>
      </w:r>
      <w:r w:rsidRPr="00AF48BF">
        <w:t>https://www.bancomundial.org/es/news/press-release/2024/06/11/global-economic-prospects-june-2024-press-release</w:t>
      </w:r>
    </w:p>
  </w:footnote>
  <w:footnote w:id="4">
    <w:p w14:paraId="1659E4EF" w14:textId="77777777" w:rsidR="006B5CD3" w:rsidRPr="00900DD5" w:rsidRDefault="006B5CD3" w:rsidP="006B5CD3">
      <w:pPr>
        <w:pStyle w:val="Textonotapie"/>
      </w:pPr>
      <w:r w:rsidRPr="00E6172A">
        <w:rPr>
          <w:rStyle w:val="Refdenotaalpie"/>
          <w:szCs w:val="18"/>
        </w:rPr>
        <w:footnoteRef/>
      </w:r>
      <w:r w:rsidRPr="00E6172A">
        <w:rPr>
          <w:sz w:val="16"/>
          <w:szCs w:val="16"/>
        </w:rPr>
        <w:t xml:space="preserve"> </w:t>
      </w:r>
      <w:r>
        <w:t xml:space="preserve">Programa de las Naciones Unidas para el Desarrollo. (2024). </w:t>
      </w:r>
      <w:r>
        <w:rPr>
          <w:i/>
          <w:iCs/>
        </w:rPr>
        <w:t>Informe sobre desarrollo humano 2023-2024. Salir del estancamiento</w:t>
      </w:r>
      <w:r>
        <w:t xml:space="preserve">. PNUD. </w:t>
      </w:r>
      <w:r w:rsidRPr="00900DD5">
        <w:t>https://hdr.undp.org/system/files/documents/global-report-document/hdr2023-24overviewsp.pdf</w:t>
      </w:r>
    </w:p>
  </w:footnote>
  <w:footnote w:id="5">
    <w:p w14:paraId="11B04F9D" w14:textId="77777777" w:rsidR="006B5CD3" w:rsidRDefault="006B5CD3" w:rsidP="006B5CD3">
      <w:pPr>
        <w:autoSpaceDE w:val="0"/>
        <w:autoSpaceDN w:val="0"/>
        <w:adjustRightInd w:val="0"/>
        <w:spacing w:after="0" w:line="240" w:lineRule="auto"/>
        <w:jc w:val="left"/>
      </w:pPr>
      <w:r w:rsidRPr="00E6172A">
        <w:rPr>
          <w:rStyle w:val="Refdenotaalpie"/>
          <w:sz w:val="20"/>
          <w:szCs w:val="18"/>
        </w:rPr>
        <w:footnoteRef/>
      </w:r>
      <w:r w:rsidRPr="00E6172A">
        <w:rPr>
          <w:sz w:val="20"/>
          <w:szCs w:val="18"/>
        </w:rPr>
        <w:t xml:space="preserve"> </w:t>
      </w:r>
      <w:r w:rsidRPr="00E6172A">
        <w:rPr>
          <w:sz w:val="20"/>
          <w:szCs w:val="20"/>
        </w:rPr>
        <w:t xml:space="preserve">Asamblea General de las Naciones Unidas. (20 de septiembre de 2024). </w:t>
      </w:r>
      <w:r>
        <w:rPr>
          <w:sz w:val="20"/>
          <w:szCs w:val="20"/>
        </w:rPr>
        <w:t xml:space="preserve">Proyecto de </w:t>
      </w:r>
      <w:r w:rsidRPr="00E6172A">
        <w:rPr>
          <w:sz w:val="20"/>
          <w:szCs w:val="20"/>
        </w:rPr>
        <w:t>Resolución A/79/L</w:t>
      </w:r>
      <w:r>
        <w:rPr>
          <w:sz w:val="20"/>
          <w:szCs w:val="20"/>
        </w:rPr>
        <w:t>.</w:t>
      </w:r>
      <w:r w:rsidRPr="00E6172A">
        <w:rPr>
          <w:sz w:val="20"/>
          <w:szCs w:val="20"/>
        </w:rPr>
        <w:t>2. El Pacto para el Futuro. https://documents.un.org/doc/undoc/ltd/n24/252/92/pdf/n2425292.pdf</w:t>
      </w:r>
    </w:p>
  </w:footnote>
  <w:footnote w:id="6">
    <w:p w14:paraId="33EAE2A6" w14:textId="77777777" w:rsidR="006B5CD3" w:rsidRDefault="006B5CD3" w:rsidP="006B5CD3">
      <w:pPr>
        <w:spacing w:after="0" w:line="240" w:lineRule="auto"/>
        <w:jc w:val="left"/>
      </w:pPr>
      <w:r w:rsidRPr="00897A1A">
        <w:rPr>
          <w:rStyle w:val="Refdenotaalpie"/>
          <w:sz w:val="20"/>
          <w:szCs w:val="20"/>
        </w:rPr>
        <w:footnoteRef/>
      </w:r>
      <w:r w:rsidRPr="00897A1A">
        <w:rPr>
          <w:rStyle w:val="Refdenotaalpie"/>
          <w:sz w:val="20"/>
          <w:szCs w:val="20"/>
        </w:rPr>
        <w:t xml:space="preserve"> </w:t>
      </w:r>
      <w:r w:rsidRPr="00897A1A">
        <w:rPr>
          <w:sz w:val="20"/>
          <w:szCs w:val="20"/>
        </w:rPr>
        <w:t xml:space="preserve">Banco Mundial. </w:t>
      </w:r>
      <w:r w:rsidRPr="00B805A2">
        <w:rPr>
          <w:sz w:val="20"/>
          <w:szCs w:val="20"/>
        </w:rPr>
        <w:t>México: panorama general</w:t>
      </w:r>
      <w:r w:rsidRPr="00897A1A">
        <w:rPr>
          <w:sz w:val="20"/>
          <w:szCs w:val="20"/>
        </w:rPr>
        <w:t>. (9 de octubre de 2024).</w:t>
      </w:r>
      <w:r>
        <w:rPr>
          <w:sz w:val="20"/>
          <w:szCs w:val="20"/>
        </w:rPr>
        <w:t xml:space="preserve"> </w:t>
      </w:r>
      <w:r w:rsidRPr="00897A1A">
        <w:rPr>
          <w:sz w:val="20"/>
          <w:szCs w:val="20"/>
        </w:rPr>
        <w:t>https://www.bancomundial.org/es/country/mexico/overview</w:t>
      </w:r>
    </w:p>
  </w:footnote>
  <w:footnote w:id="7">
    <w:p w14:paraId="5505BF03" w14:textId="77777777" w:rsidR="006B5CD3" w:rsidRDefault="006B5CD3" w:rsidP="006B5CD3">
      <w:pPr>
        <w:pStyle w:val="Textonotapie"/>
      </w:pPr>
      <w:r>
        <w:rPr>
          <w:rStyle w:val="Refdenotaalpie"/>
        </w:rPr>
        <w:footnoteRef/>
      </w:r>
      <w:r>
        <w:t xml:space="preserve"> México, ¿Cómo vamos? (30 de octubre 2024). Crecimiento nacional y estatal de la economía mexicana. </w:t>
      </w:r>
      <w:r w:rsidRPr="00617FCD">
        <w:t>https://mexicocomovamos.mx/publicaciones/2021/08/crecimiento-nacional-y-estatal-de-la-economia-mexicana/</w:t>
      </w:r>
      <w:r>
        <w:t xml:space="preserve"> </w:t>
      </w:r>
    </w:p>
  </w:footnote>
  <w:footnote w:id="8">
    <w:p w14:paraId="587DC595" w14:textId="77777777" w:rsidR="006B5CD3" w:rsidRDefault="006B5CD3" w:rsidP="006B5CD3">
      <w:pPr>
        <w:pStyle w:val="Textonotapie"/>
      </w:pPr>
      <w:r>
        <w:rPr>
          <w:rStyle w:val="Refdenotaalpie"/>
        </w:rPr>
        <w:footnoteRef/>
      </w:r>
      <w:r>
        <w:t xml:space="preserve"> </w:t>
      </w:r>
      <w:r w:rsidRPr="00897A1A">
        <w:t xml:space="preserve">Banco Mundial. </w:t>
      </w:r>
      <w:r w:rsidRPr="00B805A2">
        <w:t>México: panorama general</w:t>
      </w:r>
      <w:r w:rsidRPr="00897A1A">
        <w:t>. (9 de octubre de 2024).</w:t>
      </w:r>
      <w:r>
        <w:t xml:space="preserve"> </w:t>
      </w:r>
      <w:r w:rsidRPr="00897A1A">
        <w:t>https://www.bancomundial.org/es/country/mexico/overview</w:t>
      </w:r>
    </w:p>
  </w:footnote>
  <w:footnote w:id="9">
    <w:p w14:paraId="6C11C9C1" w14:textId="77777777" w:rsidR="006B5CD3" w:rsidRDefault="006B5CD3" w:rsidP="006B5CD3">
      <w:pPr>
        <w:spacing w:after="0" w:line="240" w:lineRule="auto"/>
        <w:jc w:val="left"/>
      </w:pPr>
      <w:r w:rsidRPr="00CE5A68">
        <w:rPr>
          <w:rStyle w:val="Refdenotaalpie"/>
          <w:sz w:val="20"/>
          <w:szCs w:val="18"/>
        </w:rPr>
        <w:footnoteRef/>
      </w:r>
      <w:r w:rsidRPr="00CE5A68">
        <w:rPr>
          <w:sz w:val="20"/>
          <w:szCs w:val="18"/>
        </w:rPr>
        <w:t xml:space="preserve"> </w:t>
      </w:r>
      <w:r w:rsidRPr="00CE5A68">
        <w:rPr>
          <w:sz w:val="20"/>
          <w:szCs w:val="20"/>
        </w:rPr>
        <w:t>Secretaría de Hacienda y Crédito Público. (2024). Documento relativo al cumplimiento de las disposiciones contenidas en el Artículo 42, fracción I, de la Ley Federal de Presupuesto y Responsabilidad Hacendaria. Pre-Criterios 2025. https://www.finanzaspublicas.hacienda.gob.mx/work/models/Finanzas_Publicas/docs/paquete_economico/precgpe/precgpe_2025.PDF</w:t>
      </w:r>
    </w:p>
  </w:footnote>
  <w:footnote w:id="10">
    <w:p w14:paraId="0175EF26" w14:textId="77777777" w:rsidR="006B5CD3" w:rsidRDefault="006B5CD3" w:rsidP="006B5CD3">
      <w:pPr>
        <w:pStyle w:val="Textonotapie"/>
      </w:pPr>
      <w:r>
        <w:rPr>
          <w:rStyle w:val="Refdenotaalpie"/>
        </w:rPr>
        <w:footnoteRef/>
      </w:r>
      <w:r>
        <w:t xml:space="preserve"> Programa de las Naciones Unidas para el Desarrollo. (2024). </w:t>
      </w:r>
      <w:r>
        <w:rPr>
          <w:i/>
          <w:iCs/>
        </w:rPr>
        <w:t>Informe sobre desarrollo humano 2023-2024. Salir del estancamiento</w:t>
      </w:r>
      <w:r>
        <w:t xml:space="preserve">. PNUD. </w:t>
      </w:r>
      <w:r w:rsidRPr="00900DD5">
        <w:t>https://hdr.undp.org/system/files/documents/global-report-document/hdr2023-24overviewsp.pdf</w:t>
      </w:r>
    </w:p>
  </w:footnote>
  <w:footnote w:id="11">
    <w:p w14:paraId="24642600" w14:textId="77777777" w:rsidR="006B5CD3" w:rsidRDefault="006B5CD3" w:rsidP="006B5CD3">
      <w:pPr>
        <w:spacing w:after="0" w:line="240" w:lineRule="auto"/>
        <w:jc w:val="left"/>
      </w:pPr>
      <w:r w:rsidRPr="000D1355">
        <w:rPr>
          <w:rStyle w:val="Refdenotaalpie"/>
          <w:sz w:val="20"/>
          <w:szCs w:val="18"/>
        </w:rPr>
        <w:footnoteRef/>
      </w:r>
      <w:r w:rsidRPr="000D1355">
        <w:rPr>
          <w:sz w:val="20"/>
          <w:szCs w:val="18"/>
        </w:rPr>
        <w:t xml:space="preserve"> </w:t>
      </w:r>
      <w:r w:rsidRPr="008878CD">
        <w:rPr>
          <w:sz w:val="20"/>
          <w:szCs w:val="20"/>
        </w:rPr>
        <w:t xml:space="preserve">Iniciativa </w:t>
      </w:r>
      <w:r>
        <w:rPr>
          <w:sz w:val="20"/>
          <w:szCs w:val="20"/>
        </w:rPr>
        <w:t>d</w:t>
      </w:r>
      <w:r w:rsidRPr="008878CD">
        <w:rPr>
          <w:sz w:val="20"/>
          <w:szCs w:val="20"/>
        </w:rPr>
        <w:t xml:space="preserve">e Ley </w:t>
      </w:r>
      <w:r>
        <w:rPr>
          <w:sz w:val="20"/>
          <w:szCs w:val="20"/>
        </w:rPr>
        <w:t>d</w:t>
      </w:r>
      <w:r w:rsidRPr="008878CD">
        <w:rPr>
          <w:sz w:val="20"/>
          <w:szCs w:val="20"/>
        </w:rPr>
        <w:t xml:space="preserve">e Ingresos </w:t>
      </w:r>
      <w:r>
        <w:rPr>
          <w:sz w:val="20"/>
          <w:szCs w:val="20"/>
        </w:rPr>
        <w:t>y</w:t>
      </w:r>
      <w:r w:rsidRPr="008878CD">
        <w:rPr>
          <w:sz w:val="20"/>
          <w:szCs w:val="20"/>
        </w:rPr>
        <w:t xml:space="preserve"> Presupuesto </w:t>
      </w:r>
      <w:r>
        <w:rPr>
          <w:sz w:val="20"/>
          <w:szCs w:val="20"/>
        </w:rPr>
        <w:t>d</w:t>
      </w:r>
      <w:r w:rsidRPr="008878CD">
        <w:rPr>
          <w:sz w:val="20"/>
          <w:szCs w:val="20"/>
        </w:rPr>
        <w:t xml:space="preserve">e Ingresos </w:t>
      </w:r>
      <w:r>
        <w:rPr>
          <w:sz w:val="20"/>
          <w:szCs w:val="20"/>
        </w:rPr>
        <w:t>d</w:t>
      </w:r>
      <w:r w:rsidRPr="008878CD">
        <w:rPr>
          <w:sz w:val="20"/>
          <w:szCs w:val="20"/>
        </w:rPr>
        <w:t xml:space="preserve">el Estado </w:t>
      </w:r>
      <w:r>
        <w:rPr>
          <w:sz w:val="20"/>
          <w:szCs w:val="20"/>
        </w:rPr>
        <w:t>d</w:t>
      </w:r>
      <w:r w:rsidRPr="008878CD">
        <w:rPr>
          <w:sz w:val="20"/>
          <w:szCs w:val="20"/>
        </w:rPr>
        <w:t xml:space="preserve">e Sonora para el Ejercicio Fiscal </w:t>
      </w:r>
      <w:r>
        <w:rPr>
          <w:sz w:val="20"/>
          <w:szCs w:val="20"/>
        </w:rPr>
        <w:t>d</w:t>
      </w:r>
      <w:r w:rsidRPr="008878CD">
        <w:rPr>
          <w:sz w:val="20"/>
          <w:szCs w:val="20"/>
        </w:rPr>
        <w:t xml:space="preserve">el </w:t>
      </w:r>
      <w:r>
        <w:rPr>
          <w:sz w:val="20"/>
          <w:szCs w:val="20"/>
        </w:rPr>
        <w:t>a</w:t>
      </w:r>
      <w:r w:rsidRPr="008878CD">
        <w:rPr>
          <w:sz w:val="20"/>
          <w:szCs w:val="20"/>
        </w:rPr>
        <w:t>ño 2024</w:t>
      </w:r>
      <w:r>
        <w:rPr>
          <w:sz w:val="20"/>
          <w:szCs w:val="20"/>
        </w:rPr>
        <w:t xml:space="preserve">. Parte expositiva. Contexto y perspectiva económica. Contexto local. Publicada en </w:t>
      </w:r>
      <w:r w:rsidRPr="008878CD">
        <w:rPr>
          <w:i/>
          <w:iCs/>
          <w:sz w:val="20"/>
          <w:szCs w:val="20"/>
        </w:rPr>
        <w:t>La Gaceta Parlamentaria</w:t>
      </w:r>
      <w:r>
        <w:rPr>
          <w:sz w:val="20"/>
          <w:szCs w:val="20"/>
        </w:rPr>
        <w:t xml:space="preserve"> núm. 1777. (12 de d</w:t>
      </w:r>
      <w:r w:rsidRPr="008878CD">
        <w:rPr>
          <w:sz w:val="20"/>
          <w:szCs w:val="20"/>
        </w:rPr>
        <w:t xml:space="preserve">iciembre </w:t>
      </w:r>
      <w:r>
        <w:rPr>
          <w:sz w:val="20"/>
          <w:szCs w:val="20"/>
        </w:rPr>
        <w:t>de</w:t>
      </w:r>
      <w:r w:rsidRPr="008878CD">
        <w:rPr>
          <w:sz w:val="20"/>
          <w:szCs w:val="20"/>
        </w:rPr>
        <w:t xml:space="preserve"> 2023</w:t>
      </w:r>
      <w:r>
        <w:rPr>
          <w:sz w:val="20"/>
          <w:szCs w:val="20"/>
        </w:rPr>
        <w:t>)</w:t>
      </w:r>
      <w:r w:rsidRPr="008878CD">
        <w:rPr>
          <w:sz w:val="20"/>
          <w:szCs w:val="20"/>
        </w:rPr>
        <w:t>. https://congresoson.gob.mx/gaceta/?id=3f544a54-4751-4095-aea0-a382f19739d4&amp;l=460dff6b-6fe6-4ea0-9871-10a6f49e8950</w:t>
      </w:r>
    </w:p>
  </w:footnote>
  <w:footnote w:id="12">
    <w:p w14:paraId="31129363" w14:textId="77777777" w:rsidR="006B5CD3" w:rsidRPr="0055593D" w:rsidRDefault="006B5CD3" w:rsidP="006B5CD3">
      <w:pPr>
        <w:pStyle w:val="Default"/>
        <w:jc w:val="left"/>
        <w:rPr>
          <w:rFonts w:ascii="Calibri" w:hAnsi="Calibri" w:cstheme="minorBidi"/>
          <w:color w:val="auto"/>
          <w:sz w:val="20"/>
          <w:szCs w:val="20"/>
        </w:rPr>
      </w:pPr>
      <w:r w:rsidRPr="0055593D">
        <w:rPr>
          <w:rStyle w:val="Refdenotaalpie"/>
          <w:rFonts w:ascii="Calibri" w:hAnsi="Calibri" w:cstheme="minorBidi"/>
          <w:color w:val="auto"/>
          <w:sz w:val="20"/>
          <w:szCs w:val="18"/>
        </w:rPr>
        <w:footnoteRef/>
      </w:r>
      <w:r w:rsidRPr="0055593D">
        <w:rPr>
          <w:rStyle w:val="Refdenotaalpie"/>
          <w:rFonts w:ascii="Calibri" w:hAnsi="Calibri" w:cstheme="minorBidi"/>
          <w:color w:val="auto"/>
          <w:sz w:val="20"/>
          <w:szCs w:val="18"/>
        </w:rPr>
        <w:t xml:space="preserve"> </w:t>
      </w:r>
      <w:r w:rsidRPr="0055593D">
        <w:rPr>
          <w:rFonts w:ascii="Calibri" w:hAnsi="Calibri" w:cstheme="minorBidi"/>
          <w:color w:val="auto"/>
          <w:sz w:val="20"/>
          <w:szCs w:val="20"/>
        </w:rPr>
        <w:t xml:space="preserve">México, ¿Cómo Vamos? </w:t>
      </w:r>
      <w:r>
        <w:rPr>
          <w:rFonts w:ascii="Calibri" w:hAnsi="Calibri" w:cstheme="minorBidi"/>
          <w:color w:val="auto"/>
          <w:sz w:val="20"/>
          <w:szCs w:val="20"/>
        </w:rPr>
        <w:t xml:space="preserve">(30 de octubre de 2024). </w:t>
      </w:r>
      <w:r w:rsidRPr="0055593D">
        <w:rPr>
          <w:rFonts w:ascii="Calibri" w:hAnsi="Calibri" w:cstheme="minorBidi"/>
          <w:color w:val="auto"/>
          <w:sz w:val="20"/>
          <w:szCs w:val="20"/>
        </w:rPr>
        <w:t>Crecimiento nacional y estatal de la economía mexicana</w:t>
      </w:r>
      <w:r>
        <w:rPr>
          <w:rFonts w:ascii="Calibri" w:hAnsi="Calibri" w:cstheme="minorBidi"/>
          <w:color w:val="auto"/>
          <w:sz w:val="20"/>
          <w:szCs w:val="20"/>
        </w:rPr>
        <w:t>. Crecimiento económico estatal al 2º trimestre de 2024.</w:t>
      </w:r>
    </w:p>
    <w:p w14:paraId="30AD0396" w14:textId="77777777" w:rsidR="006B5CD3" w:rsidRPr="0055593D" w:rsidRDefault="006B5CD3" w:rsidP="006B5CD3">
      <w:pPr>
        <w:spacing w:after="0" w:line="240" w:lineRule="auto"/>
        <w:jc w:val="left"/>
        <w:rPr>
          <w:sz w:val="20"/>
          <w:szCs w:val="20"/>
        </w:rPr>
      </w:pPr>
      <w:r w:rsidRPr="0055593D">
        <w:rPr>
          <w:sz w:val="20"/>
          <w:szCs w:val="20"/>
        </w:rPr>
        <w:t>https://mexicocomovamos.mx/publicaciones/2021/08/crecimiento-nacional-y-estatal-de-la-economia-mexicana/</w:t>
      </w:r>
    </w:p>
  </w:footnote>
  <w:footnote w:id="13">
    <w:p w14:paraId="786F5FAD" w14:textId="77777777" w:rsidR="006B5CD3" w:rsidRPr="0055593D" w:rsidRDefault="006B5CD3" w:rsidP="006B5CD3">
      <w:pPr>
        <w:pStyle w:val="Default"/>
        <w:jc w:val="left"/>
        <w:rPr>
          <w:rFonts w:ascii="Calibri" w:hAnsi="Calibri" w:cstheme="minorBidi"/>
          <w:color w:val="auto"/>
          <w:sz w:val="20"/>
          <w:szCs w:val="20"/>
        </w:rPr>
      </w:pPr>
      <w:r w:rsidRPr="00B57A7D">
        <w:rPr>
          <w:rStyle w:val="Refdenotaalpie"/>
          <w:rFonts w:asciiTheme="minorHAnsi" w:hAnsiTheme="minorHAnsi" w:cstheme="minorHAnsi"/>
          <w:sz w:val="20"/>
          <w:szCs w:val="20"/>
        </w:rPr>
        <w:footnoteRef/>
      </w:r>
      <w:r w:rsidRPr="00B57A7D">
        <w:rPr>
          <w:rFonts w:asciiTheme="minorHAnsi" w:hAnsiTheme="minorHAnsi" w:cstheme="minorHAnsi"/>
          <w:sz w:val="20"/>
          <w:szCs w:val="20"/>
        </w:rPr>
        <w:t xml:space="preserve"> </w:t>
      </w:r>
      <w:r w:rsidRPr="0055593D">
        <w:rPr>
          <w:rFonts w:ascii="Calibri" w:hAnsi="Calibri" w:cstheme="minorBidi"/>
          <w:color w:val="auto"/>
          <w:sz w:val="20"/>
          <w:szCs w:val="20"/>
        </w:rPr>
        <w:t xml:space="preserve">México, ¿Cómo Vamos? </w:t>
      </w:r>
      <w:r>
        <w:rPr>
          <w:rFonts w:ascii="Calibri" w:hAnsi="Calibri" w:cstheme="minorBidi"/>
          <w:color w:val="auto"/>
          <w:sz w:val="20"/>
          <w:szCs w:val="20"/>
        </w:rPr>
        <w:t xml:space="preserve">(30 de octubre de 2024). </w:t>
      </w:r>
      <w:r w:rsidRPr="0055593D">
        <w:rPr>
          <w:rFonts w:ascii="Calibri" w:hAnsi="Calibri" w:cstheme="minorBidi"/>
          <w:color w:val="auto"/>
          <w:sz w:val="20"/>
          <w:szCs w:val="20"/>
        </w:rPr>
        <w:t>Crecimiento nacional y estatal de la economía mexicana</w:t>
      </w:r>
      <w:r>
        <w:rPr>
          <w:rFonts w:ascii="Calibri" w:hAnsi="Calibri" w:cstheme="minorBidi"/>
          <w:color w:val="auto"/>
          <w:sz w:val="20"/>
          <w:szCs w:val="20"/>
        </w:rPr>
        <w:t>. Crecimiento económico estatal. Promedio de los últimos 5 años.</w:t>
      </w:r>
    </w:p>
    <w:p w14:paraId="63B671A9" w14:textId="77777777" w:rsidR="006B5CD3" w:rsidRPr="00DD2930" w:rsidRDefault="006B5CD3" w:rsidP="006B5CD3">
      <w:pPr>
        <w:pStyle w:val="Textonotapie"/>
      </w:pPr>
      <w:r w:rsidRPr="0055593D">
        <w:t>https://mexicocomovamos.mx/publicaciones/2021/08/crecimiento-nacional-y-estatal-de-la-economia-mexicana/</w:t>
      </w:r>
    </w:p>
  </w:footnote>
  <w:footnote w:id="14">
    <w:p w14:paraId="693341B9" w14:textId="77777777" w:rsidR="006B5CD3" w:rsidRDefault="006B5CD3" w:rsidP="006B5CD3">
      <w:pPr>
        <w:pStyle w:val="Textonotapie"/>
      </w:pPr>
      <w:r>
        <w:rPr>
          <w:rStyle w:val="Refdenotaalpie"/>
        </w:rPr>
        <w:footnoteRef/>
      </w:r>
      <w:r>
        <w:t xml:space="preserve"> Secretaría de Economía. Data México. </w:t>
      </w:r>
      <w:r w:rsidRPr="00AC4F83">
        <w:rPr>
          <w:i/>
          <w:iCs/>
        </w:rPr>
        <w:t>Sonora</w:t>
      </w:r>
      <w:r>
        <w:t xml:space="preserve">. </w:t>
      </w:r>
      <w:r w:rsidRPr="00AC4F83">
        <w:t>https://www.economia.gob.mx/datamexico/es/profile/geo/sonora-so</w:t>
      </w:r>
    </w:p>
  </w:footnote>
  <w:footnote w:id="15">
    <w:p w14:paraId="6E6D5489" w14:textId="77777777" w:rsidR="006B5CD3" w:rsidRPr="006B5CD3" w:rsidRDefault="006B5CD3" w:rsidP="006B5CD3">
      <w:pPr>
        <w:pStyle w:val="Sinespaciado"/>
        <w:rPr>
          <w:lang w:val="es-MX"/>
        </w:rPr>
      </w:pPr>
      <w:r w:rsidRPr="008D7880">
        <w:rPr>
          <w:rStyle w:val="Refdenotaalpie"/>
          <w:rFonts w:ascii="Calibri" w:hAnsi="Calibri"/>
          <w:sz w:val="20"/>
          <w:szCs w:val="20"/>
        </w:rPr>
        <w:footnoteRef/>
      </w:r>
      <w:r w:rsidRPr="006B5CD3">
        <w:rPr>
          <w:rStyle w:val="Refdenotaalpie"/>
          <w:rFonts w:ascii="Calibri" w:hAnsi="Calibri"/>
          <w:sz w:val="20"/>
          <w:szCs w:val="20"/>
          <w:lang w:val="es-MX"/>
        </w:rPr>
        <w:t xml:space="preserve"> </w:t>
      </w:r>
      <w:r w:rsidRPr="006B5CD3">
        <w:rPr>
          <w:rFonts w:ascii="Calibri" w:hAnsi="Calibri"/>
          <w:sz w:val="20"/>
          <w:szCs w:val="20"/>
          <w:lang w:val="es-MX"/>
        </w:rPr>
        <w:t xml:space="preserve">Gobernador Durazo posiciona a Sonora como estado líder en exportación con crecimiento de 39.7 por ciento. </w:t>
      </w:r>
      <w:r w:rsidRPr="006B5CD3">
        <w:rPr>
          <w:rFonts w:ascii="Calibri" w:hAnsi="Calibri"/>
          <w:i/>
          <w:iCs/>
          <w:sz w:val="20"/>
          <w:szCs w:val="20"/>
          <w:lang w:val="es-MX"/>
        </w:rPr>
        <w:t>Milenio</w:t>
      </w:r>
      <w:r w:rsidRPr="006B5CD3">
        <w:rPr>
          <w:rFonts w:ascii="Calibri" w:hAnsi="Calibri"/>
          <w:sz w:val="20"/>
          <w:szCs w:val="20"/>
          <w:lang w:val="es-MX"/>
        </w:rPr>
        <w:t>. (1 de octubre de 2024). https://www.milenio.com/estados/durazo-posiciona-a-sonora-como-estado-lider-en-exportacion</w:t>
      </w:r>
    </w:p>
  </w:footnote>
  <w:footnote w:id="16">
    <w:p w14:paraId="7350EF0C" w14:textId="77777777" w:rsidR="006B5CD3" w:rsidRDefault="006B5CD3" w:rsidP="006B5CD3">
      <w:pPr>
        <w:pStyle w:val="Textonotapie"/>
      </w:pPr>
      <w:r>
        <w:rPr>
          <w:rStyle w:val="Refdenotaalpie"/>
        </w:rPr>
        <w:footnoteRef/>
      </w:r>
      <w:r>
        <w:t xml:space="preserve"> Ordaz, David. “Plan Sonora de Energías Sostenibles” va por 40% de la energía en México. </w:t>
      </w:r>
      <w:r w:rsidRPr="00F12296">
        <w:rPr>
          <w:i/>
          <w:iCs/>
        </w:rPr>
        <w:t>Aristegui Noticias</w:t>
      </w:r>
      <w:r>
        <w:t xml:space="preserve">. (28 de noviembre de 2023). </w:t>
      </w:r>
      <w:r w:rsidRPr="00F12296">
        <w:t>https://aristeguinoticias.com/2811/opinion/plan-sonora-de-energias-sostenibles-va-por-40-de-la-energia-en-mexico-articulo/</w:t>
      </w:r>
    </w:p>
  </w:footnote>
  <w:footnote w:id="17">
    <w:p w14:paraId="02EF9321" w14:textId="77777777" w:rsidR="006B5CD3" w:rsidRPr="00F12296" w:rsidRDefault="006B5CD3" w:rsidP="006B5CD3">
      <w:pPr>
        <w:pStyle w:val="Textonotapie"/>
      </w:pPr>
      <w:r>
        <w:rPr>
          <w:rStyle w:val="Refdenotaalpie"/>
        </w:rPr>
        <w:footnoteRef/>
      </w:r>
      <w:r>
        <w:t xml:space="preserve"> López, Eduardo. Sonora en la mira del “nearshoring”. </w:t>
      </w:r>
      <w:r>
        <w:rPr>
          <w:i/>
          <w:iCs/>
        </w:rPr>
        <w:t>El Imparcial</w:t>
      </w:r>
      <w:r>
        <w:t xml:space="preserve">. (2 de noviembre de 2024). </w:t>
      </w:r>
      <w:r w:rsidRPr="00F12296">
        <w:t>https://www.elimparcial.com/son/sonora/2024/11/02/sonora-en-la-mira-del-nearshoring/</w:t>
      </w:r>
    </w:p>
  </w:footnote>
  <w:footnote w:id="18">
    <w:p w14:paraId="3BEBFE87" w14:textId="77777777" w:rsidR="006B5CD3" w:rsidRPr="008B130E" w:rsidRDefault="006B5CD3" w:rsidP="006B5CD3">
      <w:pPr>
        <w:pStyle w:val="Textonotapie"/>
      </w:pPr>
      <w:r>
        <w:rPr>
          <w:rStyle w:val="Refdenotaalpie"/>
        </w:rPr>
        <w:footnoteRef/>
      </w:r>
      <w:r>
        <w:t xml:space="preserve"> Usla, Héctor. Gas natural licuado: México se prepara para ser cuarta potencia mundial. </w:t>
      </w:r>
      <w:r>
        <w:rPr>
          <w:i/>
          <w:iCs/>
        </w:rPr>
        <w:t>El Financiero</w:t>
      </w:r>
      <w:r>
        <w:t xml:space="preserve">. (3 de enero de 2024). </w:t>
      </w:r>
      <w:r w:rsidRPr="008B130E">
        <w:t>https://www.elfinanciero.com.mx/economia/2024/01/03/gas-natural-licuado-mexico-se-prepara-para-ser-cuarta-potencia-mundial/</w:t>
      </w:r>
    </w:p>
  </w:footnote>
  <w:footnote w:id="19">
    <w:p w14:paraId="67905AF5" w14:textId="77777777" w:rsidR="006B5CD3" w:rsidRPr="00545154" w:rsidRDefault="006B5CD3" w:rsidP="006B5CD3">
      <w:pPr>
        <w:pStyle w:val="Textonotapie"/>
        <w:ind w:hanging="5"/>
      </w:pPr>
      <w:r>
        <w:rPr>
          <w:rStyle w:val="Refdenotaalpie"/>
        </w:rPr>
        <w:footnoteRef/>
      </w:r>
      <w:r>
        <w:t xml:space="preserve"> Fernández, Arturo. El nearshoring y Hermosillo. </w:t>
      </w:r>
      <w:r>
        <w:rPr>
          <w:i/>
          <w:iCs/>
        </w:rPr>
        <w:t>Hermosillo ¿Cómo vamos?</w:t>
      </w:r>
      <w:r>
        <w:t xml:space="preserve"> (9 de noviembre de 2023). </w:t>
      </w:r>
      <w:r w:rsidRPr="00545154">
        <w:t>https://hermosillocomovamos.org/2023/11/09/el-nearshoring-y-hermosillo/</w:t>
      </w:r>
    </w:p>
  </w:footnote>
  <w:footnote w:id="20">
    <w:p w14:paraId="27FE58A6" w14:textId="77777777" w:rsidR="006B5CD3" w:rsidRDefault="006B5CD3" w:rsidP="006B5CD3">
      <w:pPr>
        <w:pStyle w:val="Textonotapie"/>
        <w:ind w:hanging="5"/>
      </w:pPr>
      <w:r>
        <w:rPr>
          <w:rStyle w:val="Refdenotaalpie"/>
        </w:rPr>
        <w:footnoteRef/>
      </w:r>
      <w:r>
        <w:t xml:space="preserve"> Instituto Nacional de Estadística y Geografía. Censos económicos 2019. Sonora. </w:t>
      </w:r>
      <w:r w:rsidRPr="00AD4830">
        <w:t>https://www.inegi.org.mx/contenidos/programas/ce/2019/doc/mson_ce19.pdf</w:t>
      </w:r>
    </w:p>
  </w:footnote>
  <w:footnote w:id="21">
    <w:p w14:paraId="639BA481" w14:textId="77777777" w:rsidR="006B5CD3" w:rsidRDefault="006B5CD3" w:rsidP="006B5CD3">
      <w:pPr>
        <w:pStyle w:val="Textonotapie"/>
      </w:pPr>
      <w:r>
        <w:rPr>
          <w:rStyle w:val="Refdenotaalpie"/>
        </w:rPr>
        <w:footnoteRef/>
      </w:r>
      <w:r>
        <w:t xml:space="preserve"> Instituto Mexicano para la Competitividad, A.C. (28 de noviembre de 2023). Índice de Competitividad Urbana 2023. </w:t>
      </w:r>
      <w:r w:rsidRPr="00E062BF">
        <w:t>https://imco.org.mx/indice-de-competitividad-urbana-2023</w:t>
      </w:r>
    </w:p>
  </w:footnote>
  <w:footnote w:id="22">
    <w:p w14:paraId="6502DEA6" w14:textId="77777777" w:rsidR="006B5CD3" w:rsidRDefault="006B5CD3" w:rsidP="006B5CD3">
      <w:pPr>
        <w:pStyle w:val="Textonotapie"/>
      </w:pPr>
      <w:r>
        <w:rPr>
          <w:rStyle w:val="Refdenotaalpie"/>
        </w:rPr>
        <w:footnoteRef/>
      </w:r>
      <w:r>
        <w:t xml:space="preserve"> Organización de las Naciones Unidas. (2017). </w:t>
      </w:r>
      <w:r w:rsidRPr="00162726">
        <w:rPr>
          <w:i/>
          <w:iCs/>
        </w:rPr>
        <w:t>Nueva Agenda Urbana</w:t>
      </w:r>
      <w:r>
        <w:t xml:space="preserve">. </w:t>
      </w:r>
      <w:r w:rsidRPr="00162726">
        <w:t>https://habitat3.org/wp-content/uploads/NUA-Spanish.pdf</w:t>
      </w:r>
    </w:p>
  </w:footnote>
  <w:footnote w:id="23">
    <w:p w14:paraId="3A2474D3" w14:textId="77777777" w:rsidR="006B5CD3" w:rsidRDefault="006B5CD3" w:rsidP="006B5CD3">
      <w:pPr>
        <w:pStyle w:val="Textonotapie"/>
      </w:pPr>
      <w:r>
        <w:rPr>
          <w:rStyle w:val="Refdenotaalpie"/>
        </w:rPr>
        <w:footnoteRef/>
      </w:r>
      <w:r>
        <w:t xml:space="preserve"> Organización de las Naciones Unidas. (2015). </w:t>
      </w:r>
      <w:r w:rsidRPr="00162726">
        <w:rPr>
          <w:i/>
          <w:iCs/>
        </w:rPr>
        <w:t>Objetivos de Desarrollo Sostenible</w:t>
      </w:r>
      <w:r>
        <w:t xml:space="preserve">. </w:t>
      </w:r>
      <w:r w:rsidRPr="00162726">
        <w:t>https://www.un.org/sustainabledevelopment/es/objetivos-de-desarrollo-sostenible/</w:t>
      </w:r>
    </w:p>
  </w:footnote>
  <w:footnote w:id="24">
    <w:p w14:paraId="4BD09CF4" w14:textId="77777777" w:rsidR="0070429C" w:rsidRPr="00D41D61" w:rsidRDefault="0070429C" w:rsidP="0070429C">
      <w:pPr>
        <w:pStyle w:val="Textonotapie"/>
      </w:pPr>
      <w:r>
        <w:rPr>
          <w:rStyle w:val="Refdenotaalpie"/>
        </w:rPr>
        <w:footnoteRef/>
      </w:r>
      <w:r>
        <w:t xml:space="preserve"> </w:t>
      </w:r>
      <w:r w:rsidRPr="00D41D61">
        <w:rPr>
          <w:rFonts w:cs="Arial"/>
          <w:sz w:val="18"/>
          <w:szCs w:val="18"/>
        </w:rPr>
        <w:t xml:space="preserve">Comisión Nacional de Vivienda. (2021). </w:t>
      </w:r>
      <w:r w:rsidRPr="00D41D61">
        <w:rPr>
          <w:rFonts w:cs="Arial"/>
          <w:i/>
          <w:iCs/>
          <w:sz w:val="18"/>
          <w:szCs w:val="18"/>
        </w:rPr>
        <w:t>Rezago Habitacional 2020. Encuesta Nacional de Ingreso y Gasto en Hogares</w:t>
      </w:r>
      <w:r w:rsidRPr="00D41D61">
        <w:rPr>
          <w:rFonts w:cs="Arial"/>
          <w:sz w:val="18"/>
          <w:szCs w:val="18"/>
        </w:rPr>
        <w:t>. https://siesco.conavi.gob.mx/doc/analisis/2021/Censo_Rezago_ENIGH_2020.pdf</w:t>
      </w:r>
    </w:p>
  </w:footnote>
  <w:footnote w:id="25">
    <w:p w14:paraId="1D2217D5" w14:textId="77777777" w:rsidR="0070429C" w:rsidRPr="00D41D61" w:rsidRDefault="0070429C" w:rsidP="0070429C">
      <w:pPr>
        <w:pStyle w:val="Textonotapie"/>
      </w:pPr>
      <w:r>
        <w:rPr>
          <w:rStyle w:val="Refdenotaalpie"/>
        </w:rPr>
        <w:footnoteRef/>
      </w:r>
      <w:r>
        <w:t xml:space="preserve"> </w:t>
      </w:r>
      <w:r w:rsidRPr="00D41D61">
        <w:rPr>
          <w:rFonts w:cs="Arial"/>
          <w:color w:val="000000"/>
          <w:sz w:val="18"/>
          <w:szCs w:val="18"/>
        </w:rPr>
        <w:t xml:space="preserve">Comisión Nacional de Vivienda. (2024). </w:t>
      </w:r>
      <w:r w:rsidRPr="00D41D61">
        <w:rPr>
          <w:rFonts w:cs="Arial"/>
          <w:i/>
          <w:iCs/>
          <w:color w:val="000000"/>
          <w:sz w:val="18"/>
          <w:szCs w:val="18"/>
        </w:rPr>
        <w:t>Perfil Municipal del Rezago Habitacional. Sonora. Censo de Población y Vivienda 2020</w:t>
      </w:r>
      <w:r w:rsidRPr="00D41D61">
        <w:rPr>
          <w:rFonts w:cs="Arial"/>
          <w:color w:val="000000"/>
          <w:sz w:val="18"/>
          <w:szCs w:val="18"/>
        </w:rPr>
        <w:t>. https://siesco.conavi.gob.mx/img/siesco/RezagoHabitacional/Infografias/Estatal/26.pdf</w:t>
      </w:r>
    </w:p>
  </w:footnote>
  <w:footnote w:id="26">
    <w:p w14:paraId="38C2F843" w14:textId="77777777" w:rsidR="00EC118C" w:rsidRDefault="00EC118C" w:rsidP="00EC118C">
      <w:pPr>
        <w:pStyle w:val="Textonotapie"/>
      </w:pPr>
      <w:r w:rsidRPr="000635AB">
        <w:rPr>
          <w:rStyle w:val="Refdenotaalpie"/>
          <w:rFonts w:cs="Arial"/>
          <w:sz w:val="18"/>
          <w:szCs w:val="18"/>
        </w:rPr>
        <w:footnoteRef/>
      </w:r>
      <w:r w:rsidRPr="000635AB">
        <w:rPr>
          <w:rFonts w:cs="Arial"/>
          <w:sz w:val="18"/>
          <w:szCs w:val="18"/>
        </w:rPr>
        <w:t xml:space="preserve"> Instituto Nacional de Estadística y Geografía. (2021). </w:t>
      </w:r>
      <w:r w:rsidRPr="000635AB">
        <w:rPr>
          <w:rFonts w:cs="Arial"/>
          <w:i/>
          <w:iCs/>
          <w:sz w:val="18"/>
          <w:szCs w:val="18"/>
        </w:rPr>
        <w:t>Panorama sociodemográfico de Sonora. Censo de Población y Vivienda 2020</w:t>
      </w:r>
      <w:r>
        <w:rPr>
          <w:rFonts w:cs="Arial"/>
          <w:i/>
          <w:iCs/>
          <w:sz w:val="18"/>
          <w:szCs w:val="18"/>
        </w:rPr>
        <w:t>-2021</w:t>
      </w:r>
      <w:r w:rsidRPr="000635AB">
        <w:rPr>
          <w:rFonts w:cs="Arial"/>
          <w:sz w:val="18"/>
          <w:szCs w:val="18"/>
        </w:rPr>
        <w:t xml:space="preserve">. </w:t>
      </w:r>
      <w:r w:rsidRPr="000635AB">
        <w:rPr>
          <w:rFonts w:cs="Arial"/>
          <w:i/>
          <w:iCs/>
          <w:sz w:val="18"/>
          <w:szCs w:val="18"/>
        </w:rPr>
        <w:t>Hermosillo</w:t>
      </w:r>
      <w:r w:rsidRPr="000635AB">
        <w:rPr>
          <w:rFonts w:cs="Arial"/>
          <w:sz w:val="18"/>
          <w:szCs w:val="18"/>
        </w:rPr>
        <w:t>. https://www.inegi.org.mx/contenidos/productos/prod_serv/contenidos/espanol/bvinegi/productos/nueva_estruc/702825197995.pdf</w:t>
      </w:r>
    </w:p>
  </w:footnote>
  <w:footnote w:id="27">
    <w:p w14:paraId="2ABAE1E1" w14:textId="77777777" w:rsidR="00EC118C" w:rsidRPr="000635AB" w:rsidRDefault="00EC118C" w:rsidP="00EC118C">
      <w:pPr>
        <w:pStyle w:val="Textonotapie"/>
        <w:rPr>
          <w:rFonts w:cs="Arial"/>
        </w:rPr>
      </w:pPr>
      <w:r w:rsidRPr="000635AB">
        <w:rPr>
          <w:rStyle w:val="Refdenotaalpie"/>
          <w:rFonts w:cs="Arial"/>
          <w:sz w:val="18"/>
          <w:szCs w:val="18"/>
        </w:rPr>
        <w:footnoteRef/>
      </w:r>
      <w:r w:rsidRPr="000635AB">
        <w:rPr>
          <w:rFonts w:cs="Arial"/>
          <w:sz w:val="18"/>
          <w:szCs w:val="18"/>
        </w:rPr>
        <w:t xml:space="preserve"> Ayuntamiento de Hermosillo-</w:t>
      </w:r>
      <w:r>
        <w:rPr>
          <w:rFonts w:cs="Arial"/>
          <w:sz w:val="18"/>
          <w:szCs w:val="18"/>
        </w:rPr>
        <w:t>Banco Interamericano de Desarrollo</w:t>
      </w:r>
      <w:r w:rsidRPr="000635AB">
        <w:rPr>
          <w:rFonts w:cs="Arial"/>
          <w:sz w:val="18"/>
          <w:szCs w:val="18"/>
        </w:rPr>
        <w:t>-</w:t>
      </w:r>
      <w:r>
        <w:rPr>
          <w:rFonts w:cs="Arial"/>
          <w:sz w:val="18"/>
          <w:szCs w:val="18"/>
        </w:rPr>
        <w:t>Banco de Desarrollo de América del Norte</w:t>
      </w:r>
      <w:r w:rsidRPr="000635AB">
        <w:rPr>
          <w:rFonts w:cs="Arial"/>
          <w:sz w:val="18"/>
          <w:szCs w:val="18"/>
        </w:rPr>
        <w:t xml:space="preserve">. (2018). </w:t>
      </w:r>
      <w:r w:rsidRPr="000635AB">
        <w:rPr>
          <w:rFonts w:cs="Arial"/>
          <w:i/>
          <w:iCs/>
          <w:sz w:val="18"/>
          <w:szCs w:val="18"/>
        </w:rPr>
        <w:t>Hermosillo a Escala Humana. Ciudad diversificada, innovadora y sostenible</w:t>
      </w:r>
      <w:r w:rsidRPr="000635AB">
        <w:rPr>
          <w:rFonts w:cs="Arial"/>
          <w:sz w:val="18"/>
          <w:szCs w:val="18"/>
        </w:rPr>
        <w:t>. https://www.nadb.org/uploads/files/3_hermosillo_a_escala_humana_ciudad_diversificada_innovadora_y_sostenible_2018.pdf</w:t>
      </w:r>
    </w:p>
  </w:footnote>
  <w:footnote w:id="28">
    <w:p w14:paraId="5E784FC6" w14:textId="77777777" w:rsidR="00EC118C" w:rsidRDefault="00EC118C" w:rsidP="00EC118C">
      <w:pPr>
        <w:pStyle w:val="Textonotapie"/>
      </w:pPr>
      <w:r w:rsidRPr="000635AB">
        <w:rPr>
          <w:rStyle w:val="Refdenotaalpie"/>
          <w:rFonts w:cs="Arial"/>
          <w:sz w:val="18"/>
          <w:szCs w:val="18"/>
        </w:rPr>
        <w:footnoteRef/>
      </w:r>
      <w:r w:rsidRPr="000635AB">
        <w:rPr>
          <w:rFonts w:cs="Arial"/>
          <w:sz w:val="18"/>
          <w:szCs w:val="18"/>
        </w:rPr>
        <w:t xml:space="preserve"> </w:t>
      </w:r>
      <w:r w:rsidRPr="00493F7B">
        <w:rPr>
          <w:rFonts w:cs="Arial"/>
          <w:sz w:val="18"/>
          <w:szCs w:val="18"/>
        </w:rPr>
        <w:t xml:space="preserve">Instituto Nacional de Estadística y Geografía. (2021). </w:t>
      </w:r>
      <w:r w:rsidRPr="00493F7B">
        <w:rPr>
          <w:rFonts w:cs="Arial"/>
          <w:i/>
          <w:iCs/>
          <w:sz w:val="18"/>
          <w:szCs w:val="18"/>
        </w:rPr>
        <w:t>Censo de Población y Vivienda 2020</w:t>
      </w:r>
      <w:r>
        <w:rPr>
          <w:rFonts w:cs="Arial"/>
          <w:i/>
          <w:iCs/>
          <w:sz w:val="18"/>
          <w:szCs w:val="18"/>
        </w:rPr>
        <w:t xml:space="preserve">. </w:t>
      </w:r>
      <w:r w:rsidRPr="00493F7B">
        <w:rPr>
          <w:rFonts w:cs="Arial"/>
          <w:i/>
          <w:iCs/>
          <w:sz w:val="18"/>
          <w:szCs w:val="18"/>
        </w:rPr>
        <w:t xml:space="preserve">Panorama sociodemográfico de </w:t>
      </w:r>
      <w:r>
        <w:rPr>
          <w:rFonts w:cs="Arial"/>
          <w:i/>
          <w:iCs/>
          <w:sz w:val="18"/>
          <w:szCs w:val="18"/>
        </w:rPr>
        <w:t>México</w:t>
      </w:r>
      <w:r w:rsidRPr="00493F7B">
        <w:rPr>
          <w:rFonts w:cs="Arial"/>
          <w:i/>
          <w:iCs/>
          <w:sz w:val="18"/>
          <w:szCs w:val="18"/>
        </w:rPr>
        <w:t>.</w:t>
      </w:r>
      <w:r>
        <w:rPr>
          <w:rFonts w:cs="Arial"/>
          <w:i/>
          <w:iCs/>
          <w:sz w:val="18"/>
          <w:szCs w:val="18"/>
        </w:rPr>
        <w:t xml:space="preserve"> </w:t>
      </w:r>
      <w:r w:rsidRPr="000635AB">
        <w:rPr>
          <w:rFonts w:cs="Arial"/>
          <w:i/>
          <w:iCs/>
          <w:sz w:val="18"/>
          <w:szCs w:val="18"/>
        </w:rPr>
        <w:t>Hermosillo</w:t>
      </w:r>
      <w:r w:rsidRPr="00493F7B">
        <w:rPr>
          <w:rFonts w:cs="Arial"/>
          <w:sz w:val="18"/>
          <w:szCs w:val="18"/>
        </w:rPr>
        <w:t xml:space="preserve">. </w:t>
      </w:r>
      <w:r>
        <w:rPr>
          <w:rFonts w:cs="Arial"/>
          <w:sz w:val="18"/>
          <w:szCs w:val="18"/>
        </w:rPr>
        <w:t xml:space="preserve">Vivienda. Disponibilidad de servicios y equipamiento. INEGI. </w:t>
      </w:r>
      <w:r w:rsidRPr="0092174B">
        <w:rPr>
          <w:rFonts w:cs="Arial"/>
          <w:sz w:val="18"/>
          <w:szCs w:val="18"/>
        </w:rPr>
        <w:t>https://www.inegi.org.mx/programas/ccpv/2020/tableros/panorama/</w:t>
      </w:r>
    </w:p>
  </w:footnote>
  <w:footnote w:id="29">
    <w:p w14:paraId="4899535E" w14:textId="77777777" w:rsidR="00EC118C" w:rsidRDefault="00EC118C" w:rsidP="00EC118C">
      <w:r w:rsidRPr="009E342F">
        <w:rPr>
          <w:rStyle w:val="Refdenotaalpie"/>
        </w:rPr>
        <w:footnoteRef/>
      </w:r>
      <w:r w:rsidRPr="000635AB">
        <w:rPr>
          <w:rStyle w:val="Refdenotaalpie"/>
        </w:rPr>
        <w:t xml:space="preserve"> </w:t>
      </w:r>
      <w:r w:rsidRPr="0018331B">
        <w:rPr>
          <w:rFonts w:cs="Arial"/>
          <w:sz w:val="18"/>
          <w:szCs w:val="18"/>
        </w:rPr>
        <w:t>Norma</w:t>
      </w:r>
      <w:r w:rsidRPr="000635AB">
        <w:rPr>
          <w:rFonts w:cs="Arial"/>
          <w:sz w:val="18"/>
          <w:szCs w:val="18"/>
        </w:rPr>
        <w:t> Oficial Mexicana NOM-001-SEDATU-2021</w:t>
      </w:r>
      <w:r>
        <w:rPr>
          <w:rFonts w:cs="Arial"/>
          <w:sz w:val="18"/>
          <w:szCs w:val="18"/>
        </w:rPr>
        <w:t>.</w:t>
      </w:r>
      <w:r w:rsidRPr="000635AB">
        <w:rPr>
          <w:rFonts w:cs="Arial"/>
          <w:sz w:val="18"/>
          <w:szCs w:val="18"/>
        </w:rPr>
        <w:t xml:space="preserve"> Espacios públicos en los asentamientos humanos.</w:t>
      </w:r>
      <w:r>
        <w:rPr>
          <w:rFonts w:cs="Arial"/>
          <w:sz w:val="18"/>
          <w:szCs w:val="18"/>
        </w:rPr>
        <w:t xml:space="preserve"> Publicada en el </w:t>
      </w:r>
      <w:r>
        <w:rPr>
          <w:rFonts w:cs="Arial"/>
          <w:i/>
          <w:iCs/>
          <w:sz w:val="18"/>
          <w:szCs w:val="18"/>
        </w:rPr>
        <w:t>Diario Oficial de la Federación</w:t>
      </w:r>
      <w:r>
        <w:rPr>
          <w:rFonts w:cs="Arial"/>
          <w:sz w:val="18"/>
          <w:szCs w:val="18"/>
        </w:rPr>
        <w:t xml:space="preserve"> el 22 de febrero de 2022. SEDATU. </w:t>
      </w:r>
      <w:r w:rsidRPr="0018331B">
        <w:rPr>
          <w:rFonts w:cs="Arial"/>
          <w:sz w:val="18"/>
          <w:szCs w:val="18"/>
        </w:rPr>
        <w:t>https://www.dof.gob.mx/nota_detalle.php?codigo=5643417&amp;fecha=22/02/2022</w:t>
      </w:r>
    </w:p>
  </w:footnote>
  <w:footnote w:id="30">
    <w:p w14:paraId="3D202154" w14:textId="77777777" w:rsidR="00EC118C" w:rsidRPr="0002727F" w:rsidRDefault="00EC118C" w:rsidP="00EC118C">
      <w:pPr>
        <w:pStyle w:val="Textonotapie"/>
        <w:rPr>
          <w:rFonts w:cs="Arial"/>
        </w:rPr>
      </w:pPr>
      <w:r w:rsidRPr="0002727F">
        <w:rPr>
          <w:rStyle w:val="Refdenotaalpie"/>
          <w:rFonts w:cs="Arial"/>
          <w:sz w:val="18"/>
          <w:szCs w:val="18"/>
        </w:rPr>
        <w:footnoteRef/>
      </w:r>
      <w:r w:rsidRPr="0002727F">
        <w:rPr>
          <w:rFonts w:cs="Arial"/>
          <w:sz w:val="18"/>
          <w:szCs w:val="18"/>
        </w:rPr>
        <w:t xml:space="preserve"> Instituto Municipal de Planeación Urbana y del Espacio Público. Ayuntamiento de Hermosillo. (2023). Programa Municipal de Desarrollo Urbano de Hermosillo 2023. IMPLAN. http://www.implanhermosillo.gob.mx/programas/</w:t>
      </w:r>
    </w:p>
  </w:footnote>
  <w:footnote w:id="31">
    <w:p w14:paraId="14AB67BD" w14:textId="77777777" w:rsidR="00EC118C" w:rsidRDefault="00EC118C" w:rsidP="00EC118C">
      <w:pPr>
        <w:pStyle w:val="Textonotapie"/>
      </w:pPr>
      <w:r w:rsidRPr="00C671D5">
        <w:rPr>
          <w:rStyle w:val="Refdenotaalpie"/>
          <w:rFonts w:cs="Arial"/>
          <w:sz w:val="18"/>
          <w:szCs w:val="18"/>
        </w:rPr>
        <w:footnoteRef/>
      </w:r>
      <w:r>
        <w:t xml:space="preserve"> </w:t>
      </w:r>
      <w:r w:rsidRPr="00C671D5">
        <w:rPr>
          <w:rFonts w:cs="Arial"/>
          <w:sz w:val="18"/>
          <w:szCs w:val="18"/>
        </w:rPr>
        <w:t>Ley para el Aprovechamiento de Energías Renovables y el Financiamiento de la Transición Energética</w:t>
      </w:r>
      <w:r>
        <w:rPr>
          <w:rFonts w:cs="Arial"/>
          <w:sz w:val="18"/>
          <w:szCs w:val="18"/>
        </w:rPr>
        <w:t>.</w:t>
      </w:r>
      <w:r w:rsidRPr="00C671D5">
        <w:rPr>
          <w:rFonts w:cs="Arial"/>
          <w:sz w:val="18"/>
          <w:szCs w:val="18"/>
        </w:rPr>
        <w:t xml:space="preserve"> Publicada en el </w:t>
      </w:r>
      <w:r w:rsidRPr="00C671D5">
        <w:rPr>
          <w:rFonts w:cs="Arial"/>
          <w:i/>
          <w:iCs/>
          <w:sz w:val="18"/>
          <w:szCs w:val="18"/>
        </w:rPr>
        <w:t>Diario Oficial de la Federación</w:t>
      </w:r>
      <w:r w:rsidRPr="00C671D5">
        <w:rPr>
          <w:rFonts w:cs="Arial"/>
          <w:sz w:val="18"/>
          <w:szCs w:val="18"/>
        </w:rPr>
        <w:t xml:space="preserve"> el 28 de noviembre de 2008. Última reforma publicada el 7 de junio de 2013. https://www.cre.gob.mx/documento/3870.pdf</w:t>
      </w:r>
    </w:p>
  </w:footnote>
  <w:footnote w:id="32">
    <w:p w14:paraId="11FFFFBD" w14:textId="77777777" w:rsidR="00DB1C66" w:rsidRDefault="00DB1C66" w:rsidP="00DB1C66">
      <w:pPr>
        <w:pStyle w:val="Textonotapie"/>
        <w:rPr>
          <w:rFonts w:cs="Arial"/>
        </w:rPr>
      </w:pPr>
      <w:r>
        <w:rPr>
          <w:rStyle w:val="Refdenotaalpie"/>
          <w:rFonts w:cs="Arial"/>
          <w:sz w:val="18"/>
          <w:szCs w:val="18"/>
        </w:rPr>
        <w:footnoteRef/>
      </w:r>
      <w:r>
        <w:rPr>
          <w:rFonts w:cs="Arial"/>
        </w:rPr>
        <w:t xml:space="preserve"> </w:t>
      </w:r>
      <w:r>
        <w:rPr>
          <w:rFonts w:cs="Arial"/>
          <w:sz w:val="18"/>
          <w:szCs w:val="18"/>
        </w:rPr>
        <w:t>Instituto Mexicano para la Competitividad, A.C. (2023</w:t>
      </w:r>
      <w:r>
        <w:rPr>
          <w:rFonts w:cs="Arial"/>
          <w:i/>
          <w:iCs/>
          <w:sz w:val="18"/>
          <w:szCs w:val="18"/>
        </w:rPr>
        <w:t>). Índice de Competitividad Urbana 2023</w:t>
      </w:r>
      <w:r>
        <w:rPr>
          <w:rFonts w:cs="Arial"/>
          <w:sz w:val="18"/>
          <w:szCs w:val="18"/>
        </w:rPr>
        <w:t>. IMCO. https://imco.org.mx/indices/indice-de-competitividad-urbana-2023/</w:t>
      </w:r>
    </w:p>
  </w:footnote>
  <w:footnote w:id="33">
    <w:p w14:paraId="2502B3FE" w14:textId="77777777" w:rsidR="00DB1C66" w:rsidRDefault="00DB1C66" w:rsidP="00DB1C66">
      <w:pPr>
        <w:pStyle w:val="Textonotapie"/>
        <w:rPr>
          <w:rFonts w:asciiTheme="minorHAnsi" w:hAnsiTheme="minorHAnsi"/>
        </w:rPr>
      </w:pPr>
      <w:r>
        <w:rPr>
          <w:rStyle w:val="Refdenotaalpie"/>
        </w:rPr>
        <w:footnoteRef/>
      </w:r>
      <w:r>
        <w:t xml:space="preserve"> Instituto Nacional de Estadística y Geografía. Encuesta Nacional de Ocupación y Empleo (ENOE), población de 15 años y más de edad. INEGI. </w:t>
      </w:r>
      <w:r>
        <w:rPr>
          <w:rFonts w:cs="Arial"/>
        </w:rPr>
        <w:t>tasa de condiciones críticas de ocupación</w:t>
      </w:r>
    </w:p>
  </w:footnote>
  <w:footnote w:id="34">
    <w:p w14:paraId="73BFE6A8" w14:textId="77777777" w:rsidR="00DB1C66" w:rsidRDefault="00DB1C66" w:rsidP="00DB1C66">
      <w:pPr>
        <w:pStyle w:val="Textonotapie"/>
      </w:pPr>
      <w:r>
        <w:rPr>
          <w:rStyle w:val="Refdenotaalpie"/>
        </w:rPr>
        <w:footnoteRef/>
      </w:r>
      <w:r>
        <w:t xml:space="preserve"> </w:t>
      </w:r>
      <w:r>
        <w:rPr>
          <w:rFonts w:cs="Arial"/>
          <w:sz w:val="18"/>
          <w:szCs w:val="18"/>
        </w:rPr>
        <w:t>Instituto Mexicano para la Competitividad, A.C. (2023</w:t>
      </w:r>
      <w:r>
        <w:rPr>
          <w:rFonts w:cs="Arial"/>
          <w:i/>
          <w:iCs/>
          <w:sz w:val="18"/>
          <w:szCs w:val="18"/>
        </w:rPr>
        <w:t>). Índice de Competitividad Urbana 2023</w:t>
      </w:r>
      <w:r>
        <w:rPr>
          <w:rFonts w:cs="Arial"/>
          <w:sz w:val="18"/>
          <w:szCs w:val="18"/>
        </w:rPr>
        <w:t>. IMCO. https://imco.org.mx/indices/indice-de-competitividad-urbana-2023/</w:t>
      </w:r>
    </w:p>
  </w:footnote>
  <w:footnote w:id="35">
    <w:p w14:paraId="3E464635" w14:textId="77777777" w:rsidR="002B7A8E" w:rsidRPr="00CB5AD6" w:rsidRDefault="002B7A8E" w:rsidP="002B7A8E">
      <w:pPr>
        <w:pStyle w:val="Textonotapie"/>
        <w:rPr>
          <w:rFonts w:cs="Arial"/>
        </w:rPr>
      </w:pPr>
      <w:r w:rsidRPr="00CB5AD6">
        <w:rPr>
          <w:rStyle w:val="Refdenotaalpie"/>
          <w:rFonts w:cs="Arial"/>
          <w:sz w:val="18"/>
          <w:szCs w:val="18"/>
        </w:rPr>
        <w:footnoteRef/>
      </w:r>
      <w:r w:rsidRPr="00CB5AD6">
        <w:rPr>
          <w:rStyle w:val="Refdenotaalpie"/>
          <w:rFonts w:cs="Arial"/>
          <w:sz w:val="18"/>
          <w:szCs w:val="18"/>
        </w:rPr>
        <w:t xml:space="preserve"> </w:t>
      </w:r>
      <w:r w:rsidRPr="00CB5AD6">
        <w:rPr>
          <w:rFonts w:cs="Arial"/>
          <w:sz w:val="18"/>
          <w:szCs w:val="18"/>
        </w:rPr>
        <w:t>Consejo Nacional de Evaluación de la Política de Desarrollo Social. Sistema de Información de Derechos Sociales. CONEVAL. https://sistemas.coneval.org.mx/SIDS/Serie2016-2022</w:t>
      </w:r>
      <w:r w:rsidRPr="00CB5AD6" w:rsidDel="006A1764">
        <w:rPr>
          <w:rFonts w:cs="Arial"/>
          <w:sz w:val="18"/>
          <w:szCs w:val="18"/>
        </w:rPr>
        <w:t xml:space="preserve"> </w:t>
      </w:r>
    </w:p>
  </w:footnote>
  <w:footnote w:id="36">
    <w:p w14:paraId="29004695" w14:textId="77777777" w:rsidR="002B7A8E" w:rsidRDefault="002B7A8E" w:rsidP="002B7A8E">
      <w:pPr>
        <w:pStyle w:val="Textonotapie"/>
      </w:pPr>
      <w:r w:rsidRPr="00CB5AD6">
        <w:rPr>
          <w:rStyle w:val="Refdenotaalpie"/>
          <w:rFonts w:cs="Arial"/>
          <w:sz w:val="18"/>
          <w:szCs w:val="18"/>
        </w:rPr>
        <w:footnoteRef/>
      </w:r>
      <w:r w:rsidRPr="00CB5AD6">
        <w:rPr>
          <w:rFonts w:cs="Arial"/>
          <w:sz w:val="18"/>
          <w:szCs w:val="18"/>
        </w:rPr>
        <w:t xml:space="preserve"> Consejo Nacional de Evaluación de la Política de Desarrollo Social. </w:t>
      </w:r>
      <w:r>
        <w:rPr>
          <w:rFonts w:cs="Arial"/>
          <w:sz w:val="18"/>
          <w:szCs w:val="18"/>
        </w:rPr>
        <w:t>Desigualdades para grupos de población</w:t>
      </w:r>
      <w:r w:rsidRPr="00CB5AD6">
        <w:rPr>
          <w:rFonts w:cs="Arial"/>
          <w:sz w:val="18"/>
          <w:szCs w:val="18"/>
        </w:rPr>
        <w:t xml:space="preserve">. CONEVAL. </w:t>
      </w:r>
      <w:r w:rsidRPr="00CB5AD6">
        <w:rPr>
          <w:sz w:val="18"/>
          <w:szCs w:val="18"/>
        </w:rPr>
        <w:t>https://sistemas.coneval.org.mx/SIDS/Serie2016-2022/Acceso-grupos-poblacion</w:t>
      </w:r>
    </w:p>
  </w:footnote>
  <w:footnote w:id="37">
    <w:p w14:paraId="0AA0881E" w14:textId="77777777" w:rsidR="002B7A8E" w:rsidRDefault="002B7A8E" w:rsidP="002B7A8E">
      <w:pPr>
        <w:pStyle w:val="Textonotapie"/>
      </w:pPr>
      <w:r>
        <w:rPr>
          <w:rStyle w:val="Refdenotaalpie"/>
        </w:rPr>
        <w:footnoteRef/>
      </w:r>
      <w:r>
        <w:t xml:space="preserve"> </w:t>
      </w:r>
      <w:r w:rsidRPr="003E6085">
        <w:rPr>
          <w:rFonts w:cs="Arial"/>
          <w:sz w:val="18"/>
          <w:szCs w:val="18"/>
        </w:rPr>
        <w:t xml:space="preserve">Consejo Nacional de Evaluación de la Política de Desarrollo Social. </w:t>
      </w:r>
      <w:r>
        <w:rPr>
          <w:rFonts w:cs="Arial"/>
          <w:sz w:val="18"/>
          <w:szCs w:val="18"/>
        </w:rPr>
        <w:t>Informe de Pobreza y Evaluación 2020</w:t>
      </w:r>
      <w:r w:rsidRPr="003E6085">
        <w:rPr>
          <w:rFonts w:cs="Arial"/>
          <w:sz w:val="18"/>
          <w:szCs w:val="18"/>
        </w:rPr>
        <w:t xml:space="preserve">. CONEVAL. </w:t>
      </w:r>
      <w:r w:rsidRPr="00852815">
        <w:rPr>
          <w:rFonts w:cs="Arial"/>
          <w:sz w:val="18"/>
          <w:szCs w:val="18"/>
        </w:rPr>
        <w:t>https://www.coneval.org.mx/coordinacion/entidades/Documents/Informes_de_pobreza_y_evaluacion_2020_Documentos/Informe_Sonora_2020.pdf</w:t>
      </w:r>
    </w:p>
  </w:footnote>
  <w:footnote w:id="38">
    <w:p w14:paraId="4B928D09" w14:textId="77777777" w:rsidR="002B7A8E" w:rsidRDefault="002B7A8E" w:rsidP="002B7A8E">
      <w:pPr>
        <w:pStyle w:val="Textonotapie"/>
        <w:jc w:val="both"/>
        <w:rPr>
          <w:rFonts w:cs="Arial"/>
        </w:rPr>
      </w:pPr>
      <w:r>
        <w:rPr>
          <w:rStyle w:val="Refdenotaalpie"/>
          <w:rFonts w:cs="Arial"/>
        </w:rPr>
        <w:footnoteRef/>
      </w:r>
      <w:r>
        <w:rPr>
          <w:rFonts w:cs="Arial"/>
        </w:rPr>
        <w:t xml:space="preserve"> </w:t>
      </w:r>
      <w:r>
        <w:rPr>
          <w:rFonts w:cs="Arial"/>
          <w:sz w:val="18"/>
          <w:szCs w:val="18"/>
        </w:rPr>
        <w:t xml:space="preserve">Consejo Nacional de Población. (2023). Proyecciones de la población de los municipios de México 2015-2030. CONAPO/SEGOB. </w:t>
      </w:r>
    </w:p>
  </w:footnote>
  <w:footnote w:id="39">
    <w:p w14:paraId="50397D91" w14:textId="77777777" w:rsidR="002B7A8E" w:rsidRDefault="002B7A8E" w:rsidP="002B7A8E">
      <w:pPr>
        <w:pStyle w:val="Textonotapie"/>
        <w:jc w:val="both"/>
        <w:rPr>
          <w:rFonts w:cs="Arial"/>
        </w:rPr>
      </w:pPr>
      <w:r>
        <w:rPr>
          <w:rStyle w:val="Refdenotaalpie"/>
          <w:rFonts w:cs="Arial"/>
        </w:rPr>
        <w:footnoteRef/>
      </w:r>
      <w:r>
        <w:rPr>
          <w:rFonts w:cs="Arial"/>
        </w:rPr>
        <w:t xml:space="preserve"> </w:t>
      </w:r>
      <w:r>
        <w:rPr>
          <w:rFonts w:cs="Arial"/>
          <w:sz w:val="18"/>
          <w:szCs w:val="18"/>
        </w:rPr>
        <w:t>Secretaría de Bienestar. Dirección General para la Validación de Beneficiarios. Padrón de beneficiarios del Programa Pensión para el Bienestar de las Personas Adultas Mayores, 2023.</w:t>
      </w:r>
    </w:p>
  </w:footnote>
  <w:footnote w:id="40">
    <w:p w14:paraId="489301B6" w14:textId="77777777" w:rsidR="002B7A8E" w:rsidRDefault="002B7A8E" w:rsidP="002B7A8E">
      <w:pPr>
        <w:pStyle w:val="Textonotapie"/>
        <w:jc w:val="both"/>
        <w:rPr>
          <w:rFonts w:cs="Arial"/>
          <w:sz w:val="16"/>
          <w:szCs w:val="16"/>
        </w:rPr>
      </w:pPr>
      <w:r>
        <w:rPr>
          <w:rStyle w:val="Refdenotaalpie"/>
          <w:rFonts w:cs="Arial"/>
        </w:rPr>
        <w:footnoteRef/>
      </w:r>
      <w:r>
        <w:rPr>
          <w:rFonts w:cs="Arial"/>
        </w:rPr>
        <w:t xml:space="preserve"> </w:t>
      </w:r>
      <w:r>
        <w:rPr>
          <w:rFonts w:cs="Arial"/>
          <w:sz w:val="18"/>
          <w:szCs w:val="18"/>
        </w:rPr>
        <w:t>INEGI, Cuestionario ampliado. Censo de Población y Vivienda 2020.</w:t>
      </w:r>
    </w:p>
  </w:footnote>
  <w:footnote w:id="41">
    <w:p w14:paraId="4AB57B62" w14:textId="77777777" w:rsidR="002B7A8E" w:rsidRDefault="002B7A8E" w:rsidP="002B7A8E">
      <w:pPr>
        <w:pStyle w:val="Textonotapie"/>
        <w:rPr>
          <w:rFonts w:cs="Arial"/>
        </w:rPr>
      </w:pPr>
      <w:r>
        <w:rPr>
          <w:rStyle w:val="Refdenotaalpie"/>
          <w:rFonts w:cs="Arial"/>
        </w:rPr>
        <w:footnoteRef/>
      </w:r>
      <w:r>
        <w:rPr>
          <w:rFonts w:cs="Arial"/>
        </w:rPr>
        <w:t xml:space="preserve"> </w:t>
      </w:r>
      <w:r>
        <w:rPr>
          <w:rFonts w:cs="Arial"/>
          <w:sz w:val="18"/>
          <w:szCs w:val="18"/>
        </w:rPr>
        <w:t>INEGI, Cuestionario básico. Censo de Población y Vivienda 2020.</w:t>
      </w:r>
    </w:p>
  </w:footnote>
  <w:footnote w:id="42">
    <w:p w14:paraId="2F4B3765" w14:textId="77777777" w:rsidR="002B7A8E" w:rsidRDefault="002B7A8E" w:rsidP="002B7A8E">
      <w:pPr>
        <w:pStyle w:val="Textonotapie"/>
        <w:rPr>
          <w:rFonts w:cs="Arial"/>
        </w:rPr>
      </w:pPr>
      <w:r>
        <w:rPr>
          <w:rStyle w:val="Refdenotaalpie"/>
          <w:rFonts w:cs="Arial"/>
        </w:rPr>
        <w:footnoteRef/>
      </w:r>
      <w:r>
        <w:rPr>
          <w:rFonts w:cs="Arial"/>
        </w:rPr>
        <w:t xml:space="preserve"> </w:t>
      </w:r>
      <w:r>
        <w:rPr>
          <w:rFonts w:cs="Arial"/>
          <w:sz w:val="18"/>
          <w:szCs w:val="18"/>
        </w:rPr>
        <w:t>Secretaría de Bienestar. (2024). Informe anual sobre la situación de pobreza y rezago social de las entidades, municipios y demarcaciones territoriales. Hermosillo. https://www.gob.mx/cms/uploads/attachment/file/889918/26030Hermosillo2024.pdf</w:t>
      </w:r>
    </w:p>
  </w:footnote>
  <w:footnote w:id="43">
    <w:p w14:paraId="7398DA88" w14:textId="77777777" w:rsidR="002B7A8E" w:rsidRDefault="002B7A8E" w:rsidP="002B7A8E">
      <w:pPr>
        <w:pStyle w:val="Textonotapie"/>
        <w:jc w:val="both"/>
      </w:pPr>
      <w:r>
        <w:rPr>
          <w:rStyle w:val="Refdenotaalpie"/>
          <w:rFonts w:cs="Arial"/>
        </w:rPr>
        <w:footnoteRef/>
      </w:r>
      <w:r>
        <w:rPr>
          <w:rFonts w:cs="Arial"/>
        </w:rPr>
        <w:t xml:space="preserve"> </w:t>
      </w:r>
      <w:r>
        <w:rPr>
          <w:rFonts w:cs="Arial"/>
          <w:sz w:val="18"/>
          <w:szCs w:val="18"/>
        </w:rPr>
        <w:t xml:space="preserve">Decreto por el que se formula la Declaratoria de las Zonas de Atención Prioritaria para el año 2024. Publicado en el </w:t>
      </w:r>
      <w:r>
        <w:rPr>
          <w:rFonts w:cs="Arial"/>
          <w:i/>
          <w:iCs/>
          <w:sz w:val="18"/>
          <w:szCs w:val="18"/>
        </w:rPr>
        <w:t>Diario Oficial de la Federación</w:t>
      </w:r>
      <w:r>
        <w:rPr>
          <w:rFonts w:cs="Arial"/>
          <w:sz w:val="18"/>
          <w:szCs w:val="18"/>
        </w:rPr>
        <w:t xml:space="preserve"> el 25 de noviembre de 2023. https://dof.gob.mx/nota_detalle.php?codigo=5709509&amp;fecha=25/11/2023</w:t>
      </w:r>
    </w:p>
  </w:footnote>
  <w:footnote w:id="44">
    <w:p w14:paraId="4A048020" w14:textId="77777777" w:rsidR="002B7A8E" w:rsidRDefault="002B7A8E" w:rsidP="002B7A8E">
      <w:pPr>
        <w:pStyle w:val="Textonotapie"/>
      </w:pPr>
      <w:r>
        <w:rPr>
          <w:rStyle w:val="Refdenotaalpie"/>
        </w:rPr>
        <w:footnoteRef/>
      </w:r>
      <w:r>
        <w:t xml:space="preserve"> </w:t>
      </w:r>
      <w:r>
        <w:rPr>
          <w:rFonts w:cs="Arial"/>
          <w:sz w:val="18"/>
          <w:szCs w:val="18"/>
        </w:rPr>
        <w:t>CONAPO/SEGOB (2023).</w:t>
      </w:r>
    </w:p>
  </w:footnote>
  <w:footnote w:id="45">
    <w:p w14:paraId="29B43B0C" w14:textId="77777777" w:rsidR="002B7A8E" w:rsidRDefault="002B7A8E" w:rsidP="002B7A8E">
      <w:pPr>
        <w:pStyle w:val="Textonotapie"/>
        <w:rPr>
          <w:rFonts w:cs="Arial"/>
        </w:rPr>
      </w:pPr>
      <w:r>
        <w:rPr>
          <w:rStyle w:val="Refdenotaalpie"/>
          <w:rFonts w:cs="Arial"/>
          <w:sz w:val="18"/>
          <w:szCs w:val="18"/>
        </w:rPr>
        <w:footnoteRef/>
      </w:r>
      <w:r>
        <w:rPr>
          <w:rFonts w:cs="Arial"/>
        </w:rPr>
        <w:t xml:space="preserve"> </w:t>
      </w:r>
      <w:r>
        <w:rPr>
          <w:rFonts w:cs="Arial"/>
          <w:sz w:val="18"/>
          <w:szCs w:val="18"/>
        </w:rPr>
        <w:t xml:space="preserve">Hermosillo ¿Cómo Vamos? (2023). </w:t>
      </w:r>
      <w:r>
        <w:rPr>
          <w:rFonts w:cs="Arial"/>
          <w:i/>
          <w:iCs/>
          <w:sz w:val="18"/>
          <w:szCs w:val="18"/>
        </w:rPr>
        <w:t>Informe de Indicadores 2023</w:t>
      </w:r>
      <w:r>
        <w:rPr>
          <w:rFonts w:cs="Arial"/>
          <w:sz w:val="18"/>
          <w:szCs w:val="18"/>
        </w:rPr>
        <w:t>. Observatorio para la Competitividad y el Desarrollo de Sonora A.C. https://drive.google.com/drive/folders/1ARxluw90E8TxCLWSci6arfAlxbJ4JD-d</w:t>
      </w:r>
    </w:p>
  </w:footnote>
  <w:footnote w:id="46">
    <w:p w14:paraId="0249F2A9" w14:textId="77777777" w:rsidR="002B7A8E" w:rsidRDefault="002B7A8E" w:rsidP="002B7A8E">
      <w:pPr>
        <w:pStyle w:val="Textonotapie"/>
      </w:pPr>
      <w:r>
        <w:rPr>
          <w:rStyle w:val="Refdenotaalpie"/>
          <w:rFonts w:cs="Arial"/>
          <w:sz w:val="18"/>
          <w:szCs w:val="18"/>
        </w:rPr>
        <w:footnoteRef/>
      </w:r>
      <w:r>
        <w:rPr>
          <w:rFonts w:cs="Arial"/>
          <w:sz w:val="18"/>
          <w:szCs w:val="18"/>
          <w:lang w:val="en-US"/>
        </w:rPr>
        <w:t xml:space="preserve">Global Platform for the Right to the City. </w:t>
      </w:r>
      <w:r>
        <w:rPr>
          <w:rFonts w:cs="Arial"/>
          <w:sz w:val="18"/>
          <w:szCs w:val="18"/>
        </w:rPr>
        <w:t xml:space="preserve">(2019). </w:t>
      </w:r>
      <w:r>
        <w:rPr>
          <w:rFonts w:cs="Arial"/>
          <w:i/>
          <w:iCs/>
          <w:sz w:val="18"/>
          <w:szCs w:val="18"/>
        </w:rPr>
        <w:t>Agenda del derecho a la ciudad. Para la implementación de la Agenda 2030 para el Desarrollo Sostenible y la Nueva Agenda Urbana</w:t>
      </w:r>
      <w:r>
        <w:rPr>
          <w:rFonts w:cs="Arial"/>
          <w:sz w:val="18"/>
          <w:szCs w:val="18"/>
        </w:rPr>
        <w:t>. https://www.right2city.org/wp-content/uploads/2019/09/A6.1_Agenda-del-derecho-a-la-ciudad.pdf</w:t>
      </w:r>
    </w:p>
  </w:footnote>
  <w:footnote w:id="47">
    <w:p w14:paraId="3AF41CFF" w14:textId="25712D45" w:rsidR="00261A27" w:rsidRPr="00AF0E23" w:rsidRDefault="00261A27" w:rsidP="00261A27">
      <w:pPr>
        <w:pStyle w:val="Textonotapie"/>
        <w:rPr>
          <w:rFonts w:cs="Arial"/>
        </w:rPr>
      </w:pPr>
      <w:r w:rsidRPr="00AF0E23">
        <w:rPr>
          <w:rStyle w:val="Refdenotaalpie"/>
          <w:rFonts w:cs="Arial"/>
          <w:sz w:val="18"/>
          <w:szCs w:val="18"/>
        </w:rPr>
        <w:footnoteRef/>
      </w:r>
      <w:r w:rsidRPr="00AF0E23">
        <w:rPr>
          <w:rFonts w:cs="Arial"/>
          <w:sz w:val="18"/>
          <w:szCs w:val="18"/>
        </w:rPr>
        <w:t xml:space="preserve"> </w:t>
      </w:r>
      <w:r w:rsidRPr="00261A27">
        <w:rPr>
          <w:rFonts w:cs="Arial"/>
          <w:sz w:val="18"/>
          <w:szCs w:val="18"/>
        </w:rPr>
        <w:t>https://www.imf.org/es/Home</w:t>
      </w:r>
    </w:p>
  </w:footnote>
  <w:footnote w:id="48">
    <w:p w14:paraId="420927DF" w14:textId="77777777" w:rsidR="00261A27" w:rsidRPr="00AF0E23" w:rsidRDefault="00261A27" w:rsidP="00261A27">
      <w:pPr>
        <w:pStyle w:val="Textonotapie"/>
        <w:rPr>
          <w:rFonts w:cs="Arial"/>
        </w:rPr>
      </w:pPr>
      <w:r w:rsidRPr="00AF0E23">
        <w:rPr>
          <w:rStyle w:val="Refdenotaalpie"/>
          <w:rFonts w:cs="Arial"/>
          <w:sz w:val="18"/>
          <w:szCs w:val="18"/>
        </w:rPr>
        <w:footnoteRef/>
      </w:r>
      <w:r w:rsidRPr="00AF0E23">
        <w:rPr>
          <w:rStyle w:val="Refdenotaalpie"/>
          <w:sz w:val="18"/>
          <w:szCs w:val="18"/>
        </w:rPr>
        <w:t xml:space="preserve"> </w:t>
      </w:r>
      <w:r w:rsidRPr="00AF0E23">
        <w:rPr>
          <w:rFonts w:cs="Arial"/>
          <w:sz w:val="18"/>
          <w:szCs w:val="18"/>
        </w:rPr>
        <w:t>Instituto Mexicano para la Competitividad, A.C. (28 de noviembre de 2023). Índice de Competitividad Urbana 2023. https://imco.org.mx/indice-de-competitividad-urbana-2023</w:t>
      </w:r>
    </w:p>
  </w:footnote>
  <w:footnote w:id="49">
    <w:p w14:paraId="744B698E" w14:textId="77777777" w:rsidR="00261A27" w:rsidRDefault="00261A27" w:rsidP="00261A27">
      <w:pPr>
        <w:pStyle w:val="Textonotapie"/>
      </w:pPr>
      <w:r w:rsidRPr="00AF0E23">
        <w:rPr>
          <w:rStyle w:val="Refdenotaalpie"/>
          <w:rFonts w:cs="Arial"/>
          <w:sz w:val="18"/>
          <w:szCs w:val="18"/>
        </w:rPr>
        <w:footnoteRef/>
      </w:r>
      <w:r w:rsidRPr="00AF0E23">
        <w:rPr>
          <w:rFonts w:cs="Arial"/>
        </w:rPr>
        <w:t xml:space="preserve"> </w:t>
      </w:r>
      <w:r w:rsidRPr="00AF0E23">
        <w:rPr>
          <w:rFonts w:cs="Arial"/>
          <w:sz w:val="18"/>
          <w:szCs w:val="18"/>
        </w:rPr>
        <w:t>Instituto Nacional de Estadística y Geografía. Censos económicos 2019. Sonora. https://www.inegi.org.mx/contenidos/programas/ce/2019/doc/mson_ce19.pdf</w:t>
      </w:r>
    </w:p>
  </w:footnote>
  <w:footnote w:id="50">
    <w:p w14:paraId="0C1D5ABC" w14:textId="77777777" w:rsidR="00261A27" w:rsidRDefault="00261A27" w:rsidP="00261A27">
      <w:pPr>
        <w:pStyle w:val="Textonotapie"/>
      </w:pPr>
      <w:r w:rsidRPr="00AF0E23">
        <w:rPr>
          <w:rStyle w:val="Refdenotaalpie"/>
          <w:rFonts w:cs="Arial"/>
          <w:sz w:val="18"/>
          <w:szCs w:val="18"/>
        </w:rPr>
        <w:footnoteRef/>
      </w:r>
      <w:r w:rsidRPr="00AF0E23">
        <w:rPr>
          <w:rStyle w:val="Refdenotaalpie"/>
          <w:rFonts w:cs="Arial"/>
          <w:sz w:val="18"/>
          <w:szCs w:val="18"/>
        </w:rPr>
        <w:t xml:space="preserve"> </w:t>
      </w:r>
      <w:r>
        <w:rPr>
          <w:rFonts w:cs="Arial"/>
          <w:sz w:val="18"/>
          <w:szCs w:val="18"/>
        </w:rPr>
        <w:t xml:space="preserve">H. Ayuntamiento de Hermosillo. (2022). Plan Municipal de Desarrollo Hermosillo 2022-2024. </w:t>
      </w:r>
      <w:r w:rsidRPr="00CC7226">
        <w:rPr>
          <w:rFonts w:cs="Arial"/>
          <w:sz w:val="18"/>
          <w:szCs w:val="18"/>
        </w:rPr>
        <w:t>https://www.hermosillo.gob.mx/descargas/PMD_2022WEB.pdf</w:t>
      </w:r>
    </w:p>
  </w:footnote>
  <w:footnote w:id="51">
    <w:p w14:paraId="5D2E925F" w14:textId="77777777" w:rsidR="00261A27" w:rsidRDefault="00261A27" w:rsidP="00261A27">
      <w:pPr>
        <w:pStyle w:val="Textonotapie"/>
      </w:pPr>
      <w:r w:rsidRPr="00AF0E23">
        <w:rPr>
          <w:rStyle w:val="Refdenotaalpie"/>
          <w:rFonts w:cs="Arial"/>
          <w:sz w:val="18"/>
          <w:szCs w:val="18"/>
        </w:rPr>
        <w:footnoteRef/>
      </w:r>
      <w:r w:rsidRPr="00AF0E23">
        <w:rPr>
          <w:rStyle w:val="Refdenotaalpie"/>
          <w:rFonts w:cs="Arial"/>
          <w:sz w:val="18"/>
          <w:szCs w:val="18"/>
        </w:rPr>
        <w:t xml:space="preserve"> </w:t>
      </w:r>
      <w:r>
        <w:rPr>
          <w:rFonts w:cs="Arial"/>
          <w:sz w:val="18"/>
          <w:szCs w:val="18"/>
        </w:rPr>
        <w:t xml:space="preserve">H. Ayuntamiento de Hermosillo. (2022). Agenda de Largo Plazo del Municipio de Hermosillo 2022-2033. Comité Técnico Especializado del COPLAM. </w:t>
      </w:r>
      <w:r w:rsidRPr="00CC7226">
        <w:rPr>
          <w:rFonts w:cs="Arial"/>
          <w:sz w:val="18"/>
          <w:szCs w:val="18"/>
        </w:rPr>
        <w:t>https://www.hermosillo.gob.mx/descargas/Agenda%20Municipal%20de%20Largo%20Plazo%202022-2033.pdf</w:t>
      </w:r>
    </w:p>
  </w:footnote>
  <w:footnote w:id="52">
    <w:p w14:paraId="5EB22991" w14:textId="77777777" w:rsidR="00261A27" w:rsidRPr="00AF0E23" w:rsidRDefault="00261A27" w:rsidP="00261A27">
      <w:pPr>
        <w:pStyle w:val="Textonotapie"/>
        <w:rPr>
          <w:rFonts w:cs="Arial"/>
        </w:rPr>
      </w:pPr>
      <w:r w:rsidRPr="00AF0E23">
        <w:rPr>
          <w:rStyle w:val="Refdenotaalpie"/>
          <w:rFonts w:cs="Arial"/>
          <w:sz w:val="18"/>
          <w:szCs w:val="18"/>
        </w:rPr>
        <w:footnoteRef/>
      </w:r>
      <w:r w:rsidRPr="00AF0E23">
        <w:rPr>
          <w:rFonts w:cs="Arial"/>
        </w:rPr>
        <w:t xml:space="preserve"> </w:t>
      </w:r>
      <w:r w:rsidRPr="00AF0E23">
        <w:rPr>
          <w:rFonts w:cs="Arial"/>
          <w:sz w:val="18"/>
          <w:szCs w:val="18"/>
        </w:rPr>
        <w:t xml:space="preserve">Instituto Nacional de Estadística y Geografía. (2024). </w:t>
      </w:r>
      <w:r w:rsidRPr="00AF0E23">
        <w:rPr>
          <w:rFonts w:cs="Arial"/>
          <w:sz w:val="18"/>
          <w:szCs w:val="18"/>
          <w:shd w:val="clear" w:color="auto" w:fill="FFFFFF"/>
        </w:rPr>
        <w:t>Encuesta Nacional de Calidad e Impacto Gubernamental (ENCIG) 2023. INEGI. https://www.inegi.org.mx/programas/encig/2023/</w:t>
      </w:r>
    </w:p>
  </w:footnote>
  <w:footnote w:id="53">
    <w:p w14:paraId="73F17E75" w14:textId="77777777" w:rsidR="00261A27" w:rsidRPr="00AF0E23" w:rsidRDefault="00261A27" w:rsidP="00261A27">
      <w:pPr>
        <w:pStyle w:val="Textonotapie"/>
        <w:rPr>
          <w:rFonts w:cs="Arial"/>
        </w:rPr>
      </w:pPr>
      <w:r w:rsidRPr="00AF0E23">
        <w:rPr>
          <w:rStyle w:val="Refdenotaalpie"/>
          <w:rFonts w:cs="Arial"/>
          <w:sz w:val="18"/>
          <w:szCs w:val="18"/>
        </w:rPr>
        <w:footnoteRef/>
      </w:r>
      <w:r w:rsidRPr="00AF0E23">
        <w:rPr>
          <w:rFonts w:cs="Arial"/>
        </w:rPr>
        <w:t xml:space="preserve"> </w:t>
      </w:r>
      <w:r>
        <w:rPr>
          <w:rFonts w:cs="Arial"/>
          <w:sz w:val="18"/>
          <w:szCs w:val="18"/>
        </w:rPr>
        <w:t>Secretaría de Hacienda y Crédito Público. Sistema de Alertas</w:t>
      </w:r>
      <w:r w:rsidRPr="00AF0E23">
        <w:rPr>
          <w:rFonts w:cs="Arial"/>
          <w:sz w:val="18"/>
          <w:szCs w:val="18"/>
        </w:rPr>
        <w:t>.</w:t>
      </w:r>
      <w:r>
        <w:rPr>
          <w:rFonts w:cs="Arial"/>
          <w:sz w:val="18"/>
          <w:szCs w:val="18"/>
        </w:rPr>
        <w:t xml:space="preserve"> SHCP. </w:t>
      </w:r>
      <w:r w:rsidRPr="00B61636">
        <w:rPr>
          <w:rFonts w:cs="Arial"/>
          <w:sz w:val="18"/>
          <w:szCs w:val="18"/>
        </w:rPr>
        <w:t>https://www.disciplinafinanciera.hacienda.gob.mx/es/DISCIPLINA_FINANCIERA/Entidades_Federativas_2024</w:t>
      </w:r>
    </w:p>
  </w:footnote>
  <w:footnote w:id="54">
    <w:p w14:paraId="128D4618" w14:textId="77777777" w:rsidR="00261A27" w:rsidRPr="00AF0E23" w:rsidRDefault="00261A27" w:rsidP="00261A27">
      <w:pPr>
        <w:pStyle w:val="Textonotapie"/>
        <w:rPr>
          <w:rFonts w:cs="Arial"/>
        </w:rPr>
      </w:pPr>
      <w:r w:rsidRPr="00AF0E23">
        <w:rPr>
          <w:rStyle w:val="Refdenotaalpie"/>
          <w:rFonts w:cs="Arial"/>
          <w:sz w:val="18"/>
          <w:szCs w:val="18"/>
        </w:rPr>
        <w:footnoteRef/>
      </w:r>
      <w:r w:rsidRPr="00AF0E23">
        <w:rPr>
          <w:rFonts w:cs="Arial"/>
          <w:sz w:val="18"/>
          <w:szCs w:val="18"/>
        </w:rPr>
        <w:t xml:space="preserve"> </w:t>
      </w:r>
      <w:r>
        <w:rPr>
          <w:rFonts w:cs="Arial"/>
          <w:sz w:val="18"/>
          <w:szCs w:val="18"/>
        </w:rPr>
        <w:t xml:space="preserve">Transparencia Internacional. (30 de enero de 2024). </w:t>
      </w:r>
      <w:r w:rsidRPr="00AF0E23">
        <w:rPr>
          <w:rFonts w:cs="Arial"/>
          <w:i/>
          <w:iCs/>
          <w:sz w:val="18"/>
          <w:szCs w:val="18"/>
        </w:rPr>
        <w:t>Índice de percepción de la corrupción 2023: El debilitamiento de los sistemas de justicia deja a la corrupción sin controles</w:t>
      </w:r>
      <w:r w:rsidRPr="00AF0E23">
        <w:rPr>
          <w:rFonts w:cs="Arial"/>
          <w:sz w:val="18"/>
          <w:szCs w:val="18"/>
        </w:rPr>
        <w:t>.</w:t>
      </w:r>
      <w:r>
        <w:rPr>
          <w:rFonts w:cs="Arial"/>
          <w:sz w:val="18"/>
          <w:szCs w:val="18"/>
        </w:rPr>
        <w:t xml:space="preserve"> </w:t>
      </w:r>
      <w:r w:rsidRPr="005D4204">
        <w:rPr>
          <w:rFonts w:cs="Arial"/>
          <w:sz w:val="18"/>
          <w:szCs w:val="18"/>
        </w:rPr>
        <w:t>https://www.transparency.org/es/press/cpi2023-corruption-perceptions-index-weakening-justice-systems-leave-corruption-unchecked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4472C4" w:themeColor="accent1"/>
        <w:spacing w:val="20"/>
        <w:sz w:val="28"/>
        <w:lang w:val="es-MX"/>
      </w:rPr>
      <w:alias w:val="Título"/>
      <w:tag w:val=""/>
      <w:id w:val="1613712270"/>
      <w:placeholder>
        <w:docPart w:val="30B9CA8B978468419745173DCA626C38"/>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B417096" w14:textId="1686364F" w:rsidR="008A701E" w:rsidRPr="001F2B81" w:rsidRDefault="001F6751" w:rsidP="008A701E">
        <w:pPr>
          <w:pStyle w:val="Sinespaciado"/>
          <w:spacing w:after="240" w:line="264" w:lineRule="auto"/>
          <w:jc w:val="center"/>
          <w:rPr>
            <w:color w:val="4472C4" w:themeColor="accent1"/>
            <w:spacing w:val="20"/>
            <w:sz w:val="28"/>
            <w:lang w:val="es-MX"/>
          </w:rPr>
        </w:pPr>
        <w:r w:rsidRPr="001F2B81">
          <w:rPr>
            <w:color w:val="4472C4" w:themeColor="accent1"/>
            <w:spacing w:val="20"/>
            <w:sz w:val="28"/>
            <w:lang w:val="es-MX"/>
          </w:rPr>
          <w:t>PLAN MUNICIPAL DE DESARROLLO DE HERMOSILLO 202</w:t>
        </w:r>
        <w:r w:rsidR="0005046A">
          <w:rPr>
            <w:color w:val="4472C4" w:themeColor="accent1"/>
            <w:spacing w:val="20"/>
            <w:sz w:val="28"/>
            <w:lang w:val="es-MX"/>
          </w:rPr>
          <w:t>5</w:t>
        </w:r>
        <w:r w:rsidRPr="001F2B81">
          <w:rPr>
            <w:color w:val="4472C4" w:themeColor="accent1"/>
            <w:spacing w:val="20"/>
            <w:sz w:val="28"/>
            <w:lang w:val="es-MX"/>
          </w:rPr>
          <w:t>-202</w:t>
        </w:r>
        <w:r w:rsidR="0005046A">
          <w:rPr>
            <w:color w:val="4472C4" w:themeColor="accent1"/>
            <w:spacing w:val="20"/>
            <w:sz w:val="28"/>
            <w:lang w:val="es-MX"/>
          </w:rPr>
          <w:t>7</w:t>
        </w:r>
      </w:p>
    </w:sdtContent>
  </w:sdt>
  <w:p w14:paraId="3CCEBE85" w14:textId="77777777" w:rsidR="008A701E" w:rsidRDefault="008A70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27D9"/>
    <w:multiLevelType w:val="multilevel"/>
    <w:tmpl w:val="BC88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B32E0"/>
    <w:multiLevelType w:val="hybridMultilevel"/>
    <w:tmpl w:val="D56AC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2D4DFE"/>
    <w:multiLevelType w:val="multilevel"/>
    <w:tmpl w:val="B192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35938"/>
    <w:multiLevelType w:val="hybridMultilevel"/>
    <w:tmpl w:val="0D3C3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3B3E34"/>
    <w:multiLevelType w:val="hybridMultilevel"/>
    <w:tmpl w:val="0428E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F92BFA"/>
    <w:multiLevelType w:val="hybridMultilevel"/>
    <w:tmpl w:val="2BFA967C"/>
    <w:lvl w:ilvl="0" w:tplc="79C8700C">
      <w:start w:val="1"/>
      <w:numFmt w:val="upperRoman"/>
      <w:lvlText w:val="%1."/>
      <w:lvlJc w:val="left"/>
      <w:pPr>
        <w:ind w:left="780" w:hanging="72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6" w15:restartNumberingAfterBreak="0">
    <w:nsid w:val="0FEB66C7"/>
    <w:multiLevelType w:val="hybridMultilevel"/>
    <w:tmpl w:val="7422A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8B288C"/>
    <w:multiLevelType w:val="hybridMultilevel"/>
    <w:tmpl w:val="95CE9272"/>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15E103F2"/>
    <w:multiLevelType w:val="hybridMultilevel"/>
    <w:tmpl w:val="20386816"/>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9" w15:restartNumberingAfterBreak="0">
    <w:nsid w:val="1C174CCC"/>
    <w:multiLevelType w:val="hybridMultilevel"/>
    <w:tmpl w:val="E9641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2B4DA8"/>
    <w:multiLevelType w:val="hybridMultilevel"/>
    <w:tmpl w:val="381AAD64"/>
    <w:lvl w:ilvl="0" w:tplc="4C0CB7A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39C3E9E"/>
    <w:multiLevelType w:val="hybridMultilevel"/>
    <w:tmpl w:val="F6FA6F1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4580961"/>
    <w:multiLevelType w:val="hybridMultilevel"/>
    <w:tmpl w:val="1696CC7C"/>
    <w:lvl w:ilvl="0" w:tplc="080A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5FD07A7"/>
    <w:multiLevelType w:val="hybridMultilevel"/>
    <w:tmpl w:val="CAE673C2"/>
    <w:lvl w:ilvl="0" w:tplc="7B608244">
      <w:start w:val="1"/>
      <w:numFmt w:val="upperRoman"/>
      <w:lvlText w:val="%1."/>
      <w:lvlJc w:val="right"/>
      <w:pPr>
        <w:ind w:left="1353" w:hanging="360"/>
      </w:p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14" w15:restartNumberingAfterBreak="0">
    <w:nsid w:val="2A3858D1"/>
    <w:multiLevelType w:val="multilevel"/>
    <w:tmpl w:val="1226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26ACB"/>
    <w:multiLevelType w:val="hybridMultilevel"/>
    <w:tmpl w:val="D472C6EC"/>
    <w:lvl w:ilvl="0" w:tplc="E256BC30">
      <w:start w:val="1"/>
      <w:numFmt w:val="upperRoman"/>
      <w:lvlText w:val="%1."/>
      <w:lvlJc w:val="left"/>
      <w:pPr>
        <w:ind w:left="1080" w:hanging="720"/>
      </w:pPr>
      <w:rPr>
        <w:rFonts w:hint="default"/>
      </w:rPr>
    </w:lvl>
    <w:lvl w:ilvl="1" w:tplc="FE1AC792">
      <w:start w:val="1"/>
      <w:numFmt w:val="decimal"/>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DDC73A4"/>
    <w:multiLevelType w:val="multilevel"/>
    <w:tmpl w:val="55D0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857C96"/>
    <w:multiLevelType w:val="hybridMultilevel"/>
    <w:tmpl w:val="087CD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FA0B62"/>
    <w:multiLevelType w:val="hybridMultilevel"/>
    <w:tmpl w:val="E4F67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876403"/>
    <w:multiLevelType w:val="multilevel"/>
    <w:tmpl w:val="0108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22921"/>
    <w:multiLevelType w:val="hybridMultilevel"/>
    <w:tmpl w:val="10C0D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F94E03"/>
    <w:multiLevelType w:val="hybridMultilevel"/>
    <w:tmpl w:val="2F6A3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0C4229"/>
    <w:multiLevelType w:val="hybridMultilevel"/>
    <w:tmpl w:val="B04A79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785A15"/>
    <w:multiLevelType w:val="hybridMultilevel"/>
    <w:tmpl w:val="4232D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D02F8C"/>
    <w:multiLevelType w:val="hybridMultilevel"/>
    <w:tmpl w:val="BDCCEB7C"/>
    <w:lvl w:ilvl="0" w:tplc="516059E2">
      <w:start w:val="1"/>
      <w:numFmt w:val="upperRoman"/>
      <w:pStyle w:val="Ttulo1"/>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7669E8"/>
    <w:multiLevelType w:val="multilevel"/>
    <w:tmpl w:val="881C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EE45FB"/>
    <w:multiLevelType w:val="hybridMultilevel"/>
    <w:tmpl w:val="E1D65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2F6907"/>
    <w:multiLevelType w:val="hybridMultilevel"/>
    <w:tmpl w:val="BEECF872"/>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8" w15:restartNumberingAfterBreak="0">
    <w:nsid w:val="75854089"/>
    <w:multiLevelType w:val="hybridMultilevel"/>
    <w:tmpl w:val="1EF05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61557FE"/>
    <w:multiLevelType w:val="multilevel"/>
    <w:tmpl w:val="D6668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631A5B"/>
    <w:multiLevelType w:val="multilevel"/>
    <w:tmpl w:val="94E2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8436892">
    <w:abstractNumId w:val="22"/>
  </w:num>
  <w:num w:numId="2" w16cid:durableId="2131313693">
    <w:abstractNumId w:val="13"/>
  </w:num>
  <w:num w:numId="3" w16cid:durableId="101069422">
    <w:abstractNumId w:val="5"/>
  </w:num>
  <w:num w:numId="4" w16cid:durableId="1631671568">
    <w:abstractNumId w:val="4"/>
  </w:num>
  <w:num w:numId="5" w16cid:durableId="940724054">
    <w:abstractNumId w:val="23"/>
  </w:num>
  <w:num w:numId="6" w16cid:durableId="1197964977">
    <w:abstractNumId w:val="11"/>
  </w:num>
  <w:num w:numId="7" w16cid:durableId="366226611">
    <w:abstractNumId w:val="12"/>
  </w:num>
  <w:num w:numId="8" w16cid:durableId="106388123">
    <w:abstractNumId w:val="28"/>
  </w:num>
  <w:num w:numId="9" w16cid:durableId="1162158561">
    <w:abstractNumId w:val="3"/>
  </w:num>
  <w:num w:numId="10" w16cid:durableId="1614744069">
    <w:abstractNumId w:val="26"/>
  </w:num>
  <w:num w:numId="11" w16cid:durableId="520901394">
    <w:abstractNumId w:val="9"/>
  </w:num>
  <w:num w:numId="12" w16cid:durableId="660892494">
    <w:abstractNumId w:val="6"/>
  </w:num>
  <w:num w:numId="13" w16cid:durableId="1700158385">
    <w:abstractNumId w:val="15"/>
  </w:num>
  <w:num w:numId="14" w16cid:durableId="1489858881">
    <w:abstractNumId w:val="10"/>
  </w:num>
  <w:num w:numId="15" w16cid:durableId="1055545702">
    <w:abstractNumId w:val="18"/>
  </w:num>
  <w:num w:numId="16" w16cid:durableId="1784376358">
    <w:abstractNumId w:val="8"/>
  </w:num>
  <w:num w:numId="17" w16cid:durableId="1477454305">
    <w:abstractNumId w:val="14"/>
  </w:num>
  <w:num w:numId="18" w16cid:durableId="1753744129">
    <w:abstractNumId w:val="16"/>
  </w:num>
  <w:num w:numId="19" w16cid:durableId="1775662572">
    <w:abstractNumId w:val="25"/>
  </w:num>
  <w:num w:numId="20" w16cid:durableId="811603173">
    <w:abstractNumId w:val="2"/>
  </w:num>
  <w:num w:numId="21" w16cid:durableId="1340500091">
    <w:abstractNumId w:val="30"/>
  </w:num>
  <w:num w:numId="22" w16cid:durableId="158693542">
    <w:abstractNumId w:val="19"/>
  </w:num>
  <w:num w:numId="23" w16cid:durableId="1090856496">
    <w:abstractNumId w:val="0"/>
  </w:num>
  <w:num w:numId="24" w16cid:durableId="1099839815">
    <w:abstractNumId w:val="29"/>
  </w:num>
  <w:num w:numId="25" w16cid:durableId="1600025230">
    <w:abstractNumId w:val="27"/>
  </w:num>
  <w:num w:numId="26" w16cid:durableId="1282540101">
    <w:abstractNumId w:val="17"/>
  </w:num>
  <w:num w:numId="27" w16cid:durableId="780490432">
    <w:abstractNumId w:val="21"/>
  </w:num>
  <w:num w:numId="28" w16cid:durableId="1774931200">
    <w:abstractNumId w:val="20"/>
  </w:num>
  <w:num w:numId="29" w16cid:durableId="2062822446">
    <w:abstractNumId w:val="7"/>
  </w:num>
  <w:num w:numId="30" w16cid:durableId="2020112607">
    <w:abstractNumId w:val="1"/>
  </w:num>
  <w:num w:numId="31" w16cid:durableId="1726100255">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71E"/>
    <w:rsid w:val="000107A8"/>
    <w:rsid w:val="00013265"/>
    <w:rsid w:val="00013F4A"/>
    <w:rsid w:val="00017A14"/>
    <w:rsid w:val="000217F1"/>
    <w:rsid w:val="00034EA1"/>
    <w:rsid w:val="00042EDD"/>
    <w:rsid w:val="00046D3B"/>
    <w:rsid w:val="0005046A"/>
    <w:rsid w:val="00050C00"/>
    <w:rsid w:val="00057D88"/>
    <w:rsid w:val="00062F4C"/>
    <w:rsid w:val="00064978"/>
    <w:rsid w:val="000675E7"/>
    <w:rsid w:val="00070D83"/>
    <w:rsid w:val="00075F02"/>
    <w:rsid w:val="0008162A"/>
    <w:rsid w:val="00082EEB"/>
    <w:rsid w:val="0008467F"/>
    <w:rsid w:val="000A76C3"/>
    <w:rsid w:val="000A7ADB"/>
    <w:rsid w:val="000B09A9"/>
    <w:rsid w:val="000B2A82"/>
    <w:rsid w:val="000C182F"/>
    <w:rsid w:val="000C3321"/>
    <w:rsid w:val="000C5F27"/>
    <w:rsid w:val="000E313A"/>
    <w:rsid w:val="000E51C7"/>
    <w:rsid w:val="000F0D99"/>
    <w:rsid w:val="000F55D3"/>
    <w:rsid w:val="0011022A"/>
    <w:rsid w:val="0011097C"/>
    <w:rsid w:val="0011208A"/>
    <w:rsid w:val="00114FD4"/>
    <w:rsid w:val="001202FB"/>
    <w:rsid w:val="00143002"/>
    <w:rsid w:val="001447B3"/>
    <w:rsid w:val="00144935"/>
    <w:rsid w:val="00151F8F"/>
    <w:rsid w:val="00160DC6"/>
    <w:rsid w:val="001633B5"/>
    <w:rsid w:val="00163FF7"/>
    <w:rsid w:val="001703CD"/>
    <w:rsid w:val="00172C7C"/>
    <w:rsid w:val="00172F11"/>
    <w:rsid w:val="00174060"/>
    <w:rsid w:val="001761DC"/>
    <w:rsid w:val="00187530"/>
    <w:rsid w:val="0019377C"/>
    <w:rsid w:val="00193B61"/>
    <w:rsid w:val="00193F0B"/>
    <w:rsid w:val="001A07B5"/>
    <w:rsid w:val="001A0A32"/>
    <w:rsid w:val="001A35B0"/>
    <w:rsid w:val="001B0AB5"/>
    <w:rsid w:val="001E3AE9"/>
    <w:rsid w:val="001F2B81"/>
    <w:rsid w:val="001F6751"/>
    <w:rsid w:val="001F6DC6"/>
    <w:rsid w:val="00202049"/>
    <w:rsid w:val="0020772B"/>
    <w:rsid w:val="0021252B"/>
    <w:rsid w:val="00222628"/>
    <w:rsid w:val="002338C7"/>
    <w:rsid w:val="00233CB3"/>
    <w:rsid w:val="002361C8"/>
    <w:rsid w:val="002362C0"/>
    <w:rsid w:val="00241057"/>
    <w:rsid w:val="00245580"/>
    <w:rsid w:val="00261A27"/>
    <w:rsid w:val="002637BE"/>
    <w:rsid w:val="00263F0B"/>
    <w:rsid w:val="002729B3"/>
    <w:rsid w:val="00272DED"/>
    <w:rsid w:val="002730CE"/>
    <w:rsid w:val="00283C59"/>
    <w:rsid w:val="002869D5"/>
    <w:rsid w:val="00287CF8"/>
    <w:rsid w:val="00293433"/>
    <w:rsid w:val="002951A3"/>
    <w:rsid w:val="0029780A"/>
    <w:rsid w:val="002A01C5"/>
    <w:rsid w:val="002A0F1E"/>
    <w:rsid w:val="002B037F"/>
    <w:rsid w:val="002B1A6B"/>
    <w:rsid w:val="002B2BD1"/>
    <w:rsid w:val="002B7A8E"/>
    <w:rsid w:val="002C3699"/>
    <w:rsid w:val="002D0E33"/>
    <w:rsid w:val="002D10CE"/>
    <w:rsid w:val="002D240A"/>
    <w:rsid w:val="002D3DD6"/>
    <w:rsid w:val="002E58A2"/>
    <w:rsid w:val="002F130C"/>
    <w:rsid w:val="002F194E"/>
    <w:rsid w:val="00303A8B"/>
    <w:rsid w:val="00304D45"/>
    <w:rsid w:val="0030504C"/>
    <w:rsid w:val="003429F0"/>
    <w:rsid w:val="00354340"/>
    <w:rsid w:val="00360CF3"/>
    <w:rsid w:val="00363FFA"/>
    <w:rsid w:val="003728EB"/>
    <w:rsid w:val="00383AB0"/>
    <w:rsid w:val="00384441"/>
    <w:rsid w:val="0038570B"/>
    <w:rsid w:val="00392809"/>
    <w:rsid w:val="003A60C6"/>
    <w:rsid w:val="003A788C"/>
    <w:rsid w:val="003B11C8"/>
    <w:rsid w:val="003B31A0"/>
    <w:rsid w:val="003B70E5"/>
    <w:rsid w:val="003C1DD4"/>
    <w:rsid w:val="003C59DD"/>
    <w:rsid w:val="003D1DC6"/>
    <w:rsid w:val="003D2674"/>
    <w:rsid w:val="003D710A"/>
    <w:rsid w:val="00410898"/>
    <w:rsid w:val="00410D31"/>
    <w:rsid w:val="004155FB"/>
    <w:rsid w:val="004160A8"/>
    <w:rsid w:val="00420E91"/>
    <w:rsid w:val="00424EC6"/>
    <w:rsid w:val="0044071E"/>
    <w:rsid w:val="00442F08"/>
    <w:rsid w:val="00450238"/>
    <w:rsid w:val="004513B9"/>
    <w:rsid w:val="00451A76"/>
    <w:rsid w:val="0045340F"/>
    <w:rsid w:val="004564BF"/>
    <w:rsid w:val="00460BA3"/>
    <w:rsid w:val="0046280B"/>
    <w:rsid w:val="00475C06"/>
    <w:rsid w:val="00484240"/>
    <w:rsid w:val="004919DF"/>
    <w:rsid w:val="0049315B"/>
    <w:rsid w:val="004945BE"/>
    <w:rsid w:val="00494679"/>
    <w:rsid w:val="004959AA"/>
    <w:rsid w:val="0049662C"/>
    <w:rsid w:val="004A628E"/>
    <w:rsid w:val="004B085F"/>
    <w:rsid w:val="004C7336"/>
    <w:rsid w:val="004D4056"/>
    <w:rsid w:val="004E2168"/>
    <w:rsid w:val="00501484"/>
    <w:rsid w:val="00507499"/>
    <w:rsid w:val="00516DB0"/>
    <w:rsid w:val="0053139F"/>
    <w:rsid w:val="00540E2B"/>
    <w:rsid w:val="00562904"/>
    <w:rsid w:val="005664F6"/>
    <w:rsid w:val="005729AE"/>
    <w:rsid w:val="00572A6B"/>
    <w:rsid w:val="00583B06"/>
    <w:rsid w:val="00594673"/>
    <w:rsid w:val="005A23D0"/>
    <w:rsid w:val="005C071A"/>
    <w:rsid w:val="005C5992"/>
    <w:rsid w:val="005D00D5"/>
    <w:rsid w:val="005D194A"/>
    <w:rsid w:val="005E205D"/>
    <w:rsid w:val="005E3EFC"/>
    <w:rsid w:val="005F561C"/>
    <w:rsid w:val="005F6715"/>
    <w:rsid w:val="006004FD"/>
    <w:rsid w:val="006008A3"/>
    <w:rsid w:val="00602DFE"/>
    <w:rsid w:val="006048AE"/>
    <w:rsid w:val="00605BF1"/>
    <w:rsid w:val="00623441"/>
    <w:rsid w:val="0062376D"/>
    <w:rsid w:val="00626AB9"/>
    <w:rsid w:val="00661833"/>
    <w:rsid w:val="00666BC4"/>
    <w:rsid w:val="00670906"/>
    <w:rsid w:val="00676745"/>
    <w:rsid w:val="006845F7"/>
    <w:rsid w:val="00695171"/>
    <w:rsid w:val="006A4C53"/>
    <w:rsid w:val="006A6722"/>
    <w:rsid w:val="006A71B1"/>
    <w:rsid w:val="006B5CD3"/>
    <w:rsid w:val="006D1D7E"/>
    <w:rsid w:val="006E49C9"/>
    <w:rsid w:val="006E5E20"/>
    <w:rsid w:val="006E76BB"/>
    <w:rsid w:val="006F191D"/>
    <w:rsid w:val="006F68A0"/>
    <w:rsid w:val="0070248C"/>
    <w:rsid w:val="0070429C"/>
    <w:rsid w:val="007046E2"/>
    <w:rsid w:val="00711FD9"/>
    <w:rsid w:val="00713A5F"/>
    <w:rsid w:val="007225D5"/>
    <w:rsid w:val="00726BAD"/>
    <w:rsid w:val="00733B2B"/>
    <w:rsid w:val="00734FFB"/>
    <w:rsid w:val="00737CFF"/>
    <w:rsid w:val="007503ED"/>
    <w:rsid w:val="00755D0F"/>
    <w:rsid w:val="0075609B"/>
    <w:rsid w:val="00757C55"/>
    <w:rsid w:val="00761D76"/>
    <w:rsid w:val="0076416A"/>
    <w:rsid w:val="00777568"/>
    <w:rsid w:val="007937B7"/>
    <w:rsid w:val="007938F2"/>
    <w:rsid w:val="007A5EF6"/>
    <w:rsid w:val="007A7883"/>
    <w:rsid w:val="007B4871"/>
    <w:rsid w:val="007C674C"/>
    <w:rsid w:val="007C6CE9"/>
    <w:rsid w:val="007C7CFF"/>
    <w:rsid w:val="007D365D"/>
    <w:rsid w:val="007F3B9E"/>
    <w:rsid w:val="008015C5"/>
    <w:rsid w:val="00804202"/>
    <w:rsid w:val="00805C66"/>
    <w:rsid w:val="00806C6D"/>
    <w:rsid w:val="00834EF9"/>
    <w:rsid w:val="00835115"/>
    <w:rsid w:val="00841F72"/>
    <w:rsid w:val="008474ED"/>
    <w:rsid w:val="008511B6"/>
    <w:rsid w:val="00856AF2"/>
    <w:rsid w:val="008604C2"/>
    <w:rsid w:val="0086589E"/>
    <w:rsid w:val="00865BB0"/>
    <w:rsid w:val="0086624C"/>
    <w:rsid w:val="0086730D"/>
    <w:rsid w:val="00870A4A"/>
    <w:rsid w:val="00872A77"/>
    <w:rsid w:val="008821D8"/>
    <w:rsid w:val="00886C1A"/>
    <w:rsid w:val="008905CC"/>
    <w:rsid w:val="008955BA"/>
    <w:rsid w:val="008A271D"/>
    <w:rsid w:val="008A3B27"/>
    <w:rsid w:val="008A5212"/>
    <w:rsid w:val="008A701E"/>
    <w:rsid w:val="008B04D0"/>
    <w:rsid w:val="008B1C9D"/>
    <w:rsid w:val="008C0AEC"/>
    <w:rsid w:val="008C34A0"/>
    <w:rsid w:val="008C783A"/>
    <w:rsid w:val="008D0057"/>
    <w:rsid w:val="008D23BD"/>
    <w:rsid w:val="008D52BB"/>
    <w:rsid w:val="008D7107"/>
    <w:rsid w:val="008D7FDE"/>
    <w:rsid w:val="008E1AEF"/>
    <w:rsid w:val="008E374F"/>
    <w:rsid w:val="008E57DA"/>
    <w:rsid w:val="00907E29"/>
    <w:rsid w:val="009350AB"/>
    <w:rsid w:val="00937D35"/>
    <w:rsid w:val="0094277E"/>
    <w:rsid w:val="009538B4"/>
    <w:rsid w:val="00973279"/>
    <w:rsid w:val="00981ED6"/>
    <w:rsid w:val="00983F12"/>
    <w:rsid w:val="0098591E"/>
    <w:rsid w:val="00985D4F"/>
    <w:rsid w:val="00994A67"/>
    <w:rsid w:val="009A389C"/>
    <w:rsid w:val="009A5D2A"/>
    <w:rsid w:val="009A5F33"/>
    <w:rsid w:val="009A70FB"/>
    <w:rsid w:val="009B0872"/>
    <w:rsid w:val="009B1048"/>
    <w:rsid w:val="009C2B4A"/>
    <w:rsid w:val="009C75C6"/>
    <w:rsid w:val="009D3494"/>
    <w:rsid w:val="009D611B"/>
    <w:rsid w:val="009E1BDC"/>
    <w:rsid w:val="009F3BAF"/>
    <w:rsid w:val="009F4794"/>
    <w:rsid w:val="009F4F7F"/>
    <w:rsid w:val="00A007FA"/>
    <w:rsid w:val="00A01CD7"/>
    <w:rsid w:val="00A033CE"/>
    <w:rsid w:val="00A07584"/>
    <w:rsid w:val="00A1027F"/>
    <w:rsid w:val="00A119B4"/>
    <w:rsid w:val="00A11FDE"/>
    <w:rsid w:val="00A13BDA"/>
    <w:rsid w:val="00A13CE0"/>
    <w:rsid w:val="00A151D2"/>
    <w:rsid w:val="00A2034A"/>
    <w:rsid w:val="00A23837"/>
    <w:rsid w:val="00A2577C"/>
    <w:rsid w:val="00A31833"/>
    <w:rsid w:val="00A46895"/>
    <w:rsid w:val="00A46F30"/>
    <w:rsid w:val="00A47D38"/>
    <w:rsid w:val="00A50DAD"/>
    <w:rsid w:val="00A52405"/>
    <w:rsid w:val="00A66D14"/>
    <w:rsid w:val="00A67882"/>
    <w:rsid w:val="00A75875"/>
    <w:rsid w:val="00A762DE"/>
    <w:rsid w:val="00A8122C"/>
    <w:rsid w:val="00A844EE"/>
    <w:rsid w:val="00A87684"/>
    <w:rsid w:val="00A91AA8"/>
    <w:rsid w:val="00A93423"/>
    <w:rsid w:val="00A96101"/>
    <w:rsid w:val="00A96A10"/>
    <w:rsid w:val="00A96D8B"/>
    <w:rsid w:val="00AB1FA5"/>
    <w:rsid w:val="00AB3140"/>
    <w:rsid w:val="00AC114E"/>
    <w:rsid w:val="00AC3A8A"/>
    <w:rsid w:val="00AC3B12"/>
    <w:rsid w:val="00AC4CF2"/>
    <w:rsid w:val="00AD36FE"/>
    <w:rsid w:val="00AE0DCA"/>
    <w:rsid w:val="00AE151B"/>
    <w:rsid w:val="00AE61EB"/>
    <w:rsid w:val="00AE7127"/>
    <w:rsid w:val="00AF1D5D"/>
    <w:rsid w:val="00AF21A5"/>
    <w:rsid w:val="00AF2F2D"/>
    <w:rsid w:val="00B02114"/>
    <w:rsid w:val="00B036AA"/>
    <w:rsid w:val="00B06259"/>
    <w:rsid w:val="00B205BA"/>
    <w:rsid w:val="00B2461A"/>
    <w:rsid w:val="00B529B0"/>
    <w:rsid w:val="00B52E6C"/>
    <w:rsid w:val="00B536AD"/>
    <w:rsid w:val="00B70A4C"/>
    <w:rsid w:val="00B77EC1"/>
    <w:rsid w:val="00B81D30"/>
    <w:rsid w:val="00BA517E"/>
    <w:rsid w:val="00BB0F02"/>
    <w:rsid w:val="00BB29CB"/>
    <w:rsid w:val="00BB6455"/>
    <w:rsid w:val="00BC6933"/>
    <w:rsid w:val="00BD09D3"/>
    <w:rsid w:val="00BE27E9"/>
    <w:rsid w:val="00BE31C9"/>
    <w:rsid w:val="00C028AC"/>
    <w:rsid w:val="00C123D6"/>
    <w:rsid w:val="00C15D49"/>
    <w:rsid w:val="00C3155F"/>
    <w:rsid w:val="00C32544"/>
    <w:rsid w:val="00C44890"/>
    <w:rsid w:val="00C47BF8"/>
    <w:rsid w:val="00C52FA7"/>
    <w:rsid w:val="00C570F7"/>
    <w:rsid w:val="00C70FEC"/>
    <w:rsid w:val="00C81325"/>
    <w:rsid w:val="00C87C07"/>
    <w:rsid w:val="00C917BE"/>
    <w:rsid w:val="00CA09C0"/>
    <w:rsid w:val="00CA2EC1"/>
    <w:rsid w:val="00CB5E7A"/>
    <w:rsid w:val="00CB668B"/>
    <w:rsid w:val="00CD4A86"/>
    <w:rsid w:val="00CE56A7"/>
    <w:rsid w:val="00CF0387"/>
    <w:rsid w:val="00D06328"/>
    <w:rsid w:val="00D17E0D"/>
    <w:rsid w:val="00D33E1E"/>
    <w:rsid w:val="00D41046"/>
    <w:rsid w:val="00D4113D"/>
    <w:rsid w:val="00D43392"/>
    <w:rsid w:val="00D47EF0"/>
    <w:rsid w:val="00D503D0"/>
    <w:rsid w:val="00D51BEA"/>
    <w:rsid w:val="00D56818"/>
    <w:rsid w:val="00D64B51"/>
    <w:rsid w:val="00D676B0"/>
    <w:rsid w:val="00D67BEE"/>
    <w:rsid w:val="00D72B00"/>
    <w:rsid w:val="00D8301A"/>
    <w:rsid w:val="00DA0B1E"/>
    <w:rsid w:val="00DA2117"/>
    <w:rsid w:val="00DA27A7"/>
    <w:rsid w:val="00DA54A4"/>
    <w:rsid w:val="00DA6485"/>
    <w:rsid w:val="00DB1C66"/>
    <w:rsid w:val="00DB74E0"/>
    <w:rsid w:val="00DC160E"/>
    <w:rsid w:val="00DC2AFE"/>
    <w:rsid w:val="00DC50FA"/>
    <w:rsid w:val="00DD3393"/>
    <w:rsid w:val="00DD54EE"/>
    <w:rsid w:val="00E03BCD"/>
    <w:rsid w:val="00E22CF1"/>
    <w:rsid w:val="00E3041D"/>
    <w:rsid w:val="00E32DB2"/>
    <w:rsid w:val="00E34DD3"/>
    <w:rsid w:val="00E44E8D"/>
    <w:rsid w:val="00E47D80"/>
    <w:rsid w:val="00E7140A"/>
    <w:rsid w:val="00E764A6"/>
    <w:rsid w:val="00E8574C"/>
    <w:rsid w:val="00E86AB5"/>
    <w:rsid w:val="00E91BE2"/>
    <w:rsid w:val="00E96867"/>
    <w:rsid w:val="00EA41D4"/>
    <w:rsid w:val="00EA5F6B"/>
    <w:rsid w:val="00EB28E3"/>
    <w:rsid w:val="00EC118C"/>
    <w:rsid w:val="00EC3C2F"/>
    <w:rsid w:val="00EC6ABF"/>
    <w:rsid w:val="00EE549C"/>
    <w:rsid w:val="00EE5F78"/>
    <w:rsid w:val="00EF28C7"/>
    <w:rsid w:val="00EF5FAC"/>
    <w:rsid w:val="00F15563"/>
    <w:rsid w:val="00F20364"/>
    <w:rsid w:val="00F35847"/>
    <w:rsid w:val="00F44A56"/>
    <w:rsid w:val="00F520C4"/>
    <w:rsid w:val="00F536FE"/>
    <w:rsid w:val="00F61D95"/>
    <w:rsid w:val="00F643F1"/>
    <w:rsid w:val="00F6526D"/>
    <w:rsid w:val="00F654F2"/>
    <w:rsid w:val="00F67515"/>
    <w:rsid w:val="00F67AC2"/>
    <w:rsid w:val="00F71AEF"/>
    <w:rsid w:val="00F760B0"/>
    <w:rsid w:val="00F8357E"/>
    <w:rsid w:val="00F86311"/>
    <w:rsid w:val="00F927A6"/>
    <w:rsid w:val="00F95E57"/>
    <w:rsid w:val="00FA437F"/>
    <w:rsid w:val="00FB506B"/>
    <w:rsid w:val="00FB5257"/>
    <w:rsid w:val="00FC5F21"/>
    <w:rsid w:val="00FE5465"/>
    <w:rsid w:val="00FE6673"/>
    <w:rsid w:val="00FF3550"/>
    <w:rsid w:val="00FF481B"/>
    <w:rsid w:val="00FF6A56"/>
    <w:rsid w:val="00FF71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7EDF4"/>
  <w15:chartTrackingRefBased/>
  <w15:docId w15:val="{6BC29063-34F2-4C83-9714-4D2E5C0D8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FFA"/>
    <w:pPr>
      <w:spacing w:after="200" w:line="360" w:lineRule="auto"/>
      <w:jc w:val="both"/>
    </w:pPr>
    <w:rPr>
      <w:rFonts w:ascii="Arial" w:eastAsiaTheme="minorEastAsia" w:hAnsi="Arial"/>
      <w:lang w:val="es-ES" w:bidi="en-US"/>
    </w:rPr>
  </w:style>
  <w:style w:type="paragraph" w:styleId="Ttulo1">
    <w:name w:val="heading 1"/>
    <w:basedOn w:val="Normal"/>
    <w:next w:val="Normal"/>
    <w:link w:val="Ttulo1Car"/>
    <w:uiPriority w:val="9"/>
    <w:qFormat/>
    <w:rsid w:val="00C32544"/>
    <w:pPr>
      <w:keepNext/>
      <w:keepLines/>
      <w:numPr>
        <w:numId w:val="31"/>
      </w:numPr>
      <w:spacing w:before="240" w:after="0" w:line="480" w:lineRule="auto"/>
      <w:jc w:val="left"/>
      <w:outlineLvl w:val="0"/>
    </w:pPr>
    <w:rPr>
      <w:rFonts w:eastAsiaTheme="majorEastAsia" w:cstheme="majorBidi"/>
      <w:b/>
      <w:sz w:val="28"/>
      <w:szCs w:val="32"/>
      <w:lang w:val="es-MX" w:eastAsia="es-ES_tradnl" w:bidi="ar-SA"/>
    </w:rPr>
  </w:style>
  <w:style w:type="paragraph" w:styleId="Ttulo2">
    <w:name w:val="heading 2"/>
    <w:basedOn w:val="Normal"/>
    <w:next w:val="Normal"/>
    <w:link w:val="Ttulo2Car"/>
    <w:uiPriority w:val="9"/>
    <w:unhideWhenUsed/>
    <w:qFormat/>
    <w:rsid w:val="00C32544"/>
    <w:pPr>
      <w:keepNext/>
      <w:keepLines/>
      <w:spacing w:before="160" w:after="80" w:line="259" w:lineRule="auto"/>
      <w:outlineLvl w:val="1"/>
    </w:pPr>
    <w:rPr>
      <w:rFonts w:eastAsiaTheme="majorEastAsia" w:cstheme="majorBidi"/>
      <w:b/>
      <w:kern w:val="2"/>
      <w:sz w:val="36"/>
      <w:szCs w:val="32"/>
      <w:lang w:val="es-MX" w:bidi="ar-SA"/>
      <w14:ligatures w14:val="standardContextual"/>
    </w:rPr>
  </w:style>
  <w:style w:type="paragraph" w:styleId="Ttulo3">
    <w:name w:val="heading 3"/>
    <w:basedOn w:val="Normal"/>
    <w:link w:val="Ttulo3Car"/>
    <w:uiPriority w:val="9"/>
    <w:qFormat/>
    <w:rsid w:val="007D365D"/>
    <w:pPr>
      <w:spacing w:before="100" w:beforeAutospacing="1" w:after="100" w:afterAutospacing="1" w:line="240" w:lineRule="auto"/>
      <w:jc w:val="left"/>
      <w:outlineLvl w:val="2"/>
    </w:pPr>
    <w:rPr>
      <w:rFonts w:ascii="Times New Roman" w:eastAsia="Times New Roman" w:hAnsi="Times New Roman" w:cs="Times New Roman"/>
      <w:b/>
      <w:bCs/>
      <w:sz w:val="27"/>
      <w:szCs w:val="27"/>
      <w:lang w:val="es-MX" w:eastAsia="es-ES_tradnl" w:bidi="ar-SA"/>
    </w:rPr>
  </w:style>
  <w:style w:type="paragraph" w:styleId="Ttulo4">
    <w:name w:val="heading 4"/>
    <w:basedOn w:val="Normal"/>
    <w:next w:val="Normal"/>
    <w:link w:val="Ttulo4Car"/>
    <w:uiPriority w:val="9"/>
    <w:semiHidden/>
    <w:unhideWhenUsed/>
    <w:qFormat/>
    <w:rsid w:val="00163FF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2"/>
      <w:lang w:val="es-MX" w:bidi="ar-SA"/>
      <w14:ligatures w14:val="standardContextual"/>
    </w:rPr>
  </w:style>
  <w:style w:type="paragraph" w:styleId="Ttulo5">
    <w:name w:val="heading 5"/>
    <w:basedOn w:val="Normal"/>
    <w:next w:val="Normal"/>
    <w:link w:val="Ttulo5Car"/>
    <w:uiPriority w:val="9"/>
    <w:semiHidden/>
    <w:unhideWhenUsed/>
    <w:qFormat/>
    <w:rsid w:val="00163FF7"/>
    <w:pPr>
      <w:keepNext/>
      <w:keepLines/>
      <w:spacing w:before="80" w:after="40" w:line="259" w:lineRule="auto"/>
      <w:jc w:val="left"/>
      <w:outlineLvl w:val="4"/>
    </w:pPr>
    <w:rPr>
      <w:rFonts w:asciiTheme="minorHAnsi" w:eastAsiaTheme="majorEastAsia" w:hAnsiTheme="minorHAnsi" w:cstheme="majorBidi"/>
      <w:color w:val="2F5496" w:themeColor="accent1" w:themeShade="BF"/>
      <w:kern w:val="2"/>
      <w:lang w:val="es-MX" w:bidi="ar-SA"/>
      <w14:ligatures w14:val="standardContextual"/>
    </w:rPr>
  </w:style>
  <w:style w:type="paragraph" w:styleId="Ttulo6">
    <w:name w:val="heading 6"/>
    <w:basedOn w:val="Normal"/>
    <w:next w:val="Normal"/>
    <w:link w:val="Ttulo6Car"/>
    <w:uiPriority w:val="9"/>
    <w:semiHidden/>
    <w:unhideWhenUsed/>
    <w:qFormat/>
    <w:rsid w:val="00163FF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2"/>
      <w:lang w:val="es-MX" w:bidi="ar-SA"/>
      <w14:ligatures w14:val="standardContextual"/>
    </w:rPr>
  </w:style>
  <w:style w:type="paragraph" w:styleId="Ttulo7">
    <w:name w:val="heading 7"/>
    <w:basedOn w:val="Normal"/>
    <w:next w:val="Normal"/>
    <w:link w:val="Ttulo7Car"/>
    <w:uiPriority w:val="9"/>
    <w:semiHidden/>
    <w:unhideWhenUsed/>
    <w:qFormat/>
    <w:rsid w:val="00163FF7"/>
    <w:pPr>
      <w:keepNext/>
      <w:keepLines/>
      <w:spacing w:before="40" w:after="0" w:line="259" w:lineRule="auto"/>
      <w:jc w:val="left"/>
      <w:outlineLvl w:val="6"/>
    </w:pPr>
    <w:rPr>
      <w:rFonts w:asciiTheme="minorHAnsi" w:eastAsiaTheme="majorEastAsia" w:hAnsiTheme="minorHAnsi" w:cstheme="majorBidi"/>
      <w:color w:val="595959" w:themeColor="text1" w:themeTint="A6"/>
      <w:kern w:val="2"/>
      <w:lang w:val="es-MX" w:bidi="ar-SA"/>
      <w14:ligatures w14:val="standardContextual"/>
    </w:rPr>
  </w:style>
  <w:style w:type="paragraph" w:styleId="Ttulo8">
    <w:name w:val="heading 8"/>
    <w:basedOn w:val="Normal"/>
    <w:next w:val="Normal"/>
    <w:link w:val="Ttulo8Car"/>
    <w:uiPriority w:val="9"/>
    <w:semiHidden/>
    <w:unhideWhenUsed/>
    <w:qFormat/>
    <w:rsid w:val="00163FF7"/>
    <w:pPr>
      <w:keepNext/>
      <w:keepLines/>
      <w:spacing w:after="0" w:line="259" w:lineRule="auto"/>
      <w:jc w:val="left"/>
      <w:outlineLvl w:val="7"/>
    </w:pPr>
    <w:rPr>
      <w:rFonts w:asciiTheme="minorHAnsi" w:eastAsiaTheme="majorEastAsia" w:hAnsiTheme="minorHAnsi" w:cstheme="majorBidi"/>
      <w:i/>
      <w:iCs/>
      <w:color w:val="272727" w:themeColor="text1" w:themeTint="D8"/>
      <w:kern w:val="2"/>
      <w:lang w:val="es-MX" w:bidi="ar-SA"/>
      <w14:ligatures w14:val="standardContextual"/>
    </w:rPr>
  </w:style>
  <w:style w:type="paragraph" w:styleId="Ttulo9">
    <w:name w:val="heading 9"/>
    <w:basedOn w:val="Normal"/>
    <w:next w:val="Normal"/>
    <w:link w:val="Ttulo9Car"/>
    <w:uiPriority w:val="9"/>
    <w:semiHidden/>
    <w:unhideWhenUsed/>
    <w:qFormat/>
    <w:rsid w:val="00163FF7"/>
    <w:pPr>
      <w:keepNext/>
      <w:keepLines/>
      <w:spacing w:after="0" w:line="259" w:lineRule="auto"/>
      <w:jc w:val="left"/>
      <w:outlineLvl w:val="8"/>
    </w:pPr>
    <w:rPr>
      <w:rFonts w:asciiTheme="minorHAnsi" w:eastAsiaTheme="majorEastAsia" w:hAnsiTheme="minorHAnsi" w:cstheme="majorBidi"/>
      <w:color w:val="272727" w:themeColor="text1" w:themeTint="D8"/>
      <w:kern w:val="2"/>
      <w:lang w:val="es-MX" w:bidi="ar-SA"/>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4071E"/>
    <w:pPr>
      <w:spacing w:before="100" w:beforeAutospacing="1" w:after="100" w:afterAutospacing="1" w:line="240" w:lineRule="auto"/>
      <w:jc w:val="left"/>
    </w:pPr>
    <w:rPr>
      <w:rFonts w:ascii="Times New Roman" w:hAnsi="Times New Roman" w:cs="Times New Roman"/>
      <w:sz w:val="24"/>
      <w:szCs w:val="24"/>
      <w:lang w:val="es-MX" w:eastAsia="es-MX" w:bidi="ar-SA"/>
    </w:rPr>
  </w:style>
  <w:style w:type="paragraph" w:styleId="TDC1">
    <w:name w:val="toc 1"/>
    <w:basedOn w:val="Normal"/>
    <w:next w:val="Normal"/>
    <w:autoRedefine/>
    <w:uiPriority w:val="39"/>
    <w:unhideWhenUsed/>
    <w:qFormat/>
    <w:rsid w:val="0070429C"/>
    <w:pPr>
      <w:tabs>
        <w:tab w:val="left" w:pos="1100"/>
        <w:tab w:val="right" w:leader="dot" w:pos="9356"/>
      </w:tabs>
      <w:spacing w:after="240" w:line="240" w:lineRule="auto"/>
      <w:ind w:left="1287"/>
    </w:pPr>
    <w:rPr>
      <w:rFonts w:eastAsia="Calibri" w:cs="Arial"/>
      <w:b/>
      <w:color w:val="000000" w:themeColor="text1"/>
      <w:sz w:val="28"/>
      <w:szCs w:val="28"/>
    </w:rPr>
  </w:style>
  <w:style w:type="paragraph" w:styleId="Prrafodelista">
    <w:name w:val="List Paragraph"/>
    <w:aliases w:val="Dot pt,No Spacing1,List Paragraph Char Char Char,Indicator Text,List Paragraph1,Numbered Para 1,Colorful List - Accent 11,Bullet 1,F5 List Paragraph,Bullet Points,lp1,viñetas,4 Párrafo de lista,Figuras,DH1,Lista bullets,Bullet List,列出段落"/>
    <w:basedOn w:val="Normal"/>
    <w:link w:val="PrrafodelistaCar"/>
    <w:uiPriority w:val="34"/>
    <w:qFormat/>
    <w:rsid w:val="0044071E"/>
    <w:pPr>
      <w:ind w:left="720"/>
      <w:contextualSpacing/>
    </w:pPr>
  </w:style>
  <w:style w:type="character" w:customStyle="1" w:styleId="PrrafodelistaCar">
    <w:name w:val="Párrafo de lista Car"/>
    <w:aliases w:val="Dot pt Car,No Spacing1 Car,List Paragraph Char Char Char Car,Indicator Text Car,List Paragraph1 Car,Numbered Para 1 Car,Colorful List - Accent 11 Car,Bullet 1 Car,F5 List Paragraph Car,Bullet Points Car,lp1 Car,viñetas Car,DH1 Car"/>
    <w:link w:val="Prrafodelista"/>
    <w:uiPriority w:val="34"/>
    <w:qFormat/>
    <w:rsid w:val="0044071E"/>
    <w:rPr>
      <w:rFonts w:eastAsiaTheme="minorEastAsia"/>
      <w:lang w:val="es-ES" w:bidi="en-US"/>
    </w:rPr>
  </w:style>
  <w:style w:type="paragraph" w:styleId="Encabezado">
    <w:name w:val="header"/>
    <w:basedOn w:val="Normal"/>
    <w:link w:val="EncabezadoCar"/>
    <w:uiPriority w:val="99"/>
    <w:unhideWhenUsed/>
    <w:rsid w:val="004407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071E"/>
    <w:rPr>
      <w:rFonts w:eastAsiaTheme="minorEastAsia"/>
      <w:lang w:val="es-ES" w:bidi="en-US"/>
    </w:rPr>
  </w:style>
  <w:style w:type="paragraph" w:styleId="Piedepgina">
    <w:name w:val="footer"/>
    <w:basedOn w:val="Normal"/>
    <w:link w:val="PiedepginaCar"/>
    <w:uiPriority w:val="99"/>
    <w:unhideWhenUsed/>
    <w:rsid w:val="004407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071E"/>
    <w:rPr>
      <w:rFonts w:eastAsiaTheme="minorEastAsia"/>
      <w:lang w:val="es-ES" w:bidi="en-US"/>
    </w:rPr>
  </w:style>
  <w:style w:type="character" w:styleId="Nmerodepgina">
    <w:name w:val="page number"/>
    <w:basedOn w:val="Fuentedeprrafopredeter"/>
    <w:uiPriority w:val="99"/>
    <w:semiHidden/>
    <w:unhideWhenUsed/>
    <w:rsid w:val="00303A8B"/>
  </w:style>
  <w:style w:type="paragraph" w:styleId="Sinespaciado">
    <w:name w:val="No Spacing"/>
    <w:uiPriority w:val="1"/>
    <w:qFormat/>
    <w:rsid w:val="008A701E"/>
    <w:pPr>
      <w:spacing w:after="0" w:line="240" w:lineRule="auto"/>
    </w:pPr>
    <w:rPr>
      <w:rFonts w:eastAsiaTheme="minorEastAsia"/>
      <w:lang w:val="en-US" w:eastAsia="zh-CN"/>
    </w:rPr>
  </w:style>
  <w:style w:type="paragraph" w:styleId="Textodeglobo">
    <w:name w:val="Balloon Text"/>
    <w:basedOn w:val="Normal"/>
    <w:link w:val="TextodegloboCar"/>
    <w:uiPriority w:val="99"/>
    <w:semiHidden/>
    <w:unhideWhenUsed/>
    <w:rsid w:val="00A93423"/>
    <w:pPr>
      <w:spacing w:after="0" w:line="240" w:lineRule="auto"/>
      <w:jc w:val="left"/>
    </w:pPr>
    <w:rPr>
      <w:rFonts w:ascii="Segoe UI" w:eastAsiaTheme="minorHAnsi" w:hAnsi="Segoe UI" w:cs="Segoe UI"/>
      <w:sz w:val="18"/>
      <w:szCs w:val="18"/>
      <w:lang w:val="es-MX" w:bidi="ar-SA"/>
    </w:rPr>
  </w:style>
  <w:style w:type="character" w:customStyle="1" w:styleId="TextodegloboCar">
    <w:name w:val="Texto de globo Car"/>
    <w:basedOn w:val="Fuentedeprrafopredeter"/>
    <w:link w:val="Textodeglobo"/>
    <w:uiPriority w:val="99"/>
    <w:semiHidden/>
    <w:rsid w:val="00A93423"/>
    <w:rPr>
      <w:rFonts w:ascii="Segoe UI" w:hAnsi="Segoe UI" w:cs="Segoe UI"/>
      <w:sz w:val="18"/>
      <w:szCs w:val="18"/>
    </w:rPr>
  </w:style>
  <w:style w:type="table" w:styleId="Tablaconcuadrcula">
    <w:name w:val="Table Grid"/>
    <w:basedOn w:val="Tablanormal"/>
    <w:uiPriority w:val="39"/>
    <w:rsid w:val="00A93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tref"/>
    <w:uiPriority w:val="99"/>
    <w:unhideWhenUsed/>
    <w:rsid w:val="00A93423"/>
    <w:rPr>
      <w:vertAlign w:val="superscript"/>
    </w:rPr>
  </w:style>
  <w:style w:type="paragraph" w:customStyle="1" w:styleId="PRRAFO">
    <w:name w:val="PÁRRAFO"/>
    <w:basedOn w:val="Prrafodelista"/>
    <w:link w:val="PRRAFOCar"/>
    <w:qFormat/>
    <w:rsid w:val="00A93423"/>
    <w:pPr>
      <w:spacing w:before="120" w:after="120" w:line="240" w:lineRule="auto"/>
      <w:ind w:left="0"/>
      <w:contextualSpacing w:val="0"/>
    </w:pPr>
    <w:rPr>
      <w:rFonts w:eastAsia="Calibri" w:cs="Times New Roman"/>
      <w:lang w:val="es-MX" w:bidi="ar-SA"/>
    </w:rPr>
  </w:style>
  <w:style w:type="character" w:customStyle="1" w:styleId="PRRAFOCar">
    <w:name w:val="PÁRRAFO Car"/>
    <w:link w:val="PRRAFO"/>
    <w:rsid w:val="00A93423"/>
    <w:rPr>
      <w:rFonts w:ascii="Arial" w:eastAsia="Calibri" w:hAnsi="Arial" w:cs="Times New Roman"/>
    </w:rPr>
  </w:style>
  <w:style w:type="paragraph" w:customStyle="1" w:styleId="NOTAPIEPGINA">
    <w:name w:val="NOTA PIE PÁGINA"/>
    <w:basedOn w:val="Textonotapie"/>
    <w:link w:val="NOTAPIEPGINACar"/>
    <w:qFormat/>
    <w:rsid w:val="00A93423"/>
    <w:pPr>
      <w:jc w:val="both"/>
    </w:pPr>
    <w:rPr>
      <w:rFonts w:eastAsia="Calibri" w:cs="Times New Roman"/>
      <w:sz w:val="16"/>
    </w:rPr>
  </w:style>
  <w:style w:type="character" w:customStyle="1" w:styleId="NOTAPIEPGINACar">
    <w:name w:val="NOTA PIE PÁGINA Car"/>
    <w:link w:val="NOTAPIEPGINA"/>
    <w:rsid w:val="00A93423"/>
    <w:rPr>
      <w:rFonts w:ascii="Arial" w:eastAsia="Calibri" w:hAnsi="Arial" w:cs="Times New Roman"/>
      <w:sz w:val="16"/>
      <w:szCs w:val="20"/>
    </w:rPr>
  </w:style>
  <w:style w:type="paragraph" w:styleId="Textonotapie">
    <w:name w:val="footnote text"/>
    <w:basedOn w:val="Normal"/>
    <w:link w:val="TextonotapieCar"/>
    <w:uiPriority w:val="99"/>
    <w:unhideWhenUsed/>
    <w:rsid w:val="00A93423"/>
    <w:pPr>
      <w:spacing w:after="0" w:line="240" w:lineRule="auto"/>
      <w:jc w:val="left"/>
    </w:pPr>
    <w:rPr>
      <w:rFonts w:eastAsiaTheme="minorHAnsi"/>
      <w:sz w:val="20"/>
      <w:szCs w:val="20"/>
      <w:lang w:val="es-MX" w:bidi="ar-SA"/>
    </w:rPr>
  </w:style>
  <w:style w:type="character" w:customStyle="1" w:styleId="TextonotapieCar">
    <w:name w:val="Texto nota pie Car"/>
    <w:basedOn w:val="Fuentedeprrafopredeter"/>
    <w:link w:val="Textonotapie"/>
    <w:uiPriority w:val="99"/>
    <w:rsid w:val="00A93423"/>
    <w:rPr>
      <w:sz w:val="20"/>
      <w:szCs w:val="20"/>
    </w:rPr>
  </w:style>
  <w:style w:type="paragraph" w:customStyle="1" w:styleId="FUENTE">
    <w:name w:val="FUENTE"/>
    <w:basedOn w:val="Normal"/>
    <w:link w:val="FUENTECar"/>
    <w:qFormat/>
    <w:rsid w:val="00A93423"/>
    <w:pPr>
      <w:spacing w:after="0" w:line="240" w:lineRule="auto"/>
    </w:pPr>
    <w:rPr>
      <w:rFonts w:eastAsia="+mn-ea" w:cs="Arial"/>
      <w:color w:val="000000"/>
      <w:kern w:val="24"/>
      <w:sz w:val="16"/>
      <w:szCs w:val="18"/>
      <w:lang w:val="es-MX" w:eastAsia="es-MX" w:bidi="ar-SA"/>
    </w:rPr>
  </w:style>
  <w:style w:type="character" w:customStyle="1" w:styleId="FUENTECar">
    <w:name w:val="FUENTE Car"/>
    <w:link w:val="FUENTE"/>
    <w:rsid w:val="00A93423"/>
    <w:rPr>
      <w:rFonts w:ascii="Arial" w:eastAsia="+mn-ea" w:hAnsi="Arial" w:cs="Arial"/>
      <w:color w:val="000000"/>
      <w:kern w:val="24"/>
      <w:sz w:val="16"/>
      <w:szCs w:val="18"/>
      <w:lang w:eastAsia="es-MX"/>
    </w:rPr>
  </w:style>
  <w:style w:type="paragraph" w:customStyle="1" w:styleId="TITCUADRO">
    <w:name w:val="TIT CUADRO"/>
    <w:basedOn w:val="Descripcin"/>
    <w:link w:val="TITCUADROCar"/>
    <w:qFormat/>
    <w:rsid w:val="00A93423"/>
    <w:pPr>
      <w:keepNext/>
      <w:jc w:val="center"/>
    </w:pPr>
    <w:rPr>
      <w:rFonts w:eastAsia="Calibri" w:cs="Arial"/>
      <w:b w:val="0"/>
      <w:color w:val="auto"/>
      <w:sz w:val="20"/>
      <w:szCs w:val="20"/>
    </w:rPr>
  </w:style>
  <w:style w:type="character" w:customStyle="1" w:styleId="TITCUADROCar">
    <w:name w:val="TIT CUADRO Car"/>
    <w:link w:val="TITCUADRO"/>
    <w:rsid w:val="00A93423"/>
    <w:rPr>
      <w:rFonts w:ascii="Arial" w:eastAsia="Calibri" w:hAnsi="Arial" w:cs="Arial"/>
      <w:bCs/>
      <w:sz w:val="20"/>
      <w:szCs w:val="20"/>
    </w:rPr>
  </w:style>
  <w:style w:type="paragraph" w:styleId="Descripcin">
    <w:name w:val="caption"/>
    <w:basedOn w:val="Normal"/>
    <w:next w:val="Normal"/>
    <w:uiPriority w:val="35"/>
    <w:semiHidden/>
    <w:unhideWhenUsed/>
    <w:qFormat/>
    <w:rsid w:val="00A93423"/>
    <w:pPr>
      <w:spacing w:line="240" w:lineRule="auto"/>
      <w:jc w:val="left"/>
    </w:pPr>
    <w:rPr>
      <w:rFonts w:eastAsiaTheme="minorHAnsi"/>
      <w:b/>
      <w:bCs/>
      <w:color w:val="4472C4" w:themeColor="accent1"/>
      <w:sz w:val="18"/>
      <w:szCs w:val="18"/>
      <w:lang w:val="es-MX" w:bidi="ar-SA"/>
    </w:rPr>
  </w:style>
  <w:style w:type="character" w:styleId="Refdecomentario">
    <w:name w:val="annotation reference"/>
    <w:basedOn w:val="Fuentedeprrafopredeter"/>
    <w:uiPriority w:val="99"/>
    <w:semiHidden/>
    <w:unhideWhenUsed/>
    <w:rsid w:val="00A93423"/>
    <w:rPr>
      <w:sz w:val="16"/>
      <w:szCs w:val="16"/>
    </w:rPr>
  </w:style>
  <w:style w:type="paragraph" w:styleId="Textocomentario">
    <w:name w:val="annotation text"/>
    <w:basedOn w:val="Normal"/>
    <w:link w:val="TextocomentarioCar"/>
    <w:uiPriority w:val="99"/>
    <w:semiHidden/>
    <w:unhideWhenUsed/>
    <w:rsid w:val="00A93423"/>
    <w:pPr>
      <w:spacing w:after="160" w:line="240" w:lineRule="auto"/>
      <w:jc w:val="left"/>
    </w:pPr>
    <w:rPr>
      <w:rFonts w:eastAsiaTheme="minorHAnsi"/>
      <w:sz w:val="20"/>
      <w:szCs w:val="20"/>
      <w:lang w:val="es-MX" w:bidi="ar-SA"/>
    </w:rPr>
  </w:style>
  <w:style w:type="character" w:customStyle="1" w:styleId="TextocomentarioCar">
    <w:name w:val="Texto comentario Car"/>
    <w:basedOn w:val="Fuentedeprrafopredeter"/>
    <w:link w:val="Textocomentario"/>
    <w:uiPriority w:val="99"/>
    <w:semiHidden/>
    <w:rsid w:val="00A93423"/>
    <w:rPr>
      <w:sz w:val="20"/>
      <w:szCs w:val="20"/>
    </w:rPr>
  </w:style>
  <w:style w:type="paragraph" w:styleId="Revisin">
    <w:name w:val="Revision"/>
    <w:hidden/>
    <w:uiPriority w:val="99"/>
    <w:semiHidden/>
    <w:rsid w:val="00A93423"/>
    <w:pPr>
      <w:spacing w:after="0" w:line="240" w:lineRule="auto"/>
    </w:pPr>
    <w:rPr>
      <w:rFonts w:eastAsiaTheme="minorEastAsia"/>
      <w:lang w:val="es-ES" w:bidi="en-US"/>
    </w:rPr>
  </w:style>
  <w:style w:type="table" w:styleId="Tablanormal4">
    <w:name w:val="Plain Table 4"/>
    <w:basedOn w:val="Tablanormal"/>
    <w:uiPriority w:val="44"/>
    <w:rsid w:val="00DA27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DA27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lista1">
    <w:name w:val="Sin lista1"/>
    <w:next w:val="Sinlista"/>
    <w:uiPriority w:val="99"/>
    <w:semiHidden/>
    <w:unhideWhenUsed/>
    <w:rsid w:val="006E49C9"/>
  </w:style>
  <w:style w:type="character" w:styleId="Hipervnculo">
    <w:name w:val="Hyperlink"/>
    <w:basedOn w:val="Fuentedeprrafopredeter"/>
    <w:uiPriority w:val="99"/>
    <w:unhideWhenUsed/>
    <w:rsid w:val="005E3EFC"/>
    <w:rPr>
      <w:color w:val="0563C1"/>
      <w:u w:val="single"/>
    </w:rPr>
  </w:style>
  <w:style w:type="character" w:styleId="Hipervnculovisitado">
    <w:name w:val="FollowedHyperlink"/>
    <w:basedOn w:val="Fuentedeprrafopredeter"/>
    <w:uiPriority w:val="99"/>
    <w:semiHidden/>
    <w:unhideWhenUsed/>
    <w:rsid w:val="005E3EFC"/>
    <w:rPr>
      <w:color w:val="954F72"/>
      <w:u w:val="single"/>
    </w:rPr>
  </w:style>
  <w:style w:type="paragraph" w:customStyle="1" w:styleId="msonormal0">
    <w:name w:val="msonormal"/>
    <w:basedOn w:val="Normal"/>
    <w:rsid w:val="005E3EFC"/>
    <w:pPr>
      <w:spacing w:before="100" w:beforeAutospacing="1" w:after="100" w:afterAutospacing="1" w:line="240" w:lineRule="auto"/>
      <w:jc w:val="left"/>
    </w:pPr>
    <w:rPr>
      <w:rFonts w:ascii="Times New Roman" w:eastAsia="Times New Roman" w:hAnsi="Times New Roman" w:cs="Times New Roman"/>
      <w:sz w:val="24"/>
      <w:szCs w:val="24"/>
      <w:lang w:val="es-MX" w:eastAsia="es-MX" w:bidi="ar-SA"/>
    </w:rPr>
  </w:style>
  <w:style w:type="paragraph" w:customStyle="1" w:styleId="xl63">
    <w:name w:val="xl63"/>
    <w:basedOn w:val="Normal"/>
    <w:rsid w:val="005E3E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b/>
      <w:bCs/>
      <w:sz w:val="20"/>
      <w:szCs w:val="20"/>
      <w:lang w:val="es-MX" w:eastAsia="es-MX" w:bidi="ar-SA"/>
    </w:rPr>
  </w:style>
  <w:style w:type="paragraph" w:customStyle="1" w:styleId="xl64">
    <w:name w:val="xl64"/>
    <w:basedOn w:val="Normal"/>
    <w:rsid w:val="005E3E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b/>
      <w:bCs/>
      <w:color w:val="000000"/>
      <w:sz w:val="20"/>
      <w:szCs w:val="20"/>
      <w:lang w:val="es-MX" w:eastAsia="es-MX" w:bidi="ar-SA"/>
    </w:rPr>
  </w:style>
  <w:style w:type="paragraph" w:customStyle="1" w:styleId="xl65">
    <w:name w:val="xl65"/>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MX" w:eastAsia="es-MX" w:bidi="ar-SA"/>
    </w:rPr>
  </w:style>
  <w:style w:type="paragraph" w:customStyle="1" w:styleId="xl66">
    <w:name w:val="xl66"/>
    <w:basedOn w:val="Normal"/>
    <w:rsid w:val="005E3EF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eastAsia="Times New Roman" w:cs="Arial"/>
      <w:sz w:val="20"/>
      <w:szCs w:val="20"/>
      <w:lang w:val="es-MX" w:eastAsia="es-MX" w:bidi="ar-SA"/>
    </w:rPr>
  </w:style>
  <w:style w:type="paragraph" w:customStyle="1" w:styleId="xl67">
    <w:name w:val="xl67"/>
    <w:basedOn w:val="Normal"/>
    <w:rsid w:val="005E3EF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left"/>
      <w:textAlignment w:val="center"/>
    </w:pPr>
    <w:rPr>
      <w:rFonts w:eastAsia="Times New Roman" w:cs="Arial"/>
      <w:color w:val="000000"/>
      <w:sz w:val="20"/>
      <w:szCs w:val="20"/>
      <w:lang w:val="es-MX" w:eastAsia="es-MX" w:bidi="ar-SA"/>
    </w:rPr>
  </w:style>
  <w:style w:type="paragraph" w:customStyle="1" w:styleId="xl68">
    <w:name w:val="xl68"/>
    <w:basedOn w:val="Normal"/>
    <w:rsid w:val="005E3EF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eastAsia="Times New Roman" w:cs="Arial"/>
      <w:color w:val="000000"/>
      <w:sz w:val="20"/>
      <w:szCs w:val="20"/>
      <w:lang w:val="es-MX" w:eastAsia="es-MX" w:bidi="ar-SA"/>
    </w:rPr>
  </w:style>
  <w:style w:type="paragraph" w:customStyle="1" w:styleId="xl69">
    <w:name w:val="xl69"/>
    <w:basedOn w:val="Normal"/>
    <w:rsid w:val="005E3EF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eastAsia="Times New Roman" w:cs="Arial"/>
      <w:color w:val="000000"/>
      <w:sz w:val="20"/>
      <w:szCs w:val="20"/>
      <w:lang w:val="es-MX" w:eastAsia="es-MX" w:bidi="ar-SA"/>
    </w:rPr>
  </w:style>
  <w:style w:type="paragraph" w:customStyle="1" w:styleId="xl70">
    <w:name w:val="xl70"/>
    <w:basedOn w:val="Normal"/>
    <w:rsid w:val="005E3EFC"/>
    <w:pPr>
      <w:pBdr>
        <w:top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eastAsia="Times New Roman" w:cs="Arial"/>
      <w:sz w:val="20"/>
      <w:szCs w:val="20"/>
      <w:lang w:val="es-MX" w:eastAsia="es-MX" w:bidi="ar-SA"/>
    </w:rPr>
  </w:style>
  <w:style w:type="paragraph" w:customStyle="1" w:styleId="xl71">
    <w:name w:val="xl71"/>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Arial"/>
      <w:color w:val="000000"/>
      <w:sz w:val="20"/>
      <w:szCs w:val="20"/>
      <w:lang w:val="es-MX" w:eastAsia="es-MX" w:bidi="ar-SA"/>
    </w:rPr>
  </w:style>
  <w:style w:type="paragraph" w:customStyle="1" w:styleId="xl72">
    <w:name w:val="xl72"/>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20"/>
      <w:szCs w:val="20"/>
      <w:lang w:val="es-MX" w:eastAsia="es-MX" w:bidi="ar-SA"/>
    </w:rPr>
  </w:style>
  <w:style w:type="paragraph" w:customStyle="1" w:styleId="xl73">
    <w:name w:val="xl73"/>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20"/>
      <w:szCs w:val="20"/>
      <w:lang w:val="es-MX" w:eastAsia="es-MX" w:bidi="ar-SA"/>
    </w:rPr>
  </w:style>
  <w:style w:type="paragraph" w:customStyle="1" w:styleId="xl74">
    <w:name w:val="xl74"/>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20"/>
      <w:szCs w:val="20"/>
      <w:lang w:val="es-MX" w:eastAsia="es-MX" w:bidi="ar-SA"/>
    </w:rPr>
  </w:style>
  <w:style w:type="paragraph" w:customStyle="1" w:styleId="xl75">
    <w:name w:val="xl75"/>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val="es-MX" w:eastAsia="es-MX" w:bidi="ar-SA"/>
    </w:rPr>
  </w:style>
  <w:style w:type="paragraph" w:customStyle="1" w:styleId="xl76">
    <w:name w:val="xl76"/>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20"/>
      <w:szCs w:val="20"/>
      <w:lang w:val="es-MX" w:eastAsia="es-MX" w:bidi="ar-SA"/>
    </w:rPr>
  </w:style>
  <w:style w:type="paragraph" w:customStyle="1" w:styleId="xl77">
    <w:name w:val="xl77"/>
    <w:basedOn w:val="Normal"/>
    <w:rsid w:val="005E3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Arial"/>
      <w:sz w:val="20"/>
      <w:szCs w:val="20"/>
      <w:lang w:val="es-MX" w:eastAsia="es-MX" w:bidi="ar-SA"/>
    </w:rPr>
  </w:style>
  <w:style w:type="paragraph" w:customStyle="1" w:styleId="xl78">
    <w:name w:val="xl78"/>
    <w:basedOn w:val="Normal"/>
    <w:rsid w:val="005E3EF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 w:val="20"/>
      <w:szCs w:val="20"/>
      <w:lang w:val="es-MX" w:eastAsia="es-MX" w:bidi="ar-SA"/>
    </w:rPr>
  </w:style>
  <w:style w:type="paragraph" w:customStyle="1" w:styleId="xl79">
    <w:name w:val="xl79"/>
    <w:basedOn w:val="Normal"/>
    <w:rsid w:val="005E3EF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 w:val="20"/>
      <w:szCs w:val="20"/>
      <w:lang w:val="es-MX" w:eastAsia="es-MX" w:bidi="ar-SA"/>
    </w:rPr>
  </w:style>
  <w:style w:type="paragraph" w:customStyle="1" w:styleId="xl80">
    <w:name w:val="xl80"/>
    <w:basedOn w:val="Normal"/>
    <w:rsid w:val="005E3EFC"/>
    <w:pPr>
      <w:spacing w:before="100" w:beforeAutospacing="1" w:after="100" w:afterAutospacing="1" w:line="240" w:lineRule="auto"/>
      <w:jc w:val="left"/>
    </w:pPr>
    <w:rPr>
      <w:rFonts w:ascii="Times New Roman" w:eastAsia="Times New Roman" w:hAnsi="Times New Roman" w:cs="Times New Roman"/>
      <w:sz w:val="20"/>
      <w:szCs w:val="20"/>
      <w:lang w:val="es-MX" w:eastAsia="es-MX" w:bidi="ar-SA"/>
    </w:rPr>
  </w:style>
  <w:style w:type="paragraph" w:customStyle="1" w:styleId="xl81">
    <w:name w:val="xl81"/>
    <w:basedOn w:val="Normal"/>
    <w:rsid w:val="0077756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Times New Roman" w:eastAsia="Times New Roman" w:hAnsi="Times New Roman" w:cs="Times New Roman"/>
      <w:sz w:val="24"/>
      <w:szCs w:val="24"/>
      <w:lang w:val="es-MX" w:eastAsia="es-MX" w:bidi="ar-SA"/>
    </w:rPr>
  </w:style>
  <w:style w:type="paragraph" w:customStyle="1" w:styleId="xl82">
    <w:name w:val="xl82"/>
    <w:basedOn w:val="Normal"/>
    <w:rsid w:val="0077756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bidi="ar-SA"/>
    </w:rPr>
  </w:style>
  <w:style w:type="paragraph" w:customStyle="1" w:styleId="xl83">
    <w:name w:val="xl83"/>
    <w:basedOn w:val="Normal"/>
    <w:rsid w:val="0077756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bidi="ar-SA"/>
    </w:rPr>
  </w:style>
  <w:style w:type="paragraph" w:customStyle="1" w:styleId="xl84">
    <w:name w:val="xl84"/>
    <w:basedOn w:val="Normal"/>
    <w:rsid w:val="0077756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Arial"/>
      <w:color w:val="000000"/>
      <w:sz w:val="20"/>
      <w:szCs w:val="20"/>
      <w:lang w:val="es-MX" w:eastAsia="es-MX" w:bidi="ar-SA"/>
    </w:rPr>
  </w:style>
  <w:style w:type="paragraph" w:customStyle="1" w:styleId="xl85">
    <w:name w:val="xl85"/>
    <w:basedOn w:val="Normal"/>
    <w:rsid w:val="00777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Arial"/>
      <w:color w:val="000000"/>
      <w:sz w:val="20"/>
      <w:szCs w:val="20"/>
      <w:lang w:val="es-MX" w:eastAsia="es-MX" w:bidi="ar-SA"/>
    </w:rPr>
  </w:style>
  <w:style w:type="paragraph" w:customStyle="1" w:styleId="xl86">
    <w:name w:val="xl86"/>
    <w:basedOn w:val="Normal"/>
    <w:rsid w:val="00777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20"/>
      <w:szCs w:val="20"/>
      <w:lang w:val="es-MX" w:eastAsia="es-MX" w:bidi="ar-SA"/>
    </w:rPr>
  </w:style>
  <w:style w:type="character" w:customStyle="1" w:styleId="Ttulo1Car">
    <w:name w:val="Título 1 Car"/>
    <w:basedOn w:val="Fuentedeprrafopredeter"/>
    <w:link w:val="Ttulo1"/>
    <w:uiPriority w:val="9"/>
    <w:rsid w:val="00C32544"/>
    <w:rPr>
      <w:rFonts w:ascii="Arial" w:eastAsiaTheme="majorEastAsia" w:hAnsi="Arial" w:cstheme="majorBidi"/>
      <w:b/>
      <w:sz w:val="28"/>
      <w:szCs w:val="32"/>
      <w:lang w:eastAsia="es-ES_tradnl"/>
    </w:rPr>
  </w:style>
  <w:style w:type="character" w:customStyle="1" w:styleId="Ttulo3Car">
    <w:name w:val="Título 3 Car"/>
    <w:basedOn w:val="Fuentedeprrafopredeter"/>
    <w:link w:val="Ttulo3"/>
    <w:uiPriority w:val="9"/>
    <w:rsid w:val="007D365D"/>
    <w:rPr>
      <w:rFonts w:ascii="Times New Roman" w:eastAsia="Times New Roman" w:hAnsi="Times New Roman" w:cs="Times New Roman"/>
      <w:b/>
      <w:bCs/>
      <w:sz w:val="27"/>
      <w:szCs w:val="27"/>
      <w:lang w:eastAsia="es-ES_tradnl"/>
    </w:rPr>
  </w:style>
  <w:style w:type="paragraph" w:styleId="Textoindependiente">
    <w:name w:val="Body Text"/>
    <w:basedOn w:val="Normal"/>
    <w:link w:val="TextoindependienteCar"/>
    <w:uiPriority w:val="1"/>
    <w:qFormat/>
    <w:rsid w:val="007D365D"/>
    <w:pPr>
      <w:widowControl w:val="0"/>
      <w:autoSpaceDE w:val="0"/>
      <w:autoSpaceDN w:val="0"/>
      <w:spacing w:after="0" w:line="240" w:lineRule="auto"/>
      <w:jc w:val="left"/>
    </w:pPr>
    <w:rPr>
      <w:rFonts w:ascii="Verdana" w:eastAsia="Verdana" w:hAnsi="Verdana" w:cs="Verdana"/>
      <w:sz w:val="21"/>
      <w:szCs w:val="21"/>
      <w:lang w:bidi="ar-SA"/>
    </w:rPr>
  </w:style>
  <w:style w:type="character" w:customStyle="1" w:styleId="TextoindependienteCar">
    <w:name w:val="Texto independiente Car"/>
    <w:basedOn w:val="Fuentedeprrafopredeter"/>
    <w:link w:val="Textoindependiente"/>
    <w:uiPriority w:val="1"/>
    <w:rsid w:val="007D365D"/>
    <w:rPr>
      <w:rFonts w:ascii="Verdana" w:eastAsia="Verdana" w:hAnsi="Verdana" w:cs="Verdana"/>
      <w:sz w:val="21"/>
      <w:szCs w:val="21"/>
      <w:lang w:val="es-ES"/>
    </w:rPr>
  </w:style>
  <w:style w:type="paragraph" w:customStyle="1" w:styleId="TableParagraph">
    <w:name w:val="Table Paragraph"/>
    <w:basedOn w:val="Normal"/>
    <w:uiPriority w:val="1"/>
    <w:qFormat/>
    <w:rsid w:val="007D365D"/>
    <w:pPr>
      <w:widowControl w:val="0"/>
      <w:autoSpaceDE w:val="0"/>
      <w:autoSpaceDN w:val="0"/>
      <w:spacing w:after="0" w:line="240" w:lineRule="auto"/>
      <w:jc w:val="left"/>
    </w:pPr>
    <w:rPr>
      <w:rFonts w:eastAsia="Arial" w:cs="Arial"/>
      <w:sz w:val="24"/>
      <w:szCs w:val="24"/>
      <w:lang w:eastAsia="es-ES_tradnl" w:bidi="ar-SA"/>
    </w:rPr>
  </w:style>
  <w:style w:type="character" w:styleId="Textoennegrita">
    <w:name w:val="Strong"/>
    <w:basedOn w:val="Fuentedeprrafopredeter"/>
    <w:uiPriority w:val="22"/>
    <w:qFormat/>
    <w:rsid w:val="007D365D"/>
    <w:rPr>
      <w:b/>
      <w:bCs/>
    </w:rPr>
  </w:style>
  <w:style w:type="character" w:customStyle="1" w:styleId="uv3um">
    <w:name w:val="uv3um"/>
    <w:basedOn w:val="Fuentedeprrafopredeter"/>
    <w:rsid w:val="007D365D"/>
  </w:style>
  <w:style w:type="paragraph" w:customStyle="1" w:styleId="text-gray">
    <w:name w:val="text-gray"/>
    <w:basedOn w:val="Normal"/>
    <w:rsid w:val="007D365D"/>
    <w:pPr>
      <w:spacing w:before="100" w:beforeAutospacing="1" w:after="100" w:afterAutospacing="1" w:line="240" w:lineRule="auto"/>
      <w:jc w:val="left"/>
    </w:pPr>
    <w:rPr>
      <w:rFonts w:ascii="Times New Roman" w:eastAsia="Times New Roman" w:hAnsi="Times New Roman" w:cs="Times New Roman"/>
      <w:sz w:val="24"/>
      <w:szCs w:val="24"/>
      <w:lang w:val="es-MX" w:eastAsia="es-ES_tradnl" w:bidi="ar-SA"/>
    </w:rPr>
  </w:style>
  <w:style w:type="table" w:customStyle="1" w:styleId="TableNormal">
    <w:name w:val="Table Normal"/>
    <w:uiPriority w:val="2"/>
    <w:semiHidden/>
    <w:unhideWhenUsed/>
    <w:qFormat/>
    <w:rsid w:val="007D36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6B5CD3"/>
    <w:pPr>
      <w:autoSpaceDE w:val="0"/>
      <w:autoSpaceDN w:val="0"/>
      <w:adjustRightInd w:val="0"/>
      <w:spacing w:after="0" w:line="240" w:lineRule="auto"/>
      <w:ind w:left="-6"/>
      <w:jc w:val="both"/>
    </w:pPr>
    <w:rPr>
      <w:rFonts w:ascii="Arial" w:hAnsi="Arial" w:cs="Arial"/>
      <w:color w:val="000000"/>
      <w:sz w:val="24"/>
      <w:szCs w:val="24"/>
    </w:rPr>
  </w:style>
  <w:style w:type="table" w:styleId="Tablaconcuadrculaclara">
    <w:name w:val="Grid Table Light"/>
    <w:basedOn w:val="Tablanormal"/>
    <w:uiPriority w:val="40"/>
    <w:rsid w:val="008905CC"/>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8905CC"/>
    <w:rPr>
      <w:color w:val="605E5C"/>
      <w:shd w:val="clear" w:color="auto" w:fill="E1DFDD"/>
    </w:rPr>
  </w:style>
  <w:style w:type="table" w:styleId="Tablanormal2">
    <w:name w:val="Plain Table 2"/>
    <w:basedOn w:val="Tablanormal"/>
    <w:uiPriority w:val="42"/>
    <w:rsid w:val="006004FD"/>
    <w:pPr>
      <w:widowControl w:val="0"/>
      <w:autoSpaceDE w:val="0"/>
      <w:autoSpaceDN w:val="0"/>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2Car">
    <w:name w:val="Título 2 Car"/>
    <w:basedOn w:val="Fuentedeprrafopredeter"/>
    <w:link w:val="Ttulo2"/>
    <w:uiPriority w:val="9"/>
    <w:rsid w:val="00C32544"/>
    <w:rPr>
      <w:rFonts w:ascii="Arial" w:eastAsiaTheme="majorEastAsia" w:hAnsi="Arial" w:cstheme="majorBidi"/>
      <w:b/>
      <w:kern w:val="2"/>
      <w:sz w:val="36"/>
      <w:szCs w:val="32"/>
      <w14:ligatures w14:val="standardContextual"/>
    </w:rPr>
  </w:style>
  <w:style w:type="character" w:customStyle="1" w:styleId="Ttulo4Car">
    <w:name w:val="Título 4 Car"/>
    <w:basedOn w:val="Fuentedeprrafopredeter"/>
    <w:link w:val="Ttulo4"/>
    <w:uiPriority w:val="9"/>
    <w:semiHidden/>
    <w:rsid w:val="00163FF7"/>
    <w:rPr>
      <w:rFonts w:eastAsiaTheme="majorEastAsia" w:cstheme="majorBidi"/>
      <w:i/>
      <w:iCs/>
      <w:color w:val="2F5496" w:themeColor="accent1" w:themeShade="BF"/>
      <w:kern w:val="2"/>
      <w14:ligatures w14:val="standardContextual"/>
    </w:rPr>
  </w:style>
  <w:style w:type="character" w:customStyle="1" w:styleId="Ttulo5Car">
    <w:name w:val="Título 5 Car"/>
    <w:basedOn w:val="Fuentedeprrafopredeter"/>
    <w:link w:val="Ttulo5"/>
    <w:uiPriority w:val="9"/>
    <w:semiHidden/>
    <w:rsid w:val="00163FF7"/>
    <w:rPr>
      <w:rFonts w:eastAsiaTheme="majorEastAsia" w:cstheme="majorBidi"/>
      <w:color w:val="2F5496" w:themeColor="accent1" w:themeShade="BF"/>
      <w:kern w:val="2"/>
      <w14:ligatures w14:val="standardContextual"/>
    </w:rPr>
  </w:style>
  <w:style w:type="character" w:customStyle="1" w:styleId="Ttulo6Car">
    <w:name w:val="Título 6 Car"/>
    <w:basedOn w:val="Fuentedeprrafopredeter"/>
    <w:link w:val="Ttulo6"/>
    <w:uiPriority w:val="9"/>
    <w:semiHidden/>
    <w:rsid w:val="00163FF7"/>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163FF7"/>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163FF7"/>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163FF7"/>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0"/>
    <w:qFormat/>
    <w:rsid w:val="00163FF7"/>
    <w:pPr>
      <w:spacing w:after="80" w:line="240" w:lineRule="auto"/>
      <w:contextualSpacing/>
      <w:jc w:val="left"/>
    </w:pPr>
    <w:rPr>
      <w:rFonts w:asciiTheme="majorHAnsi" w:eastAsiaTheme="majorEastAsia" w:hAnsiTheme="majorHAnsi" w:cstheme="majorBidi"/>
      <w:spacing w:val="-10"/>
      <w:kern w:val="28"/>
      <w:sz w:val="56"/>
      <w:szCs w:val="56"/>
      <w:lang w:val="es-MX" w:bidi="ar-SA"/>
      <w14:ligatures w14:val="standardContextual"/>
    </w:rPr>
  </w:style>
  <w:style w:type="character" w:customStyle="1" w:styleId="TtuloCar">
    <w:name w:val="Título Car"/>
    <w:basedOn w:val="Fuentedeprrafopredeter"/>
    <w:link w:val="Ttulo"/>
    <w:uiPriority w:val="10"/>
    <w:rsid w:val="00163FF7"/>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163FF7"/>
    <w:pPr>
      <w:numPr>
        <w:ilvl w:val="1"/>
      </w:numPr>
      <w:spacing w:after="160" w:line="259" w:lineRule="auto"/>
      <w:jc w:val="left"/>
    </w:pPr>
    <w:rPr>
      <w:rFonts w:asciiTheme="minorHAnsi" w:eastAsiaTheme="majorEastAsia" w:hAnsiTheme="minorHAnsi" w:cstheme="majorBidi"/>
      <w:color w:val="595959" w:themeColor="text1" w:themeTint="A6"/>
      <w:spacing w:val="15"/>
      <w:kern w:val="2"/>
      <w:sz w:val="28"/>
      <w:szCs w:val="28"/>
      <w:lang w:val="es-MX" w:bidi="ar-SA"/>
      <w14:ligatures w14:val="standardContextual"/>
    </w:rPr>
  </w:style>
  <w:style w:type="character" w:customStyle="1" w:styleId="SubttuloCar">
    <w:name w:val="Subtítulo Car"/>
    <w:basedOn w:val="Fuentedeprrafopredeter"/>
    <w:link w:val="Subttulo"/>
    <w:uiPriority w:val="11"/>
    <w:rsid w:val="00163FF7"/>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163FF7"/>
    <w:pPr>
      <w:spacing w:before="160" w:after="160" w:line="259" w:lineRule="auto"/>
      <w:jc w:val="center"/>
    </w:pPr>
    <w:rPr>
      <w:rFonts w:asciiTheme="minorHAnsi" w:eastAsiaTheme="minorHAnsi" w:hAnsiTheme="minorHAnsi"/>
      <w:i/>
      <w:iCs/>
      <w:color w:val="404040" w:themeColor="text1" w:themeTint="BF"/>
      <w:kern w:val="2"/>
      <w:lang w:val="es-MX" w:bidi="ar-SA"/>
      <w14:ligatures w14:val="standardContextual"/>
    </w:rPr>
  </w:style>
  <w:style w:type="character" w:customStyle="1" w:styleId="CitaCar">
    <w:name w:val="Cita Car"/>
    <w:basedOn w:val="Fuentedeprrafopredeter"/>
    <w:link w:val="Cita"/>
    <w:uiPriority w:val="29"/>
    <w:rsid w:val="00163FF7"/>
    <w:rPr>
      <w:i/>
      <w:iCs/>
      <w:color w:val="404040" w:themeColor="text1" w:themeTint="BF"/>
      <w:kern w:val="2"/>
      <w14:ligatures w14:val="standardContextual"/>
    </w:rPr>
  </w:style>
  <w:style w:type="character" w:styleId="nfasisintenso">
    <w:name w:val="Intense Emphasis"/>
    <w:basedOn w:val="Fuentedeprrafopredeter"/>
    <w:uiPriority w:val="21"/>
    <w:qFormat/>
    <w:rsid w:val="00163FF7"/>
    <w:rPr>
      <w:i/>
      <w:iCs/>
      <w:color w:val="2F5496" w:themeColor="accent1" w:themeShade="BF"/>
    </w:rPr>
  </w:style>
  <w:style w:type="paragraph" w:styleId="Citadestacada">
    <w:name w:val="Intense Quote"/>
    <w:basedOn w:val="Normal"/>
    <w:next w:val="Normal"/>
    <w:link w:val="CitadestacadaCar"/>
    <w:uiPriority w:val="30"/>
    <w:qFormat/>
    <w:rsid w:val="00163FF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i/>
      <w:iCs/>
      <w:color w:val="2F5496" w:themeColor="accent1" w:themeShade="BF"/>
      <w:kern w:val="2"/>
      <w:lang w:val="es-MX" w:bidi="ar-SA"/>
      <w14:ligatures w14:val="standardContextual"/>
    </w:rPr>
  </w:style>
  <w:style w:type="character" w:customStyle="1" w:styleId="CitadestacadaCar">
    <w:name w:val="Cita destacada Car"/>
    <w:basedOn w:val="Fuentedeprrafopredeter"/>
    <w:link w:val="Citadestacada"/>
    <w:uiPriority w:val="30"/>
    <w:rsid w:val="00163FF7"/>
    <w:rPr>
      <w:i/>
      <w:iCs/>
      <w:color w:val="2F5496" w:themeColor="accent1" w:themeShade="BF"/>
      <w:kern w:val="2"/>
      <w14:ligatures w14:val="standardContextual"/>
    </w:rPr>
  </w:style>
  <w:style w:type="character" w:styleId="Referenciaintensa">
    <w:name w:val="Intense Reference"/>
    <w:basedOn w:val="Fuentedeprrafopredeter"/>
    <w:uiPriority w:val="32"/>
    <w:qFormat/>
    <w:rsid w:val="00163FF7"/>
    <w:rPr>
      <w:b/>
      <w:bCs/>
      <w:smallCaps/>
      <w:color w:val="2F5496" w:themeColor="accent1" w:themeShade="BF"/>
      <w:spacing w:val="5"/>
    </w:rPr>
  </w:style>
  <w:style w:type="paragraph" w:styleId="Asuntodelcomentario">
    <w:name w:val="annotation subject"/>
    <w:basedOn w:val="Textocomentario"/>
    <w:next w:val="Textocomentario"/>
    <w:link w:val="AsuntodelcomentarioCar"/>
    <w:uiPriority w:val="99"/>
    <w:semiHidden/>
    <w:unhideWhenUsed/>
    <w:rsid w:val="00163FF7"/>
    <w:rPr>
      <w:rFonts w:asciiTheme="minorHAnsi" w:hAnsiTheme="minorHAnsi"/>
      <w:b/>
      <w:bCs/>
      <w:kern w:val="2"/>
      <w14:ligatures w14:val="standardContextual"/>
    </w:rPr>
  </w:style>
  <w:style w:type="character" w:customStyle="1" w:styleId="AsuntodelcomentarioCar">
    <w:name w:val="Asunto del comentario Car"/>
    <w:basedOn w:val="TextocomentarioCar"/>
    <w:link w:val="Asuntodelcomentario"/>
    <w:uiPriority w:val="99"/>
    <w:semiHidden/>
    <w:rsid w:val="00163FF7"/>
    <w:rPr>
      <w:b/>
      <w:bCs/>
      <w:kern w:val="2"/>
      <w:sz w:val="20"/>
      <w:szCs w:val="20"/>
      <w14:ligatures w14:val="standardContextual"/>
    </w:rPr>
  </w:style>
  <w:style w:type="character" w:customStyle="1" w:styleId="wpaicg-chat-message">
    <w:name w:val="wpaicg-chat-message"/>
    <w:basedOn w:val="Fuentedeprrafopredeter"/>
    <w:rsid w:val="008511B6"/>
  </w:style>
  <w:style w:type="paragraph" w:styleId="TtuloTDC">
    <w:name w:val="TOC Heading"/>
    <w:basedOn w:val="Ttulo1"/>
    <w:next w:val="Normal"/>
    <w:uiPriority w:val="39"/>
    <w:unhideWhenUsed/>
    <w:qFormat/>
    <w:rsid w:val="00F35847"/>
    <w:pPr>
      <w:numPr>
        <w:numId w:val="0"/>
      </w:numPr>
      <w:spacing w:line="259" w:lineRule="auto"/>
      <w:outlineLvl w:val="9"/>
    </w:pPr>
    <w:rPr>
      <w:rFonts w:asciiTheme="majorHAnsi" w:hAnsiTheme="majorHAnsi"/>
      <w:b w:val="0"/>
      <w:color w:val="2F5496" w:themeColor="accent1" w:themeShade="BF"/>
      <w:sz w:val="32"/>
      <w:lang w:eastAsia="es-MX"/>
    </w:rPr>
  </w:style>
  <w:style w:type="paragraph" w:styleId="TDC2">
    <w:name w:val="toc 2"/>
    <w:basedOn w:val="Normal"/>
    <w:next w:val="Normal"/>
    <w:autoRedefine/>
    <w:uiPriority w:val="39"/>
    <w:unhideWhenUsed/>
    <w:rsid w:val="00F35847"/>
    <w:pPr>
      <w:spacing w:after="100"/>
      <w:ind w:left="220"/>
    </w:pPr>
  </w:style>
  <w:style w:type="paragraph" w:styleId="TDC3">
    <w:name w:val="toc 3"/>
    <w:basedOn w:val="Normal"/>
    <w:next w:val="Normal"/>
    <w:autoRedefine/>
    <w:uiPriority w:val="39"/>
    <w:unhideWhenUsed/>
    <w:rsid w:val="00F3584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100878">
      <w:bodyDiv w:val="1"/>
      <w:marLeft w:val="0"/>
      <w:marRight w:val="0"/>
      <w:marTop w:val="0"/>
      <w:marBottom w:val="0"/>
      <w:divBdr>
        <w:top w:val="none" w:sz="0" w:space="0" w:color="auto"/>
        <w:left w:val="none" w:sz="0" w:space="0" w:color="auto"/>
        <w:bottom w:val="none" w:sz="0" w:space="0" w:color="auto"/>
        <w:right w:val="none" w:sz="0" w:space="0" w:color="auto"/>
      </w:divBdr>
      <w:divsChild>
        <w:div w:id="1470857152">
          <w:marLeft w:val="0"/>
          <w:marRight w:val="0"/>
          <w:marTop w:val="0"/>
          <w:marBottom w:val="0"/>
          <w:divBdr>
            <w:top w:val="none" w:sz="0" w:space="0" w:color="auto"/>
            <w:left w:val="none" w:sz="0" w:space="0" w:color="auto"/>
            <w:bottom w:val="none" w:sz="0" w:space="0" w:color="auto"/>
            <w:right w:val="none" w:sz="0" w:space="0" w:color="auto"/>
          </w:divBdr>
          <w:divsChild>
            <w:div w:id="1491603933">
              <w:marLeft w:val="0"/>
              <w:marRight w:val="0"/>
              <w:marTop w:val="0"/>
              <w:marBottom w:val="0"/>
              <w:divBdr>
                <w:top w:val="none" w:sz="0" w:space="0" w:color="auto"/>
                <w:left w:val="none" w:sz="0" w:space="0" w:color="auto"/>
                <w:bottom w:val="none" w:sz="0" w:space="0" w:color="auto"/>
                <w:right w:val="none" w:sz="0" w:space="0" w:color="auto"/>
              </w:divBdr>
              <w:divsChild>
                <w:div w:id="997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975">
      <w:bodyDiv w:val="1"/>
      <w:marLeft w:val="0"/>
      <w:marRight w:val="0"/>
      <w:marTop w:val="0"/>
      <w:marBottom w:val="0"/>
      <w:divBdr>
        <w:top w:val="none" w:sz="0" w:space="0" w:color="auto"/>
        <w:left w:val="none" w:sz="0" w:space="0" w:color="auto"/>
        <w:bottom w:val="none" w:sz="0" w:space="0" w:color="auto"/>
        <w:right w:val="none" w:sz="0" w:space="0" w:color="auto"/>
      </w:divBdr>
    </w:div>
    <w:div w:id="159851940">
      <w:bodyDiv w:val="1"/>
      <w:marLeft w:val="0"/>
      <w:marRight w:val="0"/>
      <w:marTop w:val="0"/>
      <w:marBottom w:val="0"/>
      <w:divBdr>
        <w:top w:val="none" w:sz="0" w:space="0" w:color="auto"/>
        <w:left w:val="none" w:sz="0" w:space="0" w:color="auto"/>
        <w:bottom w:val="none" w:sz="0" w:space="0" w:color="auto"/>
        <w:right w:val="none" w:sz="0" w:space="0" w:color="auto"/>
      </w:divBdr>
    </w:div>
    <w:div w:id="246815530">
      <w:bodyDiv w:val="1"/>
      <w:marLeft w:val="0"/>
      <w:marRight w:val="0"/>
      <w:marTop w:val="0"/>
      <w:marBottom w:val="0"/>
      <w:divBdr>
        <w:top w:val="none" w:sz="0" w:space="0" w:color="auto"/>
        <w:left w:val="none" w:sz="0" w:space="0" w:color="auto"/>
        <w:bottom w:val="none" w:sz="0" w:space="0" w:color="auto"/>
        <w:right w:val="none" w:sz="0" w:space="0" w:color="auto"/>
      </w:divBdr>
    </w:div>
    <w:div w:id="600840526">
      <w:bodyDiv w:val="1"/>
      <w:marLeft w:val="0"/>
      <w:marRight w:val="0"/>
      <w:marTop w:val="0"/>
      <w:marBottom w:val="0"/>
      <w:divBdr>
        <w:top w:val="none" w:sz="0" w:space="0" w:color="auto"/>
        <w:left w:val="none" w:sz="0" w:space="0" w:color="auto"/>
        <w:bottom w:val="none" w:sz="0" w:space="0" w:color="auto"/>
        <w:right w:val="none" w:sz="0" w:space="0" w:color="auto"/>
      </w:divBdr>
    </w:div>
    <w:div w:id="782305491">
      <w:bodyDiv w:val="1"/>
      <w:marLeft w:val="0"/>
      <w:marRight w:val="0"/>
      <w:marTop w:val="0"/>
      <w:marBottom w:val="0"/>
      <w:divBdr>
        <w:top w:val="none" w:sz="0" w:space="0" w:color="auto"/>
        <w:left w:val="none" w:sz="0" w:space="0" w:color="auto"/>
        <w:bottom w:val="none" w:sz="0" w:space="0" w:color="auto"/>
        <w:right w:val="none" w:sz="0" w:space="0" w:color="auto"/>
      </w:divBdr>
    </w:div>
    <w:div w:id="783616029">
      <w:bodyDiv w:val="1"/>
      <w:marLeft w:val="0"/>
      <w:marRight w:val="0"/>
      <w:marTop w:val="0"/>
      <w:marBottom w:val="0"/>
      <w:divBdr>
        <w:top w:val="none" w:sz="0" w:space="0" w:color="auto"/>
        <w:left w:val="none" w:sz="0" w:space="0" w:color="auto"/>
        <w:bottom w:val="none" w:sz="0" w:space="0" w:color="auto"/>
        <w:right w:val="none" w:sz="0" w:space="0" w:color="auto"/>
      </w:divBdr>
    </w:div>
    <w:div w:id="946162722">
      <w:bodyDiv w:val="1"/>
      <w:marLeft w:val="0"/>
      <w:marRight w:val="0"/>
      <w:marTop w:val="0"/>
      <w:marBottom w:val="0"/>
      <w:divBdr>
        <w:top w:val="none" w:sz="0" w:space="0" w:color="auto"/>
        <w:left w:val="none" w:sz="0" w:space="0" w:color="auto"/>
        <w:bottom w:val="none" w:sz="0" w:space="0" w:color="auto"/>
        <w:right w:val="none" w:sz="0" w:space="0" w:color="auto"/>
      </w:divBdr>
    </w:div>
    <w:div w:id="1473333345">
      <w:bodyDiv w:val="1"/>
      <w:marLeft w:val="0"/>
      <w:marRight w:val="0"/>
      <w:marTop w:val="0"/>
      <w:marBottom w:val="0"/>
      <w:divBdr>
        <w:top w:val="none" w:sz="0" w:space="0" w:color="auto"/>
        <w:left w:val="none" w:sz="0" w:space="0" w:color="auto"/>
        <w:bottom w:val="none" w:sz="0" w:space="0" w:color="auto"/>
        <w:right w:val="none" w:sz="0" w:space="0" w:color="auto"/>
      </w:divBdr>
      <w:divsChild>
        <w:div w:id="751663860">
          <w:marLeft w:val="0"/>
          <w:marRight w:val="0"/>
          <w:marTop w:val="0"/>
          <w:marBottom w:val="0"/>
          <w:divBdr>
            <w:top w:val="none" w:sz="0" w:space="0" w:color="auto"/>
            <w:left w:val="none" w:sz="0" w:space="0" w:color="auto"/>
            <w:bottom w:val="none" w:sz="0" w:space="0" w:color="auto"/>
            <w:right w:val="none" w:sz="0" w:space="0" w:color="auto"/>
          </w:divBdr>
          <w:divsChild>
            <w:div w:id="2143184345">
              <w:marLeft w:val="0"/>
              <w:marRight w:val="0"/>
              <w:marTop w:val="0"/>
              <w:marBottom w:val="0"/>
              <w:divBdr>
                <w:top w:val="none" w:sz="0" w:space="0" w:color="auto"/>
                <w:left w:val="none" w:sz="0" w:space="0" w:color="auto"/>
                <w:bottom w:val="none" w:sz="0" w:space="0" w:color="auto"/>
                <w:right w:val="none" w:sz="0" w:space="0" w:color="auto"/>
              </w:divBdr>
              <w:divsChild>
                <w:div w:id="1388067941">
                  <w:marLeft w:val="0"/>
                  <w:marRight w:val="0"/>
                  <w:marTop w:val="0"/>
                  <w:marBottom w:val="0"/>
                  <w:divBdr>
                    <w:top w:val="none" w:sz="0" w:space="0" w:color="auto"/>
                    <w:left w:val="none" w:sz="0" w:space="0" w:color="auto"/>
                    <w:bottom w:val="none" w:sz="0" w:space="0" w:color="auto"/>
                    <w:right w:val="none" w:sz="0" w:space="0" w:color="auto"/>
                  </w:divBdr>
                </w:div>
              </w:divsChild>
            </w:div>
            <w:div w:id="1117481702">
              <w:marLeft w:val="0"/>
              <w:marRight w:val="0"/>
              <w:marTop w:val="0"/>
              <w:marBottom w:val="0"/>
              <w:divBdr>
                <w:top w:val="none" w:sz="0" w:space="0" w:color="auto"/>
                <w:left w:val="none" w:sz="0" w:space="0" w:color="auto"/>
                <w:bottom w:val="none" w:sz="0" w:space="0" w:color="auto"/>
                <w:right w:val="none" w:sz="0" w:space="0" w:color="auto"/>
              </w:divBdr>
              <w:divsChild>
                <w:div w:id="123242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004">
          <w:marLeft w:val="0"/>
          <w:marRight w:val="0"/>
          <w:marTop w:val="0"/>
          <w:marBottom w:val="0"/>
          <w:divBdr>
            <w:top w:val="none" w:sz="0" w:space="0" w:color="auto"/>
            <w:left w:val="none" w:sz="0" w:space="0" w:color="auto"/>
            <w:bottom w:val="none" w:sz="0" w:space="0" w:color="auto"/>
            <w:right w:val="none" w:sz="0" w:space="0" w:color="auto"/>
          </w:divBdr>
          <w:divsChild>
            <w:div w:id="1810434894">
              <w:marLeft w:val="0"/>
              <w:marRight w:val="0"/>
              <w:marTop w:val="0"/>
              <w:marBottom w:val="0"/>
              <w:divBdr>
                <w:top w:val="none" w:sz="0" w:space="0" w:color="auto"/>
                <w:left w:val="none" w:sz="0" w:space="0" w:color="auto"/>
                <w:bottom w:val="none" w:sz="0" w:space="0" w:color="auto"/>
                <w:right w:val="none" w:sz="0" w:space="0" w:color="auto"/>
              </w:divBdr>
              <w:divsChild>
                <w:div w:id="504519549">
                  <w:marLeft w:val="0"/>
                  <w:marRight w:val="0"/>
                  <w:marTop w:val="0"/>
                  <w:marBottom w:val="0"/>
                  <w:divBdr>
                    <w:top w:val="none" w:sz="0" w:space="0" w:color="auto"/>
                    <w:left w:val="none" w:sz="0" w:space="0" w:color="auto"/>
                    <w:bottom w:val="none" w:sz="0" w:space="0" w:color="auto"/>
                    <w:right w:val="none" w:sz="0" w:space="0" w:color="auto"/>
                  </w:divBdr>
                </w:div>
              </w:divsChild>
            </w:div>
            <w:div w:id="686249660">
              <w:marLeft w:val="0"/>
              <w:marRight w:val="0"/>
              <w:marTop w:val="0"/>
              <w:marBottom w:val="0"/>
              <w:divBdr>
                <w:top w:val="none" w:sz="0" w:space="0" w:color="auto"/>
                <w:left w:val="none" w:sz="0" w:space="0" w:color="auto"/>
                <w:bottom w:val="none" w:sz="0" w:space="0" w:color="auto"/>
                <w:right w:val="none" w:sz="0" w:space="0" w:color="auto"/>
              </w:divBdr>
              <w:divsChild>
                <w:div w:id="11723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3940">
          <w:marLeft w:val="0"/>
          <w:marRight w:val="0"/>
          <w:marTop w:val="0"/>
          <w:marBottom w:val="0"/>
          <w:divBdr>
            <w:top w:val="none" w:sz="0" w:space="0" w:color="auto"/>
            <w:left w:val="none" w:sz="0" w:space="0" w:color="auto"/>
            <w:bottom w:val="none" w:sz="0" w:space="0" w:color="auto"/>
            <w:right w:val="none" w:sz="0" w:space="0" w:color="auto"/>
          </w:divBdr>
          <w:divsChild>
            <w:div w:id="1293368334">
              <w:marLeft w:val="0"/>
              <w:marRight w:val="0"/>
              <w:marTop w:val="0"/>
              <w:marBottom w:val="0"/>
              <w:divBdr>
                <w:top w:val="none" w:sz="0" w:space="0" w:color="auto"/>
                <w:left w:val="none" w:sz="0" w:space="0" w:color="auto"/>
                <w:bottom w:val="none" w:sz="0" w:space="0" w:color="auto"/>
                <w:right w:val="none" w:sz="0" w:space="0" w:color="auto"/>
              </w:divBdr>
              <w:divsChild>
                <w:div w:id="764882422">
                  <w:marLeft w:val="0"/>
                  <w:marRight w:val="0"/>
                  <w:marTop w:val="0"/>
                  <w:marBottom w:val="0"/>
                  <w:divBdr>
                    <w:top w:val="none" w:sz="0" w:space="0" w:color="auto"/>
                    <w:left w:val="none" w:sz="0" w:space="0" w:color="auto"/>
                    <w:bottom w:val="none" w:sz="0" w:space="0" w:color="auto"/>
                    <w:right w:val="none" w:sz="0" w:space="0" w:color="auto"/>
                  </w:divBdr>
                </w:div>
              </w:divsChild>
            </w:div>
            <w:div w:id="775557474">
              <w:marLeft w:val="0"/>
              <w:marRight w:val="0"/>
              <w:marTop w:val="0"/>
              <w:marBottom w:val="0"/>
              <w:divBdr>
                <w:top w:val="none" w:sz="0" w:space="0" w:color="auto"/>
                <w:left w:val="none" w:sz="0" w:space="0" w:color="auto"/>
                <w:bottom w:val="none" w:sz="0" w:space="0" w:color="auto"/>
                <w:right w:val="none" w:sz="0" w:space="0" w:color="auto"/>
              </w:divBdr>
              <w:divsChild>
                <w:div w:id="20544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04694">
          <w:marLeft w:val="0"/>
          <w:marRight w:val="0"/>
          <w:marTop w:val="0"/>
          <w:marBottom w:val="0"/>
          <w:divBdr>
            <w:top w:val="none" w:sz="0" w:space="0" w:color="auto"/>
            <w:left w:val="none" w:sz="0" w:space="0" w:color="auto"/>
            <w:bottom w:val="none" w:sz="0" w:space="0" w:color="auto"/>
            <w:right w:val="none" w:sz="0" w:space="0" w:color="auto"/>
          </w:divBdr>
          <w:divsChild>
            <w:div w:id="1293294203">
              <w:marLeft w:val="0"/>
              <w:marRight w:val="0"/>
              <w:marTop w:val="0"/>
              <w:marBottom w:val="0"/>
              <w:divBdr>
                <w:top w:val="none" w:sz="0" w:space="0" w:color="auto"/>
                <w:left w:val="none" w:sz="0" w:space="0" w:color="auto"/>
                <w:bottom w:val="none" w:sz="0" w:space="0" w:color="auto"/>
                <w:right w:val="none" w:sz="0" w:space="0" w:color="auto"/>
              </w:divBdr>
              <w:divsChild>
                <w:div w:id="1361786762">
                  <w:marLeft w:val="0"/>
                  <w:marRight w:val="0"/>
                  <w:marTop w:val="0"/>
                  <w:marBottom w:val="0"/>
                  <w:divBdr>
                    <w:top w:val="none" w:sz="0" w:space="0" w:color="auto"/>
                    <w:left w:val="none" w:sz="0" w:space="0" w:color="auto"/>
                    <w:bottom w:val="none" w:sz="0" w:space="0" w:color="auto"/>
                    <w:right w:val="none" w:sz="0" w:space="0" w:color="auto"/>
                  </w:divBdr>
                </w:div>
              </w:divsChild>
            </w:div>
            <w:div w:id="821123610">
              <w:marLeft w:val="0"/>
              <w:marRight w:val="0"/>
              <w:marTop w:val="0"/>
              <w:marBottom w:val="0"/>
              <w:divBdr>
                <w:top w:val="none" w:sz="0" w:space="0" w:color="auto"/>
                <w:left w:val="none" w:sz="0" w:space="0" w:color="auto"/>
                <w:bottom w:val="none" w:sz="0" w:space="0" w:color="auto"/>
                <w:right w:val="none" w:sz="0" w:space="0" w:color="auto"/>
              </w:divBdr>
              <w:divsChild>
                <w:div w:id="509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0290">
          <w:marLeft w:val="0"/>
          <w:marRight w:val="0"/>
          <w:marTop w:val="0"/>
          <w:marBottom w:val="0"/>
          <w:divBdr>
            <w:top w:val="none" w:sz="0" w:space="0" w:color="auto"/>
            <w:left w:val="none" w:sz="0" w:space="0" w:color="auto"/>
            <w:bottom w:val="none" w:sz="0" w:space="0" w:color="auto"/>
            <w:right w:val="none" w:sz="0" w:space="0" w:color="auto"/>
          </w:divBdr>
          <w:divsChild>
            <w:div w:id="305739202">
              <w:marLeft w:val="0"/>
              <w:marRight w:val="0"/>
              <w:marTop w:val="0"/>
              <w:marBottom w:val="0"/>
              <w:divBdr>
                <w:top w:val="none" w:sz="0" w:space="0" w:color="auto"/>
                <w:left w:val="none" w:sz="0" w:space="0" w:color="auto"/>
                <w:bottom w:val="none" w:sz="0" w:space="0" w:color="auto"/>
                <w:right w:val="none" w:sz="0" w:space="0" w:color="auto"/>
              </w:divBdr>
              <w:divsChild>
                <w:div w:id="699668729">
                  <w:marLeft w:val="0"/>
                  <w:marRight w:val="0"/>
                  <w:marTop w:val="0"/>
                  <w:marBottom w:val="0"/>
                  <w:divBdr>
                    <w:top w:val="none" w:sz="0" w:space="0" w:color="auto"/>
                    <w:left w:val="none" w:sz="0" w:space="0" w:color="auto"/>
                    <w:bottom w:val="none" w:sz="0" w:space="0" w:color="auto"/>
                    <w:right w:val="none" w:sz="0" w:space="0" w:color="auto"/>
                  </w:divBdr>
                </w:div>
              </w:divsChild>
            </w:div>
            <w:div w:id="2102681063">
              <w:marLeft w:val="0"/>
              <w:marRight w:val="0"/>
              <w:marTop w:val="0"/>
              <w:marBottom w:val="0"/>
              <w:divBdr>
                <w:top w:val="none" w:sz="0" w:space="0" w:color="auto"/>
                <w:left w:val="none" w:sz="0" w:space="0" w:color="auto"/>
                <w:bottom w:val="none" w:sz="0" w:space="0" w:color="auto"/>
                <w:right w:val="none" w:sz="0" w:space="0" w:color="auto"/>
              </w:divBdr>
              <w:divsChild>
                <w:div w:id="15307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13894">
          <w:marLeft w:val="0"/>
          <w:marRight w:val="0"/>
          <w:marTop w:val="0"/>
          <w:marBottom w:val="0"/>
          <w:divBdr>
            <w:top w:val="none" w:sz="0" w:space="0" w:color="auto"/>
            <w:left w:val="none" w:sz="0" w:space="0" w:color="auto"/>
            <w:bottom w:val="none" w:sz="0" w:space="0" w:color="auto"/>
            <w:right w:val="none" w:sz="0" w:space="0" w:color="auto"/>
          </w:divBdr>
          <w:divsChild>
            <w:div w:id="1644238350">
              <w:marLeft w:val="0"/>
              <w:marRight w:val="0"/>
              <w:marTop w:val="0"/>
              <w:marBottom w:val="0"/>
              <w:divBdr>
                <w:top w:val="none" w:sz="0" w:space="0" w:color="auto"/>
                <w:left w:val="none" w:sz="0" w:space="0" w:color="auto"/>
                <w:bottom w:val="none" w:sz="0" w:space="0" w:color="auto"/>
                <w:right w:val="none" w:sz="0" w:space="0" w:color="auto"/>
              </w:divBdr>
              <w:divsChild>
                <w:div w:id="2613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70324">
      <w:bodyDiv w:val="1"/>
      <w:marLeft w:val="0"/>
      <w:marRight w:val="0"/>
      <w:marTop w:val="0"/>
      <w:marBottom w:val="0"/>
      <w:divBdr>
        <w:top w:val="none" w:sz="0" w:space="0" w:color="auto"/>
        <w:left w:val="none" w:sz="0" w:space="0" w:color="auto"/>
        <w:bottom w:val="none" w:sz="0" w:space="0" w:color="auto"/>
        <w:right w:val="none" w:sz="0" w:space="0" w:color="auto"/>
      </w:divBdr>
      <w:divsChild>
        <w:div w:id="2142073910">
          <w:marLeft w:val="0"/>
          <w:marRight w:val="0"/>
          <w:marTop w:val="0"/>
          <w:marBottom w:val="0"/>
          <w:divBdr>
            <w:top w:val="none" w:sz="0" w:space="0" w:color="auto"/>
            <w:left w:val="none" w:sz="0" w:space="0" w:color="auto"/>
            <w:bottom w:val="none" w:sz="0" w:space="0" w:color="auto"/>
            <w:right w:val="none" w:sz="0" w:space="0" w:color="auto"/>
          </w:divBdr>
        </w:div>
      </w:divsChild>
    </w:div>
    <w:div w:id="1527718576">
      <w:bodyDiv w:val="1"/>
      <w:marLeft w:val="0"/>
      <w:marRight w:val="0"/>
      <w:marTop w:val="0"/>
      <w:marBottom w:val="0"/>
      <w:divBdr>
        <w:top w:val="none" w:sz="0" w:space="0" w:color="auto"/>
        <w:left w:val="none" w:sz="0" w:space="0" w:color="auto"/>
        <w:bottom w:val="none" w:sz="0" w:space="0" w:color="auto"/>
        <w:right w:val="none" w:sz="0" w:space="0" w:color="auto"/>
      </w:divBdr>
    </w:div>
    <w:div w:id="2061904900">
      <w:bodyDiv w:val="1"/>
      <w:marLeft w:val="0"/>
      <w:marRight w:val="0"/>
      <w:marTop w:val="0"/>
      <w:marBottom w:val="0"/>
      <w:divBdr>
        <w:top w:val="none" w:sz="0" w:space="0" w:color="auto"/>
        <w:left w:val="none" w:sz="0" w:space="0" w:color="auto"/>
        <w:bottom w:val="none" w:sz="0" w:space="0" w:color="auto"/>
        <w:right w:val="none" w:sz="0" w:space="0" w:color="auto"/>
      </w:divBdr>
      <w:divsChild>
        <w:div w:id="600526763">
          <w:marLeft w:val="0"/>
          <w:marRight w:val="0"/>
          <w:marTop w:val="0"/>
          <w:marBottom w:val="0"/>
          <w:divBdr>
            <w:top w:val="none" w:sz="0" w:space="0" w:color="auto"/>
            <w:left w:val="none" w:sz="0" w:space="0" w:color="auto"/>
            <w:bottom w:val="none" w:sz="0" w:space="0" w:color="auto"/>
            <w:right w:val="none" w:sz="0" w:space="0" w:color="auto"/>
          </w:divBdr>
          <w:divsChild>
            <w:div w:id="1750230204">
              <w:marLeft w:val="0"/>
              <w:marRight w:val="0"/>
              <w:marTop w:val="0"/>
              <w:marBottom w:val="0"/>
              <w:divBdr>
                <w:top w:val="none" w:sz="0" w:space="0" w:color="auto"/>
                <w:left w:val="none" w:sz="0" w:space="0" w:color="auto"/>
                <w:bottom w:val="none" w:sz="0" w:space="0" w:color="auto"/>
                <w:right w:val="none" w:sz="0" w:space="0" w:color="auto"/>
              </w:divBdr>
              <w:divsChild>
                <w:div w:id="5471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image" Target="media/image5.png"/><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5.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0" Type="http://schemas.openxmlformats.org/officeDocument/2006/relationships/chart" Target="charts/chart9.xml"/><Relationship Id="rId41" Type="http://schemas.openxmlformats.org/officeDocument/2006/relationships/chart" Target="charts/chart27.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sea\Downloads\cpv2020_b_son_01_poblac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gastelumg\Downloads\PARQUE%20VEHICULAR%20HERMOSILLO%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camac\OneDrive\Escritorio\PARQUE%20VEHICULAR%20HERMOSILLO%20(1).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gastelumg\Downloads\IndicadoresENOE_2024-11-07.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gastelumg\Downloads\IndicadoresENOE_2024-11-07.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gastelumg\Downloads\IndicadoresENOE_2024-11-07.xls"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gastelumg\Downloads\IndicadoresENOE_2024-11-07.xls"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gastelumg\Downloads\Empleo%20por%20sector%20econ&#243;mico%20(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gastelumg\Downloads\IMMEX%20calculo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gastelumg\Documents\f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gastelumg\Downloads\IMMEX%20calculo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d341bacb18032d86/Escritorio/Producci&#243;n%20de%20autos%20en%20Sonor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camac\OneDrive\Escritorio\Copia%20de%20OBRAS%202021-2024%20ALFREDO.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Libro2"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Libro2"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Libro2"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Libro2"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Libro2"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E:\2024%2011%2022%20datos%20informe\2024%2011%2022%20gasto%20de%20inversion%20Hermosillo%202019.2024%20v3.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xml"/></Relationships>
</file>

<file path=word/charts/_rels/chart29.xml.rels><?xml version="1.0" encoding="UTF-8" standalone="yes"?>
<Relationships xmlns="http://schemas.openxmlformats.org/package/2006/relationships"><Relationship Id="rId3" Type="http://schemas.openxmlformats.org/officeDocument/2006/relationships/oleObject" Target="file:///E:\2024%2011%2022%20datos%20informe\2024%2011%2022%20gasto%20de%20inversion%20Hermosillo%202019.2024%20v3.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gastelumg\Documents\f5.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2024%2011%2022%20datos%20informe\2024%2011%2022%20gasto%20de%20inversion%20Hermosillo%202019.2024%20v3.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3.xml"/></Relationships>
</file>

<file path=word/charts/_rels/chart31.xml.rels><?xml version="1.0" encoding="UTF-8" standalone="yes"?>
<Relationships xmlns="http://schemas.openxmlformats.org/package/2006/relationships"><Relationship Id="rId3" Type="http://schemas.openxmlformats.org/officeDocument/2006/relationships/oleObject" Target="file:///E:\2024%2011%2022%20datos%20informe\2024%2011%2026%20datos%20informe%20objeto%20del%20gasto%20y%20fuente%20de%20financiamiento%202019%20a%202021.xlsx"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4.xml"/></Relationships>
</file>

<file path=word/charts/_rels/chart32.xml.rels><?xml version="1.0" encoding="UTF-8" standalone="yes"?>
<Relationships xmlns="http://schemas.openxmlformats.org/package/2006/relationships"><Relationship Id="rId3" Type="http://schemas.openxmlformats.org/officeDocument/2006/relationships/oleObject" Target="file:///E:\2024%2011%2022%20datos%20informe\2024%2011%2025%20datos%20informe%20objeto%20del%20gasto%20y%20fuente%20de%20financiamiento.xlsx"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5.xml"/></Relationships>
</file>

<file path=word/charts/_rels/chart33.xml.rels><?xml version="1.0" encoding="UTF-8" standalone="yes"?>
<Relationships xmlns="http://schemas.openxmlformats.org/package/2006/relationships"><Relationship Id="rId3" Type="http://schemas.openxmlformats.org/officeDocument/2006/relationships/oleObject" Target="file:///E:\2024%2011%2022%20datos%20informe\2024%2011%2025%20datos%20informe%20objeto%20del%20gasto%20y%20fuente%20de%20financiamiento.xlsx" TargetMode="Externa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6.xml"/></Relationships>
</file>

<file path=word/charts/_rels/chart34.xml.rels><?xml version="1.0" encoding="UTF-8" standalone="yes"?>
<Relationships xmlns="http://schemas.openxmlformats.org/package/2006/relationships"><Relationship Id="rId3" Type="http://schemas.openxmlformats.org/officeDocument/2006/relationships/oleObject" Target="file:///E:\2024%2011%2022%20datos%20informe\2024%2011%2025%20datos%20informe%20objeto%20del%20gasto%20y%20fuente%20de%20financiamiento.xlsx" TargetMode="Externa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7.xml"/></Relationships>
</file>

<file path=word/charts/_rels/chart35.xml.rels><?xml version="1.0" encoding="UTF-8" standalone="yes"?>
<Relationships xmlns="http://schemas.openxmlformats.org/package/2006/relationships"><Relationship Id="rId3" Type="http://schemas.openxmlformats.org/officeDocument/2006/relationships/oleObject" Target="file:///\\Volumes\ROY%20MEMORY\2024%2011%2022%20datos%20informe\2024%2011%2022%20gasto%20de%20inversion%20Hermosillo%202019.2024%20v3.xlsx" TargetMode="Externa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8.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jgastelumg\Documents\deuda%20p.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jgastelumg\Documents\Ayuntamiento\Hermosillo\Reportes\Bases%20de%20datos\base%20ensu%20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jgastelumg\Documents\Ayuntamiento\Hermosillo\Reportes\Bases%20de%20datos\base%20ensu%20n.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jgastelumg\Documents\Ayuntamiento\Hermosillo\Reportes\Bases%20de%20datos\base%20ensu%20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gastelumg\Documents\Ayuntamiento\Hermosillo\Reportes\Bases%20de%20datos\base%20ensu%20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gastelumg\Documents\Ayuntamiento\Hermosillo\Reportes\Bases%20de%20datos\base%20ensu%20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gastelumg\Documents\Ayuntamiento\Hermosillo\Reportes\Bases%20de%20datos\base%20ensu%20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Hoja1!$N$4</c:f>
              <c:strCache>
                <c:ptCount val="1"/>
                <c:pt idx="0">
                  <c:v>Hombres</c:v>
                </c:pt>
              </c:strCache>
            </c:strRef>
          </c:tx>
          <c:spPr>
            <a:solidFill>
              <a:schemeClr val="accent2"/>
            </a:solidFill>
            <a:ln>
              <a:noFill/>
            </a:ln>
            <a:effectLst/>
          </c:spPr>
          <c:invertIfNegative val="0"/>
          <c:dLbls>
            <c:dLbl>
              <c:idx val="0"/>
              <c:tx>
                <c:rich>
                  <a:bodyPr/>
                  <a:lstStyle/>
                  <a:p>
                    <a:fld id="{37B3057B-2257-4C73-B07A-578193EE63D4}" type="CELLRANGE">
                      <a:rPr lang="en-US"/>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918-A144-B9B9-6F266D16C40A}"/>
                </c:ext>
              </c:extLst>
            </c:dLbl>
            <c:dLbl>
              <c:idx val="1"/>
              <c:tx>
                <c:rich>
                  <a:bodyPr/>
                  <a:lstStyle/>
                  <a:p>
                    <a:fld id="{0502B243-BB01-4EF6-8913-540CC0A765B0}"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918-A144-B9B9-6F266D16C40A}"/>
                </c:ext>
              </c:extLst>
            </c:dLbl>
            <c:dLbl>
              <c:idx val="2"/>
              <c:tx>
                <c:rich>
                  <a:bodyPr/>
                  <a:lstStyle/>
                  <a:p>
                    <a:fld id="{BB9219FC-78D8-4FB2-B8ED-5AF67526FF67}"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918-A144-B9B9-6F266D16C40A}"/>
                </c:ext>
              </c:extLst>
            </c:dLbl>
            <c:dLbl>
              <c:idx val="3"/>
              <c:tx>
                <c:rich>
                  <a:bodyPr/>
                  <a:lstStyle/>
                  <a:p>
                    <a:fld id="{9878D32D-EAB0-463F-AECD-8F7922C63104}"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918-A144-B9B9-6F266D16C40A}"/>
                </c:ext>
              </c:extLst>
            </c:dLbl>
            <c:dLbl>
              <c:idx val="4"/>
              <c:tx>
                <c:rich>
                  <a:bodyPr/>
                  <a:lstStyle/>
                  <a:p>
                    <a:fld id="{2F753C05-B8F0-497F-870B-5B672A9EE483}"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918-A144-B9B9-6F266D16C40A}"/>
                </c:ext>
              </c:extLst>
            </c:dLbl>
            <c:dLbl>
              <c:idx val="5"/>
              <c:tx>
                <c:rich>
                  <a:bodyPr/>
                  <a:lstStyle/>
                  <a:p>
                    <a:fld id="{A6AA5F90-80FA-4060-A940-9C2777912435}"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918-A144-B9B9-6F266D16C40A}"/>
                </c:ext>
              </c:extLst>
            </c:dLbl>
            <c:dLbl>
              <c:idx val="6"/>
              <c:tx>
                <c:rich>
                  <a:bodyPr/>
                  <a:lstStyle/>
                  <a:p>
                    <a:fld id="{65266D17-FC65-47FD-87B8-6DA343D2926C}"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918-A144-B9B9-6F266D16C40A}"/>
                </c:ext>
              </c:extLst>
            </c:dLbl>
            <c:dLbl>
              <c:idx val="7"/>
              <c:tx>
                <c:rich>
                  <a:bodyPr/>
                  <a:lstStyle/>
                  <a:p>
                    <a:fld id="{5F472836-66AC-4692-B34F-A0A729147DC1}"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918-A144-B9B9-6F266D16C40A}"/>
                </c:ext>
              </c:extLst>
            </c:dLbl>
            <c:dLbl>
              <c:idx val="8"/>
              <c:tx>
                <c:rich>
                  <a:bodyPr/>
                  <a:lstStyle/>
                  <a:p>
                    <a:fld id="{6A1B3CB7-1B98-4535-863D-9CEACD1E6E14}"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918-A144-B9B9-6F266D16C40A}"/>
                </c:ext>
              </c:extLst>
            </c:dLbl>
            <c:dLbl>
              <c:idx val="9"/>
              <c:tx>
                <c:rich>
                  <a:bodyPr/>
                  <a:lstStyle/>
                  <a:p>
                    <a:fld id="{2D080429-19D8-4D82-9479-7DD26BF1F13D}"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918-A144-B9B9-6F266D16C40A}"/>
                </c:ext>
              </c:extLst>
            </c:dLbl>
            <c:dLbl>
              <c:idx val="10"/>
              <c:tx>
                <c:rich>
                  <a:bodyPr/>
                  <a:lstStyle/>
                  <a:p>
                    <a:fld id="{073C981C-9EB9-431C-BADB-58EBB1B8CC52}"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918-A144-B9B9-6F266D16C40A}"/>
                </c:ext>
              </c:extLst>
            </c:dLbl>
            <c:dLbl>
              <c:idx val="11"/>
              <c:tx>
                <c:rich>
                  <a:bodyPr/>
                  <a:lstStyle/>
                  <a:p>
                    <a:fld id="{F09DCD17-88F0-4F8C-9A38-2E28E4A6FAC7}"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918-A144-B9B9-6F266D16C40A}"/>
                </c:ext>
              </c:extLst>
            </c:dLbl>
            <c:dLbl>
              <c:idx val="12"/>
              <c:tx>
                <c:rich>
                  <a:bodyPr/>
                  <a:lstStyle/>
                  <a:p>
                    <a:fld id="{9DD671B2-75AF-499B-8161-F49A83F9D97D}"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918-A144-B9B9-6F266D16C40A}"/>
                </c:ext>
              </c:extLst>
            </c:dLbl>
            <c:dLbl>
              <c:idx val="13"/>
              <c:tx>
                <c:rich>
                  <a:bodyPr/>
                  <a:lstStyle/>
                  <a:p>
                    <a:fld id="{C3B94179-14D0-4392-B610-C3700E6D6E1B}"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918-A144-B9B9-6F266D16C40A}"/>
                </c:ext>
              </c:extLst>
            </c:dLbl>
            <c:dLbl>
              <c:idx val="14"/>
              <c:tx>
                <c:rich>
                  <a:bodyPr/>
                  <a:lstStyle/>
                  <a:p>
                    <a:fld id="{2F853809-B594-41EF-BBE2-6C5BB94B6054}"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918-A144-B9B9-6F266D16C40A}"/>
                </c:ext>
              </c:extLst>
            </c:dLbl>
            <c:dLbl>
              <c:idx val="15"/>
              <c:tx>
                <c:rich>
                  <a:bodyPr/>
                  <a:lstStyle/>
                  <a:p>
                    <a:fld id="{64EED9A2-FD9D-4AF7-A643-72319C8EF398}"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918-A144-B9B9-6F266D16C40A}"/>
                </c:ext>
              </c:extLst>
            </c:dLbl>
            <c:dLbl>
              <c:idx val="16"/>
              <c:tx>
                <c:rich>
                  <a:bodyPr/>
                  <a:lstStyle/>
                  <a:p>
                    <a:fld id="{620A9D11-9481-4905-8958-0A1EFAECB23B}"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918-A144-B9B9-6F266D16C40A}"/>
                </c:ext>
              </c:extLst>
            </c:dLbl>
            <c:dLbl>
              <c:idx val="17"/>
              <c:tx>
                <c:rich>
                  <a:bodyPr/>
                  <a:lstStyle/>
                  <a:p>
                    <a:fld id="{3DA206DF-06F7-44CD-8F34-B2B3A00F3594}"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6918-A144-B9B9-6F266D16C40A}"/>
                </c:ext>
              </c:extLst>
            </c:dLbl>
            <c:dLbl>
              <c:idx val="18"/>
              <c:tx>
                <c:rich>
                  <a:bodyPr/>
                  <a:lstStyle/>
                  <a:p>
                    <a:fld id="{D671E2CC-DAB9-4CC2-AEF6-3DB0B27622EF}"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6918-A144-B9B9-6F266D16C40A}"/>
                </c:ext>
              </c:extLst>
            </c:dLbl>
            <c:dLbl>
              <c:idx val="19"/>
              <c:tx>
                <c:rich>
                  <a:bodyPr/>
                  <a:lstStyle/>
                  <a:p>
                    <a:fld id="{66BD564F-CE7B-4830-869B-BA053E2A0FFB}"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918-A144-B9B9-6F266D16C40A}"/>
                </c:ext>
              </c:extLst>
            </c:dLbl>
            <c:dLbl>
              <c:idx val="20"/>
              <c:tx>
                <c:rich>
                  <a:bodyPr/>
                  <a:lstStyle/>
                  <a:p>
                    <a:fld id="{70FE15A0-F214-48D9-9040-3FC733DBCE23}" type="CELLRANGE">
                      <a:rPr lang="es-MX"/>
                      <a:pPr/>
                      <a:t>[CELLRANGE]</a:t>
                    </a:fld>
                    <a:endParaRPr lang="es-MX"/>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918-A144-B9B9-6F266D16C40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Hoja1!$L$5:$L$25</c:f>
              <c:strCache>
                <c:ptCount val="21"/>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95-99 años</c:v>
                </c:pt>
                <c:pt idx="20">
                  <c:v>100 años y más</c:v>
                </c:pt>
              </c:strCache>
            </c:strRef>
          </c:cat>
          <c:val>
            <c:numRef>
              <c:f>Hoja1!$N$5:$N$25</c:f>
              <c:numCache>
                <c:formatCode>0.00</c:formatCode>
                <c:ptCount val="21"/>
                <c:pt idx="0">
                  <c:v>-6.7830271794663943</c:v>
                </c:pt>
                <c:pt idx="1">
                  <c:v>-8.0418454134517141</c:v>
                </c:pt>
                <c:pt idx="2">
                  <c:v>-8.2511151452835385</c:v>
                </c:pt>
                <c:pt idx="3">
                  <c:v>-8.2961262700710154</c:v>
                </c:pt>
                <c:pt idx="4">
                  <c:v>-8.7931685485298861</c:v>
                </c:pt>
                <c:pt idx="5">
                  <c:v>-8.3055124761878343</c:v>
                </c:pt>
                <c:pt idx="6">
                  <c:v>-7.6885827468732195</c:v>
                </c:pt>
                <c:pt idx="7">
                  <c:v>-7.2186324724333524</c:v>
                </c:pt>
                <c:pt idx="8">
                  <c:v>-7.0652533315698633</c:v>
                </c:pt>
                <c:pt idx="9">
                  <c:v>-6.6019160659850291</c:v>
                </c:pt>
                <c:pt idx="10">
                  <c:v>-5.8860045267112229</c:v>
                </c:pt>
                <c:pt idx="11">
                  <c:v>-4.8093640205387258</c:v>
                </c:pt>
                <c:pt idx="12">
                  <c:v>-4.1809148564443772</c:v>
                </c:pt>
                <c:pt idx="13">
                  <c:v>-2.8956445870389294</c:v>
                </c:pt>
                <c:pt idx="14">
                  <c:v>-2.0502460679262668</c:v>
                </c:pt>
                <c:pt idx="15">
                  <c:v>-1.3705994159219921</c:v>
                </c:pt>
                <c:pt idx="16">
                  <c:v>-0.86011779688676615</c:v>
                </c:pt>
                <c:pt idx="17">
                  <c:v>-0.44733805061298326</c:v>
                </c:pt>
                <c:pt idx="18">
                  <c:v>-0.18729747660381466</c:v>
                </c:pt>
                <c:pt idx="19">
                  <c:v>-5.2690747973966084E-2</c:v>
                </c:pt>
                <c:pt idx="20">
                  <c:v>-5.7597173898667371E-3</c:v>
                </c:pt>
              </c:numCache>
            </c:numRef>
          </c:val>
          <c:extLst>
            <c:ext xmlns:c15="http://schemas.microsoft.com/office/drawing/2012/chart" uri="{02D57815-91ED-43cb-92C2-25804820EDAC}">
              <c15:datalabelsRange>
                <c15:f>Hoja1!$M$5:$M$25</c15:f>
                <c15:dlblRangeCache>
                  <c:ptCount val="21"/>
                  <c:pt idx="0">
                    <c:v>6.78</c:v>
                  </c:pt>
                  <c:pt idx="1">
                    <c:v>8.04</c:v>
                  </c:pt>
                  <c:pt idx="2">
                    <c:v>8.25</c:v>
                  </c:pt>
                  <c:pt idx="3">
                    <c:v>8.30</c:v>
                  </c:pt>
                  <c:pt idx="4">
                    <c:v>8.79</c:v>
                  </c:pt>
                  <c:pt idx="5">
                    <c:v>8.31</c:v>
                  </c:pt>
                  <c:pt idx="6">
                    <c:v>7.69</c:v>
                  </c:pt>
                  <c:pt idx="7">
                    <c:v>7.22</c:v>
                  </c:pt>
                  <c:pt idx="8">
                    <c:v>7.07</c:v>
                  </c:pt>
                  <c:pt idx="9">
                    <c:v>6.60</c:v>
                  </c:pt>
                  <c:pt idx="10">
                    <c:v>5.89</c:v>
                  </c:pt>
                  <c:pt idx="11">
                    <c:v>4.81</c:v>
                  </c:pt>
                  <c:pt idx="12">
                    <c:v>4.18</c:v>
                  </c:pt>
                  <c:pt idx="13">
                    <c:v>2.90</c:v>
                  </c:pt>
                  <c:pt idx="14">
                    <c:v>2.05</c:v>
                  </c:pt>
                  <c:pt idx="15">
                    <c:v>1.37</c:v>
                  </c:pt>
                  <c:pt idx="16">
                    <c:v>0.86</c:v>
                  </c:pt>
                  <c:pt idx="17">
                    <c:v>0.45</c:v>
                  </c:pt>
                  <c:pt idx="18">
                    <c:v>0.19</c:v>
                  </c:pt>
                  <c:pt idx="19">
                    <c:v>0.05</c:v>
                  </c:pt>
                  <c:pt idx="20">
                    <c:v>0.01</c:v>
                  </c:pt>
                </c15:dlblRangeCache>
              </c15:datalabelsRange>
            </c:ext>
            <c:ext xmlns:c16="http://schemas.microsoft.com/office/drawing/2014/chart" uri="{C3380CC4-5D6E-409C-BE32-E72D297353CC}">
              <c16:uniqueId val="{00000015-6918-A144-B9B9-6F266D16C40A}"/>
            </c:ext>
          </c:extLst>
        </c:ser>
        <c:ser>
          <c:idx val="1"/>
          <c:order val="1"/>
          <c:tx>
            <c:strRef>
              <c:f>Hoja1!$O$4</c:f>
              <c:strCache>
                <c:ptCount val="1"/>
                <c:pt idx="0">
                  <c:v>Mujeres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Hoja1!$L$5:$L$25</c:f>
              <c:strCache>
                <c:ptCount val="21"/>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95-99 años</c:v>
                </c:pt>
                <c:pt idx="20">
                  <c:v>100 años y más</c:v>
                </c:pt>
              </c:strCache>
            </c:strRef>
          </c:cat>
          <c:val>
            <c:numRef>
              <c:f>Hoja1!$O$5:$O$25</c:f>
              <c:numCache>
                <c:formatCode>0.00</c:formatCode>
                <c:ptCount val="21"/>
                <c:pt idx="0">
                  <c:v>6.8895171549019878</c:v>
                </c:pt>
                <c:pt idx="1">
                  <c:v>8.1990850861349855</c:v>
                </c:pt>
                <c:pt idx="2">
                  <c:v>8.4914174756451981</c:v>
                </c:pt>
                <c:pt idx="3">
                  <c:v>8.497078278218833</c:v>
                </c:pt>
                <c:pt idx="4">
                  <c:v>8.9509037524712607</c:v>
                </c:pt>
                <c:pt idx="5">
                  <c:v>8.4681334197762794</c:v>
                </c:pt>
                <c:pt idx="6">
                  <c:v>7.836152875847918</c:v>
                </c:pt>
                <c:pt idx="7">
                  <c:v>7.319097304923937</c:v>
                </c:pt>
                <c:pt idx="8">
                  <c:v>7.0446017839004647</c:v>
                </c:pt>
                <c:pt idx="9">
                  <c:v>6.5671718309919331</c:v>
                </c:pt>
                <c:pt idx="10">
                  <c:v>5.7455009970489055</c:v>
                </c:pt>
                <c:pt idx="11">
                  <c:v>4.6296820444682742</c:v>
                </c:pt>
                <c:pt idx="12">
                  <c:v>3.964697953459658</c:v>
                </c:pt>
                <c:pt idx="13">
                  <c:v>2.7244481518547676</c:v>
                </c:pt>
                <c:pt idx="14">
                  <c:v>1.8943395178491516</c:v>
                </c:pt>
                <c:pt idx="15">
                  <c:v>1.2487944092632093</c:v>
                </c:pt>
                <c:pt idx="16">
                  <c:v>0.76057688918605126</c:v>
                </c:pt>
                <c:pt idx="17">
                  <c:v>0.37286531668986173</c:v>
                </c:pt>
                <c:pt idx="18">
                  <c:v>0.13959752761777405</c:v>
                </c:pt>
                <c:pt idx="19">
                  <c:v>4.0693693972740565E-2</c:v>
                </c:pt>
                <c:pt idx="20">
                  <c:v>4.9131494035329817E-3</c:v>
                </c:pt>
              </c:numCache>
            </c:numRef>
          </c:val>
          <c:extLst>
            <c:ext xmlns:c16="http://schemas.microsoft.com/office/drawing/2014/chart" uri="{C3380CC4-5D6E-409C-BE32-E72D297353CC}">
              <c16:uniqueId val="{00000016-6918-A144-B9B9-6F266D16C40A}"/>
            </c:ext>
          </c:extLst>
        </c:ser>
        <c:dLbls>
          <c:showLegendKey val="0"/>
          <c:showVal val="0"/>
          <c:showCatName val="0"/>
          <c:showSerName val="0"/>
          <c:showPercent val="0"/>
          <c:showBubbleSize val="0"/>
        </c:dLbls>
        <c:gapWidth val="0"/>
        <c:overlap val="100"/>
        <c:axId val="855391024"/>
        <c:axId val="855393424"/>
      </c:barChart>
      <c:catAx>
        <c:axId val="855391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55393424"/>
        <c:crosses val="autoZero"/>
        <c:auto val="1"/>
        <c:lblAlgn val="ctr"/>
        <c:lblOffset val="100"/>
        <c:noMultiLvlLbl val="0"/>
      </c:catAx>
      <c:valAx>
        <c:axId val="855393424"/>
        <c:scaling>
          <c:orientation val="minMax"/>
        </c:scaling>
        <c:delete val="1"/>
        <c:axPos val="b"/>
        <c:numFmt formatCode="0.00" sourceLinked="1"/>
        <c:majorTickMark val="none"/>
        <c:minorTickMark val="none"/>
        <c:tickLblPos val="nextTo"/>
        <c:crossAx val="855391024"/>
        <c:crosses val="autoZero"/>
        <c:crossBetween val="between"/>
      </c:valAx>
      <c:spPr>
        <a:noFill/>
        <a:ln>
          <a:noFill/>
        </a:ln>
        <a:effectLst/>
      </c:spPr>
    </c:plotArea>
    <c:legend>
      <c:legendPos val="b"/>
      <c:layout>
        <c:manualLayout>
          <c:xMode val="edge"/>
          <c:yMode val="edge"/>
          <c:x val="0.75354081249008842"/>
          <c:y val="8.5406964005165426E-2"/>
          <c:w val="0.1853825552864955"/>
          <c:h val="0.159708488925562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Hoja1!$B$5</c:f>
              <c:strCache>
                <c:ptCount val="1"/>
                <c:pt idx="0">
                  <c:v>Sonora</c:v>
                </c:pt>
              </c:strCache>
            </c:strRef>
          </c:tx>
          <c:spPr>
            <a:solidFill>
              <a:schemeClr val="accent3">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Hoja1!$A$14:$A$16</c:f>
              <c:strCache>
                <c:ptCount val="3"/>
                <c:pt idx="0">
                  <c:v>2021</c:v>
                </c:pt>
                <c:pt idx="1">
                  <c:v>2022</c:v>
                </c:pt>
                <c:pt idx="2">
                  <c:v>2023</c:v>
                </c:pt>
              </c:strCache>
            </c:strRef>
          </c:cat>
          <c:val>
            <c:numRef>
              <c:f>Hoja1!$B$7:$B$9</c:f>
              <c:numCache>
                <c:formatCode>#,##0</c:formatCode>
                <c:ptCount val="3"/>
                <c:pt idx="0">
                  <c:v>1435992</c:v>
                </c:pt>
                <c:pt idx="1">
                  <c:v>1552856</c:v>
                </c:pt>
                <c:pt idx="2">
                  <c:v>1822090</c:v>
                </c:pt>
              </c:numCache>
            </c:numRef>
          </c:val>
          <c:extLst>
            <c:ext xmlns:c16="http://schemas.microsoft.com/office/drawing/2014/chart" uri="{C3380CC4-5D6E-409C-BE32-E72D297353CC}">
              <c16:uniqueId val="{00000000-543D-460B-BD77-860F9DCFCDFB}"/>
            </c:ext>
          </c:extLst>
        </c:ser>
        <c:ser>
          <c:idx val="1"/>
          <c:order val="1"/>
          <c:tx>
            <c:strRef>
              <c:f>Hoja1!$B$12</c:f>
              <c:strCache>
                <c:ptCount val="1"/>
                <c:pt idx="0">
                  <c:v>Hermosillo</c:v>
                </c:pt>
              </c:strCache>
            </c:strRef>
          </c:tx>
          <c:spPr>
            <a:solidFill>
              <a:schemeClr val="accent2"/>
            </a:solidFill>
            <a:ln>
              <a:noFill/>
            </a:ln>
            <a:effectLst/>
          </c:spPr>
          <c:invertIfNegative val="0"/>
          <c:dLbls>
            <c:dLbl>
              <c:idx val="3"/>
              <c:layout>
                <c:manualLayout>
                  <c:x val="0"/>
                  <c:y val="0.146983903329282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3D-460B-BD77-860F9DCFCDFB}"/>
                </c:ext>
              </c:extLst>
            </c:dLbl>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Hoja1!$A$14:$A$16</c:f>
              <c:strCache>
                <c:ptCount val="3"/>
                <c:pt idx="0">
                  <c:v>2021</c:v>
                </c:pt>
                <c:pt idx="1">
                  <c:v>2022</c:v>
                </c:pt>
                <c:pt idx="2">
                  <c:v>2023</c:v>
                </c:pt>
              </c:strCache>
            </c:strRef>
          </c:cat>
          <c:val>
            <c:numRef>
              <c:f>Hoja1!$B$14:$B$16</c:f>
              <c:numCache>
                <c:formatCode>#,##0</c:formatCode>
                <c:ptCount val="3"/>
                <c:pt idx="0">
                  <c:v>509453</c:v>
                </c:pt>
                <c:pt idx="1">
                  <c:v>553539</c:v>
                </c:pt>
                <c:pt idx="2">
                  <c:v>639758</c:v>
                </c:pt>
              </c:numCache>
            </c:numRef>
          </c:val>
          <c:extLst>
            <c:ext xmlns:c16="http://schemas.microsoft.com/office/drawing/2014/chart" uri="{C3380CC4-5D6E-409C-BE32-E72D297353CC}">
              <c16:uniqueId val="{00000002-543D-460B-BD77-860F9DCFCDFB}"/>
            </c:ext>
          </c:extLst>
        </c:ser>
        <c:dLbls>
          <c:showLegendKey val="0"/>
          <c:showVal val="0"/>
          <c:showCatName val="0"/>
          <c:showSerName val="0"/>
          <c:showPercent val="0"/>
          <c:showBubbleSize val="0"/>
        </c:dLbls>
        <c:gapWidth val="150"/>
        <c:axId val="1842288736"/>
        <c:axId val="1915439504"/>
      </c:barChart>
      <c:catAx>
        <c:axId val="184228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15439504"/>
        <c:crosses val="autoZero"/>
        <c:auto val="1"/>
        <c:lblAlgn val="ctr"/>
        <c:lblOffset val="100"/>
        <c:noMultiLvlLbl val="0"/>
      </c:catAx>
      <c:valAx>
        <c:axId val="19154395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842288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06-504F-A9CC-C3AB49CC78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06-504F-A9CC-C3AB49CC78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06-504F-A9CC-C3AB49CC78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06-504F-A9CC-C3AB49CC78C9}"/>
              </c:ext>
            </c:extLst>
          </c:dPt>
          <c:dLbls>
            <c:dLbl>
              <c:idx val="0"/>
              <c:layout>
                <c:manualLayout>
                  <c:x val="-5.9550560518329999E-2"/>
                  <c:y val="-0.1512651169799947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06-504F-A9CC-C3AB49CC78C9}"/>
                </c:ext>
              </c:extLst>
            </c:dLbl>
            <c:dLbl>
              <c:idx val="1"/>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extLst>
                <c:ext xmlns:c16="http://schemas.microsoft.com/office/drawing/2014/chart" uri="{C3380CC4-5D6E-409C-BE32-E72D297353CC}">
                  <c16:uniqueId val="{00000003-F906-504F-A9CC-C3AB49CC78C9}"/>
                </c:ext>
              </c:extLst>
            </c:dLbl>
            <c:dLbl>
              <c:idx val="2"/>
              <c:layout>
                <c:manualLayout>
                  <c:x val="6.2934622326222239E-2"/>
                  <c:y val="7.84933880872546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06-504F-A9CC-C3AB49CC78C9}"/>
                </c:ext>
              </c:extLst>
            </c:dLbl>
            <c:dLbl>
              <c:idx val="3"/>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extLst>
                <c:ext xmlns:c16="http://schemas.microsoft.com/office/drawing/2014/chart" uri="{C3380CC4-5D6E-409C-BE32-E72D297353CC}">
                  <c16:uniqueId val="{00000007-F906-504F-A9CC-C3AB49CC78C9}"/>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Hoja1!$C$4:$F$4</c:f>
              <c:strCache>
                <c:ptCount val="4"/>
                <c:pt idx="0">
                  <c:v>Automóviles</c:v>
                </c:pt>
                <c:pt idx="1">
                  <c:v>Camiones para pasajeros</c:v>
                </c:pt>
                <c:pt idx="2">
                  <c:v>Camiones y camionetas para carga</c:v>
                </c:pt>
                <c:pt idx="3">
                  <c:v>Motocicletas</c:v>
                </c:pt>
              </c:strCache>
            </c:strRef>
          </c:cat>
          <c:val>
            <c:numRef>
              <c:f>Hoja1!$C$10:$F$10</c:f>
              <c:numCache>
                <c:formatCode>0.0%</c:formatCode>
                <c:ptCount val="4"/>
                <c:pt idx="0">
                  <c:v>0.67417032089523565</c:v>
                </c:pt>
                <c:pt idx="1">
                  <c:v>4.7895548518459572E-3</c:v>
                </c:pt>
                <c:pt idx="2">
                  <c:v>0.28754726714926265</c:v>
                </c:pt>
                <c:pt idx="3">
                  <c:v>3.3492857103655689E-2</c:v>
                </c:pt>
              </c:numCache>
            </c:numRef>
          </c:val>
          <c:extLst>
            <c:ext xmlns:c16="http://schemas.microsoft.com/office/drawing/2014/chart" uri="{C3380CC4-5D6E-409C-BE32-E72D297353CC}">
              <c16:uniqueId val="{00000008-F906-504F-A9CC-C3AB49CC78C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325246506348876"/>
          <c:y val="0.18462602929782518"/>
          <c:w val="0.31856094044582456"/>
          <c:h val="0.60130759634602748"/>
        </c:manualLayout>
      </c:layout>
      <c:overlay val="0"/>
      <c:spPr>
        <a:noFill/>
        <a:ln>
          <a:no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9C-7E4C-9140-B1447929AA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9C-7E4C-9140-B1447929AA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9C-7E4C-9140-B1447929AA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9C-7E4C-9140-B1447929AA96}"/>
              </c:ext>
            </c:extLst>
          </c:dPt>
          <c:dLbls>
            <c:dLbl>
              <c:idx val="0"/>
              <c:layout>
                <c:manualLayout>
                  <c:x val="-0.11209908136482935"/>
                  <c:y val="-0.1830286704592548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9C-7E4C-9140-B1447929AA96}"/>
                </c:ext>
              </c:extLst>
            </c:dLbl>
            <c:dLbl>
              <c:idx val="1"/>
              <c:layout>
                <c:manualLayout>
                  <c:x val="9.650262467191608E-3"/>
                  <c:y val="-1.413178615830916E-2"/>
                </c:manualLayout>
              </c:layout>
              <c:tx>
                <c:rich>
                  <a:bodyPr/>
                  <a:lstStyle/>
                  <a:p>
                    <a:fld id="{B9060AB3-69AE-4FC3-B775-DBEBC28638C8}" type="PERCENTAGE">
                      <a:rPr lang="en-US">
                        <a:solidFill>
                          <a:sysClr val="windowText" lastClr="000000"/>
                        </a:solidFill>
                      </a:rPr>
                      <a:pPr/>
                      <a:t>[PORCENTAJE]</a:t>
                    </a:fld>
                    <a:endParaRPr lang="es-MX"/>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9C-7E4C-9140-B1447929AA96}"/>
                </c:ext>
              </c:extLst>
            </c:dLbl>
            <c:dLbl>
              <c:idx val="2"/>
              <c:layout>
                <c:manualLayout>
                  <c:x val="9.6448648822574937E-2"/>
                  <c:y val="0.1144934943937265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9C-7E4C-9140-B1447929AA96}"/>
                </c:ext>
              </c:extLst>
            </c:dLbl>
            <c:dLbl>
              <c:idx val="3"/>
              <c:layout>
                <c:manualLayout>
                  <c:x val="7.3503937007874014E-3"/>
                  <c:y val="3.2031043966394153E-3"/>
                </c:manualLayout>
              </c:layout>
              <c:tx>
                <c:rich>
                  <a:bodyPr/>
                  <a:lstStyle/>
                  <a:p>
                    <a:fld id="{14B08F77-A076-4C49-BB84-06EFA8B35170}" type="PERCENTAGE">
                      <a:rPr lang="en-US">
                        <a:solidFill>
                          <a:sysClr val="windowText" lastClr="000000"/>
                        </a:solidFill>
                      </a:rPr>
                      <a:pPr/>
                      <a:t>[PORCENTAJE]</a:t>
                    </a:fld>
                    <a:endParaRPr lang="es-MX"/>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F9C-7E4C-9140-B1447929AA96}"/>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'[PARQUE VEHICULAR HERMOSILLO (1).xlsx]Hoja1'!$C$11:$F$11</c:f>
              <c:strCache>
                <c:ptCount val="4"/>
                <c:pt idx="0">
                  <c:v>Automóviles</c:v>
                </c:pt>
                <c:pt idx="1">
                  <c:v>Camiones para pasajeros</c:v>
                </c:pt>
                <c:pt idx="2">
                  <c:v>Camiones y camionetas para carga</c:v>
                </c:pt>
                <c:pt idx="3">
                  <c:v>Motocicletas</c:v>
                </c:pt>
              </c:strCache>
            </c:strRef>
          </c:cat>
          <c:val>
            <c:numRef>
              <c:f>'[PARQUE VEHICULAR HERMOSILLO (1).xlsx]Hoja1'!$C$17:$F$17</c:f>
              <c:numCache>
                <c:formatCode>0.0%</c:formatCode>
                <c:ptCount val="4"/>
                <c:pt idx="0">
                  <c:v>0.68871979717330611</c:v>
                </c:pt>
                <c:pt idx="1">
                  <c:v>4.0921723526708533E-3</c:v>
                </c:pt>
                <c:pt idx="2">
                  <c:v>0.26655235260833005</c:v>
                </c:pt>
                <c:pt idx="3">
                  <c:v>4.0635677865692964E-2</c:v>
                </c:pt>
              </c:numCache>
            </c:numRef>
          </c:val>
          <c:extLst>
            <c:ext xmlns:c16="http://schemas.microsoft.com/office/drawing/2014/chart" uri="{C3380CC4-5D6E-409C-BE32-E72D297353CC}">
              <c16:uniqueId val="{00000008-EF9C-7E4C-9140-B1447929AA9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a:solidFill>
                <a:schemeClr val="accent1"/>
              </a:solidFill>
              <a:round/>
            </a:ln>
            <a:effectLst/>
          </c:spPr>
          <c:marker>
            <c:symbol val="none"/>
          </c:marker>
          <c:dLbls>
            <c:dLbl>
              <c:idx val="0"/>
              <c:layout>
                <c:manualLayout>
                  <c:x val="-2.9418420457116994E-2"/>
                  <c:y val="9.2653871608206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C4-CB43-BB0E-7A4ED0E035DE}"/>
                </c:ext>
              </c:extLst>
            </c:dLbl>
            <c:dLbl>
              <c:idx val="5"/>
              <c:layout>
                <c:manualLayout>
                  <c:x val="-4.0733197556008169E-2"/>
                  <c:y val="-7.941760423560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C4-CB43-BB0E-7A4ED0E035DE}"/>
                </c:ext>
              </c:extLst>
            </c:dLbl>
            <c:dLbl>
              <c:idx val="12"/>
              <c:layout>
                <c:manualLayout>
                  <c:x val="-4.0733197556008148E-2"/>
                  <c:y val="8.6035737921905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C4-CB43-BB0E-7A4ED0E035DE}"/>
                </c:ext>
              </c:extLst>
            </c:dLbl>
            <c:dLbl>
              <c:idx val="13"/>
              <c:layout>
                <c:manualLayout>
                  <c:x val="-4.0733197556008106E-2"/>
                  <c:y val="-7.941760423560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C4-CB43-BB0E-7A4ED0E035DE}"/>
                </c:ext>
              </c:extLst>
            </c:dLbl>
            <c:dLbl>
              <c:idx val="15"/>
              <c:layout>
                <c:manualLayout>
                  <c:x val="-2.7155465037338764E-2"/>
                  <c:y val="-6.6181336863004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C4-CB43-BB0E-7A4ED0E035DE}"/>
                </c:ext>
              </c:extLst>
            </c:dLbl>
            <c:dLbl>
              <c:idx val="16"/>
              <c:layout>
                <c:manualLayout>
                  <c:x val="-3.3944331296673458E-2"/>
                  <c:y val="9.9272005294506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C4-CB43-BB0E-7A4ED0E035DE}"/>
                </c:ext>
              </c:extLst>
            </c:dLbl>
            <c:dLbl>
              <c:idx val="19"/>
              <c:layout>
                <c:manualLayout>
                  <c:x val="-4.0733197556008148E-2"/>
                  <c:y val="-7.9417604235605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C4-CB43-BB0E-7A4ED0E035DE}"/>
                </c:ext>
              </c:extLst>
            </c:dLbl>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C4-CB43-BB0E-7A4ED0E035DE}"/>
                </c:ext>
              </c:extLst>
            </c:dLbl>
            <c:dLbl>
              <c:idx val="26"/>
              <c:layout>
                <c:manualLayout>
                  <c:x val="-3.3944331296673375E-2"/>
                  <c:y val="-8.6035737921906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C4-CB43-BB0E-7A4ED0E035DE}"/>
                </c:ext>
              </c:extLst>
            </c:dLbl>
            <c:dLbl>
              <c:idx val="27"/>
              <c:layout>
                <c:manualLayout>
                  <c:x val="-4.0733197556008231E-2"/>
                  <c:y val="0.105890138980807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C4-CB43-BB0E-7A4ED0E035DE}"/>
                </c:ext>
              </c:extLst>
            </c:dLbl>
            <c:dLbl>
              <c:idx val="31"/>
              <c:layout>
                <c:manualLayout>
                  <c:x val="-3.3944331296673458E-2"/>
                  <c:y val="9.2653871608206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C4-CB43-BB0E-7A4ED0E035DE}"/>
                </c:ext>
              </c:extLst>
            </c:dLbl>
            <c:dLbl>
              <c:idx val="34"/>
              <c:layout>
                <c:manualLayout>
                  <c:x val="-4.7522063815342838E-2"/>
                  <c:y val="-7.2799470549305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C4-CB43-BB0E-7A4ED0E035DE}"/>
                </c:ext>
              </c:extLst>
            </c:dLbl>
            <c:dLbl>
              <c:idx val="35"/>
              <c:layout>
                <c:manualLayout>
                  <c:x val="-3.3944331296673458E-2"/>
                  <c:y val="9.9272005294506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C4-CB43-BB0E-7A4ED0E035DE}"/>
                </c:ext>
              </c:extLst>
            </c:dLbl>
            <c:dLbl>
              <c:idx val="36"/>
              <c:layout>
                <c:manualLayout>
                  <c:x val="-4.525910839556461E-3"/>
                  <c:y val="-9.2653871608206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C4-CB43-BB0E-7A4ED0E035D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multiLvlStrRef>
              <c:f>Hoja1!$B$1:$AL$2</c:f>
              <c:multiLvlStrCache>
                <c:ptCount val="3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III</c:v>
                  </c:pt>
                  <c:pt idx="22">
                    <c:v>IV</c:v>
                  </c:pt>
                  <c:pt idx="23">
                    <c:v>I</c:v>
                  </c:pt>
                  <c:pt idx="24">
                    <c:v>II</c:v>
                  </c:pt>
                  <c:pt idx="25">
                    <c:v>III</c:v>
                  </c:pt>
                  <c:pt idx="26">
                    <c:v>IV</c:v>
                  </c:pt>
                  <c:pt idx="27">
                    <c:v>I</c:v>
                  </c:pt>
                  <c:pt idx="28">
                    <c:v>II</c:v>
                  </c:pt>
                  <c:pt idx="29">
                    <c:v>III</c:v>
                  </c:pt>
                  <c:pt idx="30">
                    <c:v>IV</c:v>
                  </c:pt>
                  <c:pt idx="31">
                    <c:v>I</c:v>
                  </c:pt>
                  <c:pt idx="32">
                    <c:v>II</c:v>
                  </c:pt>
                  <c:pt idx="33">
                    <c:v>III</c:v>
                  </c:pt>
                  <c:pt idx="34">
                    <c:v>IV</c:v>
                  </c:pt>
                  <c:pt idx="35">
                    <c:v>I</c:v>
                  </c:pt>
                  <c:pt idx="36">
                    <c:v>II</c:v>
                  </c:pt>
                </c:lvl>
                <c:lvl>
                  <c:pt idx="0">
                    <c:v>2015</c:v>
                  </c:pt>
                  <c:pt idx="4">
                    <c:v>2016</c:v>
                  </c:pt>
                  <c:pt idx="8">
                    <c:v>2017</c:v>
                  </c:pt>
                  <c:pt idx="12">
                    <c:v>2018</c:v>
                  </c:pt>
                  <c:pt idx="16">
                    <c:v>2019</c:v>
                  </c:pt>
                  <c:pt idx="20">
                    <c:v>2020</c:v>
                  </c:pt>
                  <c:pt idx="23">
                    <c:v>2021</c:v>
                  </c:pt>
                  <c:pt idx="27">
                    <c:v>2022</c:v>
                  </c:pt>
                  <c:pt idx="31">
                    <c:v>2023</c:v>
                  </c:pt>
                  <c:pt idx="35">
                    <c:v>2024</c:v>
                  </c:pt>
                </c:lvl>
              </c:multiLvlStrCache>
            </c:multiLvlStrRef>
          </c:cat>
          <c:val>
            <c:numRef>
              <c:f>Hoja1!$B$3:$AL$3</c:f>
              <c:numCache>
                <c:formatCode>General</c:formatCode>
                <c:ptCount val="37"/>
                <c:pt idx="0">
                  <c:v>64.7</c:v>
                </c:pt>
                <c:pt idx="1">
                  <c:v>66.099999999999994</c:v>
                </c:pt>
                <c:pt idx="2">
                  <c:v>65.5</c:v>
                </c:pt>
                <c:pt idx="3">
                  <c:v>65.599999999999994</c:v>
                </c:pt>
                <c:pt idx="4">
                  <c:v>65.3</c:v>
                </c:pt>
                <c:pt idx="5">
                  <c:v>66.599999999999994</c:v>
                </c:pt>
                <c:pt idx="6">
                  <c:v>65.8</c:v>
                </c:pt>
                <c:pt idx="7">
                  <c:v>66</c:v>
                </c:pt>
                <c:pt idx="8">
                  <c:v>64.400000000000006</c:v>
                </c:pt>
                <c:pt idx="9">
                  <c:v>65.099999999999994</c:v>
                </c:pt>
                <c:pt idx="10">
                  <c:v>63.6</c:v>
                </c:pt>
                <c:pt idx="11">
                  <c:v>65.099999999999994</c:v>
                </c:pt>
                <c:pt idx="12">
                  <c:v>63.2</c:v>
                </c:pt>
                <c:pt idx="13">
                  <c:v>65.400000000000006</c:v>
                </c:pt>
                <c:pt idx="14">
                  <c:v>64.5</c:v>
                </c:pt>
                <c:pt idx="15">
                  <c:v>65</c:v>
                </c:pt>
                <c:pt idx="16">
                  <c:v>63.7</c:v>
                </c:pt>
                <c:pt idx="17">
                  <c:v>64.099999999999994</c:v>
                </c:pt>
                <c:pt idx="18">
                  <c:v>64.8</c:v>
                </c:pt>
                <c:pt idx="19">
                  <c:v>64.900000000000006</c:v>
                </c:pt>
                <c:pt idx="20">
                  <c:v>63.5</c:v>
                </c:pt>
                <c:pt idx="21">
                  <c:v>57.9</c:v>
                </c:pt>
                <c:pt idx="22">
                  <c:v>62.5</c:v>
                </c:pt>
                <c:pt idx="23">
                  <c:v>61</c:v>
                </c:pt>
                <c:pt idx="24">
                  <c:v>63</c:v>
                </c:pt>
                <c:pt idx="25">
                  <c:v>64.5</c:v>
                </c:pt>
                <c:pt idx="26">
                  <c:v>65.2</c:v>
                </c:pt>
                <c:pt idx="27">
                  <c:v>62.2</c:v>
                </c:pt>
                <c:pt idx="28">
                  <c:v>62.7</c:v>
                </c:pt>
                <c:pt idx="29">
                  <c:v>62.4</c:v>
                </c:pt>
                <c:pt idx="30">
                  <c:v>62.8</c:v>
                </c:pt>
                <c:pt idx="31">
                  <c:v>61.7</c:v>
                </c:pt>
                <c:pt idx="32">
                  <c:v>63.3</c:v>
                </c:pt>
                <c:pt idx="33">
                  <c:v>63.4</c:v>
                </c:pt>
                <c:pt idx="34">
                  <c:v>63.6</c:v>
                </c:pt>
                <c:pt idx="35">
                  <c:v>61.5</c:v>
                </c:pt>
                <c:pt idx="36">
                  <c:v>62.8</c:v>
                </c:pt>
              </c:numCache>
            </c:numRef>
          </c:val>
          <c:smooth val="0"/>
          <c:extLst>
            <c:ext xmlns:c16="http://schemas.microsoft.com/office/drawing/2014/chart" uri="{C3380CC4-5D6E-409C-BE32-E72D297353CC}">
              <c16:uniqueId val="{0000000F-9AC4-CB43-BB0E-7A4ED0E035DE}"/>
            </c:ext>
          </c:extLst>
        </c:ser>
        <c:dLbls>
          <c:showLegendKey val="0"/>
          <c:showVal val="0"/>
          <c:showCatName val="0"/>
          <c:showSerName val="0"/>
          <c:showPercent val="0"/>
          <c:showBubbleSize val="0"/>
        </c:dLbls>
        <c:smooth val="0"/>
        <c:axId val="1461877344"/>
        <c:axId val="1115268080"/>
      </c:lineChart>
      <c:catAx>
        <c:axId val="14618773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1115268080"/>
        <c:crosses val="autoZero"/>
        <c:auto val="1"/>
        <c:lblAlgn val="ctr"/>
        <c:lblOffset val="100"/>
        <c:noMultiLvlLbl val="0"/>
      </c:catAx>
      <c:valAx>
        <c:axId val="1115268080"/>
        <c:scaling>
          <c:orientation val="minMax"/>
          <c:min val="56"/>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146187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a:solidFill>
                <a:schemeClr val="accent1"/>
              </a:solidFill>
              <a:round/>
            </a:ln>
            <a:effectLst/>
          </c:spPr>
          <c:marker>
            <c:symbol val="none"/>
          </c:marker>
          <c:dLbls>
            <c:dLbl>
              <c:idx val="3"/>
              <c:layout>
                <c:manualLayout>
                  <c:x val="-3.438569669626327E-2"/>
                  <c:y val="6.2082601565498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2A-7847-B9EC-785F26B37811}"/>
                </c:ext>
              </c:extLst>
            </c:dLbl>
            <c:dLbl>
              <c:idx val="7"/>
              <c:layout>
                <c:manualLayout>
                  <c:x val="-4.5700473795154427E-2"/>
                  <c:y val="5.6174182067714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2A-7847-B9EC-785F26B37811}"/>
                </c:ext>
              </c:extLst>
            </c:dLbl>
            <c:dLbl>
              <c:idx val="17"/>
              <c:layout>
                <c:manualLayout>
                  <c:x val="-3.66486521160415E-2"/>
                  <c:y val="6.7991021063282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2A-7847-B9EC-785F26B37811}"/>
                </c:ext>
              </c:extLst>
            </c:dLbl>
            <c:dLbl>
              <c:idx val="19"/>
              <c:layout>
                <c:manualLayout>
                  <c:x val="-3.212274127648504E-2"/>
                  <c:y val="4.4357343072145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2A-7847-B9EC-785F26B37811}"/>
                </c:ext>
              </c:extLst>
            </c:dLbl>
            <c:dLbl>
              <c:idx val="28"/>
              <c:layout>
                <c:manualLayout>
                  <c:x val="-3.438569669626327E-2"/>
                  <c:y val="5.0265762569929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2A-7847-B9EC-785F26B3781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Hoja1!$B$1:$AL$2</c:f>
              <c:multiLvlStrCache>
                <c:ptCount val="3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III</c:v>
                  </c:pt>
                  <c:pt idx="22">
                    <c:v>IV</c:v>
                  </c:pt>
                  <c:pt idx="23">
                    <c:v>I</c:v>
                  </c:pt>
                  <c:pt idx="24">
                    <c:v>II</c:v>
                  </c:pt>
                  <c:pt idx="25">
                    <c:v>III</c:v>
                  </c:pt>
                  <c:pt idx="26">
                    <c:v>IV</c:v>
                  </c:pt>
                  <c:pt idx="27">
                    <c:v>I</c:v>
                  </c:pt>
                  <c:pt idx="28">
                    <c:v>II</c:v>
                  </c:pt>
                  <c:pt idx="29">
                    <c:v>III</c:v>
                  </c:pt>
                  <c:pt idx="30">
                    <c:v>IV</c:v>
                  </c:pt>
                  <c:pt idx="31">
                    <c:v>I</c:v>
                  </c:pt>
                  <c:pt idx="32">
                    <c:v>II</c:v>
                  </c:pt>
                  <c:pt idx="33">
                    <c:v>III</c:v>
                  </c:pt>
                  <c:pt idx="34">
                    <c:v>IV</c:v>
                  </c:pt>
                  <c:pt idx="35">
                    <c:v>I</c:v>
                  </c:pt>
                  <c:pt idx="36">
                    <c:v>II</c:v>
                  </c:pt>
                </c:lvl>
                <c:lvl>
                  <c:pt idx="0">
                    <c:v>2015</c:v>
                  </c:pt>
                  <c:pt idx="4">
                    <c:v>2016</c:v>
                  </c:pt>
                  <c:pt idx="8">
                    <c:v>2017</c:v>
                  </c:pt>
                  <c:pt idx="12">
                    <c:v>2018</c:v>
                  </c:pt>
                  <c:pt idx="16">
                    <c:v>2019</c:v>
                  </c:pt>
                  <c:pt idx="20">
                    <c:v>2020</c:v>
                  </c:pt>
                  <c:pt idx="23">
                    <c:v>2021</c:v>
                  </c:pt>
                  <c:pt idx="27">
                    <c:v>2022</c:v>
                  </c:pt>
                  <c:pt idx="31">
                    <c:v>2023</c:v>
                  </c:pt>
                  <c:pt idx="35">
                    <c:v>2024</c:v>
                  </c:pt>
                </c:lvl>
              </c:multiLvlStrCache>
            </c:multiLvlStrRef>
          </c:cat>
          <c:val>
            <c:numRef>
              <c:f>Hoja1!$B$4:$AL$4</c:f>
              <c:numCache>
                <c:formatCode>General</c:formatCode>
                <c:ptCount val="37"/>
                <c:pt idx="0">
                  <c:v>6.2</c:v>
                </c:pt>
                <c:pt idx="1">
                  <c:v>5.7</c:v>
                </c:pt>
                <c:pt idx="2">
                  <c:v>5.5</c:v>
                </c:pt>
                <c:pt idx="3">
                  <c:v>4.7</c:v>
                </c:pt>
                <c:pt idx="4">
                  <c:v>5</c:v>
                </c:pt>
                <c:pt idx="5">
                  <c:v>5.4</c:v>
                </c:pt>
                <c:pt idx="6">
                  <c:v>4.4000000000000004</c:v>
                </c:pt>
                <c:pt idx="7">
                  <c:v>3.9</c:v>
                </c:pt>
                <c:pt idx="8">
                  <c:v>3.9</c:v>
                </c:pt>
                <c:pt idx="9">
                  <c:v>4.9000000000000004</c:v>
                </c:pt>
                <c:pt idx="10">
                  <c:v>4.7</c:v>
                </c:pt>
                <c:pt idx="11">
                  <c:v>3.7</c:v>
                </c:pt>
                <c:pt idx="12">
                  <c:v>3.4</c:v>
                </c:pt>
                <c:pt idx="13">
                  <c:v>3.3</c:v>
                </c:pt>
                <c:pt idx="14">
                  <c:v>4.4000000000000004</c:v>
                </c:pt>
                <c:pt idx="15">
                  <c:v>3.8</c:v>
                </c:pt>
                <c:pt idx="16">
                  <c:v>4.5</c:v>
                </c:pt>
                <c:pt idx="17">
                  <c:v>3.6</c:v>
                </c:pt>
                <c:pt idx="18">
                  <c:v>5.3</c:v>
                </c:pt>
                <c:pt idx="19">
                  <c:v>3.2</c:v>
                </c:pt>
                <c:pt idx="20">
                  <c:v>4.4000000000000004</c:v>
                </c:pt>
                <c:pt idx="21">
                  <c:v>5.3</c:v>
                </c:pt>
                <c:pt idx="22">
                  <c:v>3.6</c:v>
                </c:pt>
                <c:pt idx="23">
                  <c:v>4</c:v>
                </c:pt>
                <c:pt idx="24">
                  <c:v>3.7</c:v>
                </c:pt>
                <c:pt idx="25">
                  <c:v>4.3</c:v>
                </c:pt>
                <c:pt idx="26">
                  <c:v>4</c:v>
                </c:pt>
                <c:pt idx="27">
                  <c:v>3.4</c:v>
                </c:pt>
                <c:pt idx="28">
                  <c:v>2.9</c:v>
                </c:pt>
                <c:pt idx="29">
                  <c:v>3.6</c:v>
                </c:pt>
                <c:pt idx="30">
                  <c:v>3</c:v>
                </c:pt>
                <c:pt idx="31">
                  <c:v>2.9</c:v>
                </c:pt>
                <c:pt idx="32">
                  <c:v>3.1</c:v>
                </c:pt>
                <c:pt idx="33">
                  <c:v>2.8</c:v>
                </c:pt>
                <c:pt idx="34">
                  <c:v>2.9</c:v>
                </c:pt>
                <c:pt idx="35">
                  <c:v>2.6</c:v>
                </c:pt>
                <c:pt idx="36">
                  <c:v>2.5</c:v>
                </c:pt>
              </c:numCache>
            </c:numRef>
          </c:val>
          <c:smooth val="0"/>
          <c:extLst>
            <c:ext xmlns:c16="http://schemas.microsoft.com/office/drawing/2014/chart" uri="{C3380CC4-5D6E-409C-BE32-E72D297353CC}">
              <c16:uniqueId val="{00000005-AC2A-7847-B9EC-785F26B37811}"/>
            </c:ext>
          </c:extLst>
        </c:ser>
        <c:dLbls>
          <c:showLegendKey val="0"/>
          <c:showVal val="0"/>
          <c:showCatName val="0"/>
          <c:showSerName val="0"/>
          <c:showPercent val="0"/>
          <c:showBubbleSize val="0"/>
        </c:dLbls>
        <c:smooth val="0"/>
        <c:axId val="1267409136"/>
        <c:axId val="1427985088"/>
      </c:lineChart>
      <c:catAx>
        <c:axId val="126740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27985088"/>
        <c:crosses val="autoZero"/>
        <c:auto val="1"/>
        <c:lblAlgn val="ctr"/>
        <c:lblOffset val="100"/>
        <c:noMultiLvlLbl val="0"/>
      </c:catAx>
      <c:valAx>
        <c:axId val="1427985088"/>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26740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876847115088209E-2"/>
          <c:y val="4.0301787371635589E-2"/>
          <c:w val="0.92023064326735127"/>
          <c:h val="0.79513547498577886"/>
        </c:manualLayout>
      </c:layout>
      <c:lineChart>
        <c:grouping val="standard"/>
        <c:varyColors val="0"/>
        <c:ser>
          <c:idx val="0"/>
          <c:order val="0"/>
          <c:tx>
            <c:strRef>
              <c:f>Hoja1!$A$6</c:f>
              <c:strCache>
                <c:ptCount val="1"/>
                <c:pt idx="0">
                  <c:v>Tasa de subocupación</c:v>
                </c:pt>
              </c:strCache>
            </c:strRef>
          </c:tx>
          <c:spPr>
            <a:ln w="12700" cap="rnd">
              <a:solidFill>
                <a:schemeClr val="accent1"/>
              </a:solidFill>
              <a:round/>
            </a:ln>
            <a:effectLst/>
          </c:spPr>
          <c:marker>
            <c:symbol val="none"/>
          </c:marker>
          <c:dLbls>
            <c:dLbl>
              <c:idx val="0"/>
              <c:layout>
                <c:manualLayout>
                  <c:x val="-6.7888662593347015E-3"/>
                  <c:y val="-4.5627376425855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F7-4F41-B5B8-D466503957CC}"/>
                </c:ext>
              </c:extLst>
            </c:dLbl>
            <c:dLbl>
              <c:idx val="1"/>
              <c:layout>
                <c:manualLayout>
                  <c:x val="-3.1681375876895235E-2"/>
                  <c:y val="5.0697084917617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F7-4F41-B5B8-D466503957CC}"/>
                </c:ext>
              </c:extLst>
            </c:dLbl>
            <c:dLbl>
              <c:idx val="5"/>
              <c:layout>
                <c:manualLayout>
                  <c:x val="-2.2629554197782325E-2"/>
                  <c:y val="-8.1115335868187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F7-4F41-B5B8-D466503957CC}"/>
                </c:ext>
              </c:extLst>
            </c:dLbl>
            <c:dLbl>
              <c:idx val="6"/>
              <c:layout>
                <c:manualLayout>
                  <c:x val="-3.1681375876895269E-2"/>
                  <c:y val="3.5487959442332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F7-4F41-B5B8-D466503957CC}"/>
                </c:ext>
              </c:extLst>
            </c:dLbl>
            <c:dLbl>
              <c:idx val="8"/>
              <c:layout>
                <c:manualLayout>
                  <c:x val="-1.8103643358225844E-2"/>
                  <c:y val="-7.6045627376425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F7-4F41-B5B8-D466503957CC}"/>
                </c:ext>
              </c:extLst>
            </c:dLbl>
            <c:dLbl>
              <c:idx val="11"/>
              <c:layout>
                <c:manualLayout>
                  <c:x val="-2.6023898234716587E-2"/>
                  <c:y val="-5.8301847250082424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4.4150260239873264E-2"/>
                      <c:h val="0.12342225282676166"/>
                    </c:manualLayout>
                  </c15:layout>
                </c:ext>
                <c:ext xmlns:c16="http://schemas.microsoft.com/office/drawing/2014/chart" uri="{C3380CC4-5D6E-409C-BE32-E72D297353CC}">
                  <c16:uniqueId val="{00000005-3FF7-4F41-B5B8-D466503957CC}"/>
                </c:ext>
              </c:extLst>
            </c:dLbl>
            <c:dLbl>
              <c:idx val="13"/>
              <c:layout>
                <c:manualLayout>
                  <c:x val="-6.788866259334691E-3"/>
                  <c:y val="-0.101394169835234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F7-4F41-B5B8-D466503957CC}"/>
                </c:ext>
              </c:extLst>
            </c:dLbl>
            <c:dLbl>
              <c:idx val="22"/>
              <c:layout>
                <c:manualLayout>
                  <c:x val="-6.1099796334012302E-2"/>
                  <c:y val="-3.5487959442332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F7-4F41-B5B8-D466503957CC}"/>
                </c:ext>
              </c:extLst>
            </c:dLbl>
            <c:dLbl>
              <c:idx val="28"/>
              <c:layout>
                <c:manualLayout>
                  <c:x val="-3.6207286716451771E-2"/>
                  <c:y val="7.6045627376425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F7-4F41-B5B8-D466503957CC}"/>
                </c:ext>
              </c:extLst>
            </c:dLbl>
            <c:dLbl>
              <c:idx val="32"/>
              <c:layout>
                <c:manualLayout>
                  <c:x val="-2.9418420457117161E-2"/>
                  <c:y val="-6.0836501901140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F7-4F41-B5B8-D466503957CC}"/>
                </c:ext>
              </c:extLst>
            </c:dLbl>
            <c:dLbl>
              <c:idx val="35"/>
              <c:layout>
                <c:manualLayout>
                  <c:x val="-3.1681375876895228E-2"/>
                  <c:y val="5.5766793409378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F7-4F41-B5B8-D466503957CC}"/>
                </c:ext>
              </c:extLst>
            </c:dLbl>
            <c:dLbl>
              <c:idx val="36"/>
              <c:layout>
                <c:manualLayout>
                  <c:x val="-1.1314777098891152E-2"/>
                  <c:y val="-7.604562737642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FF7-4F41-B5B8-D466503957C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Hoja1!$B$1:$AL$2</c:f>
              <c:multiLvlStrCache>
                <c:ptCount val="3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III</c:v>
                  </c:pt>
                  <c:pt idx="22">
                    <c:v>IV</c:v>
                  </c:pt>
                  <c:pt idx="23">
                    <c:v>I</c:v>
                  </c:pt>
                  <c:pt idx="24">
                    <c:v>II</c:v>
                  </c:pt>
                  <c:pt idx="25">
                    <c:v>III</c:v>
                  </c:pt>
                  <c:pt idx="26">
                    <c:v>IV</c:v>
                  </c:pt>
                  <c:pt idx="27">
                    <c:v>I</c:v>
                  </c:pt>
                  <c:pt idx="28">
                    <c:v>II</c:v>
                  </c:pt>
                  <c:pt idx="29">
                    <c:v>III</c:v>
                  </c:pt>
                  <c:pt idx="30">
                    <c:v>IV</c:v>
                  </c:pt>
                  <c:pt idx="31">
                    <c:v>I</c:v>
                  </c:pt>
                  <c:pt idx="32">
                    <c:v>II</c:v>
                  </c:pt>
                  <c:pt idx="33">
                    <c:v>III</c:v>
                  </c:pt>
                  <c:pt idx="34">
                    <c:v>IV</c:v>
                  </c:pt>
                  <c:pt idx="35">
                    <c:v>I</c:v>
                  </c:pt>
                  <c:pt idx="36">
                    <c:v>II</c:v>
                  </c:pt>
                </c:lvl>
                <c:lvl>
                  <c:pt idx="0">
                    <c:v>2015</c:v>
                  </c:pt>
                  <c:pt idx="4">
                    <c:v>2016</c:v>
                  </c:pt>
                  <c:pt idx="8">
                    <c:v>2017</c:v>
                  </c:pt>
                  <c:pt idx="12">
                    <c:v>2018</c:v>
                  </c:pt>
                  <c:pt idx="16">
                    <c:v>2019</c:v>
                  </c:pt>
                  <c:pt idx="20">
                    <c:v>2020</c:v>
                  </c:pt>
                  <c:pt idx="23">
                    <c:v>2021</c:v>
                  </c:pt>
                  <c:pt idx="27">
                    <c:v>2022</c:v>
                  </c:pt>
                  <c:pt idx="31">
                    <c:v>2023</c:v>
                  </c:pt>
                  <c:pt idx="35">
                    <c:v>2024</c:v>
                  </c:pt>
                </c:lvl>
              </c:multiLvlStrCache>
            </c:multiLvlStrRef>
          </c:cat>
          <c:val>
            <c:numRef>
              <c:f>Hoja1!$B$6:$AL$6</c:f>
              <c:numCache>
                <c:formatCode>General</c:formatCode>
                <c:ptCount val="37"/>
                <c:pt idx="0">
                  <c:v>9.6</c:v>
                </c:pt>
                <c:pt idx="1">
                  <c:v>8.1999999999999993</c:v>
                </c:pt>
                <c:pt idx="2">
                  <c:v>8.1</c:v>
                </c:pt>
                <c:pt idx="3">
                  <c:v>6.7</c:v>
                </c:pt>
                <c:pt idx="4">
                  <c:v>6.9</c:v>
                </c:pt>
                <c:pt idx="5">
                  <c:v>7.6</c:v>
                </c:pt>
                <c:pt idx="6">
                  <c:v>5.7</c:v>
                </c:pt>
                <c:pt idx="7">
                  <c:v>6.6</c:v>
                </c:pt>
                <c:pt idx="8">
                  <c:v>6.7</c:v>
                </c:pt>
                <c:pt idx="9">
                  <c:v>5.0999999999999996</c:v>
                </c:pt>
                <c:pt idx="10">
                  <c:v>5.6</c:v>
                </c:pt>
                <c:pt idx="11">
                  <c:v>6.4</c:v>
                </c:pt>
                <c:pt idx="12">
                  <c:v>4.9000000000000004</c:v>
                </c:pt>
                <c:pt idx="13">
                  <c:v>5.8</c:v>
                </c:pt>
                <c:pt idx="14">
                  <c:v>6.6</c:v>
                </c:pt>
                <c:pt idx="15">
                  <c:v>4.9000000000000004</c:v>
                </c:pt>
                <c:pt idx="16">
                  <c:v>7</c:v>
                </c:pt>
                <c:pt idx="17">
                  <c:v>6.8</c:v>
                </c:pt>
                <c:pt idx="18">
                  <c:v>5.9</c:v>
                </c:pt>
                <c:pt idx="19">
                  <c:v>7.4</c:v>
                </c:pt>
                <c:pt idx="20">
                  <c:v>5.5</c:v>
                </c:pt>
                <c:pt idx="21">
                  <c:v>11</c:v>
                </c:pt>
                <c:pt idx="22">
                  <c:v>12.6</c:v>
                </c:pt>
                <c:pt idx="23">
                  <c:v>12.4</c:v>
                </c:pt>
                <c:pt idx="24">
                  <c:v>9.9</c:v>
                </c:pt>
                <c:pt idx="25">
                  <c:v>10.199999999999999</c:v>
                </c:pt>
                <c:pt idx="26">
                  <c:v>9</c:v>
                </c:pt>
                <c:pt idx="27">
                  <c:v>7.3</c:v>
                </c:pt>
                <c:pt idx="28">
                  <c:v>5.8</c:v>
                </c:pt>
                <c:pt idx="29">
                  <c:v>5.4</c:v>
                </c:pt>
                <c:pt idx="30">
                  <c:v>4.9000000000000004</c:v>
                </c:pt>
                <c:pt idx="31">
                  <c:v>5.0999999999999996</c:v>
                </c:pt>
                <c:pt idx="32">
                  <c:v>5.8</c:v>
                </c:pt>
                <c:pt idx="33">
                  <c:v>5.2</c:v>
                </c:pt>
                <c:pt idx="34">
                  <c:v>4.8</c:v>
                </c:pt>
                <c:pt idx="35">
                  <c:v>3.7</c:v>
                </c:pt>
                <c:pt idx="36">
                  <c:v>4.3</c:v>
                </c:pt>
              </c:numCache>
            </c:numRef>
          </c:val>
          <c:smooth val="0"/>
          <c:extLst>
            <c:ext xmlns:c16="http://schemas.microsoft.com/office/drawing/2014/chart" uri="{C3380CC4-5D6E-409C-BE32-E72D297353CC}">
              <c16:uniqueId val="{0000000C-3FF7-4F41-B5B8-D466503957CC}"/>
            </c:ext>
          </c:extLst>
        </c:ser>
        <c:ser>
          <c:idx val="1"/>
          <c:order val="1"/>
          <c:tx>
            <c:strRef>
              <c:f>Hoja1!$A$7</c:f>
              <c:strCache>
                <c:ptCount val="1"/>
                <c:pt idx="0">
                  <c:v>Tasa de condiciones críticas de ocupación</c:v>
                </c:pt>
              </c:strCache>
            </c:strRef>
          </c:tx>
          <c:spPr>
            <a:ln w="12700" cap="rnd">
              <a:solidFill>
                <a:schemeClr val="accent2"/>
              </a:solidFill>
              <a:round/>
            </a:ln>
            <a:effectLst/>
          </c:spPr>
          <c:marker>
            <c:symbol val="none"/>
          </c:marker>
          <c:dLbls>
            <c:dLbl>
              <c:idx val="0"/>
              <c:layout>
                <c:manualLayout>
                  <c:x val="-2.9418420457117005E-2"/>
                  <c:y val="-6.5906210392902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F7-4F41-B5B8-D466503957CC}"/>
                </c:ext>
              </c:extLst>
            </c:dLbl>
            <c:dLbl>
              <c:idx val="3"/>
              <c:layout>
                <c:manualLayout>
                  <c:x val="-3.8470242136229939E-2"/>
                  <c:y val="4.5627376425855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FF7-4F41-B5B8-D466503957CC}"/>
                </c:ext>
              </c:extLst>
            </c:dLbl>
            <c:dLbl>
              <c:idx val="4"/>
              <c:layout>
                <c:manualLayout>
                  <c:x val="-3.6207286716451709E-2"/>
                  <c:y val="-4.5627376425855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FF7-4F41-B5B8-D466503957CC}"/>
                </c:ext>
              </c:extLst>
            </c:dLbl>
            <c:dLbl>
              <c:idx val="15"/>
              <c:layout>
                <c:manualLayout>
                  <c:x val="-2.9418420457116994E-2"/>
                  <c:y val="6.0836501901140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FF7-4F41-B5B8-D466503957CC}"/>
                </c:ext>
              </c:extLst>
            </c:dLbl>
            <c:dLbl>
              <c:idx val="16"/>
              <c:layout>
                <c:manualLayout>
                  <c:x val="-6.788866259334691E-3"/>
                  <c:y val="7.6045627376425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FF7-4F41-B5B8-D466503957CC}"/>
                </c:ext>
              </c:extLst>
            </c:dLbl>
            <c:dLbl>
              <c:idx val="23"/>
              <c:layout>
                <c:manualLayout>
                  <c:x val="-3.8470242136229918E-2"/>
                  <c:y val="-6.0836501901140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FF7-4F41-B5B8-D466503957CC}"/>
                </c:ext>
              </c:extLst>
            </c:dLbl>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FF7-4F41-B5B8-D466503957CC}"/>
                </c:ext>
              </c:extLst>
            </c:dLbl>
            <c:dLbl>
              <c:idx val="2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FF7-4F41-B5B8-D466503957CC}"/>
                </c:ext>
              </c:extLst>
            </c:dLbl>
            <c:dLbl>
              <c:idx val="30"/>
              <c:layout>
                <c:manualLayout>
                  <c:x val="-2.9418420457116994E-2"/>
                  <c:y val="4.5627376425855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FF7-4F41-B5B8-D466503957CC}"/>
                </c:ext>
              </c:extLst>
            </c:dLbl>
            <c:dLbl>
              <c:idx val="31"/>
              <c:layout>
                <c:manualLayout>
                  <c:x val="-3.3944331296673624E-2"/>
                  <c:y val="6.0836501901140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FF7-4F41-B5B8-D466503957CC}"/>
                </c:ext>
              </c:extLst>
            </c:dLbl>
            <c:dLbl>
              <c:idx val="34"/>
              <c:layout>
                <c:manualLayout>
                  <c:x val="-3.3944331296673458E-2"/>
                  <c:y val="3.5487959442332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FF7-4F41-B5B8-D466503957CC}"/>
                </c:ext>
              </c:extLst>
            </c:dLbl>
            <c:dLbl>
              <c:idx val="35"/>
              <c:layout>
                <c:manualLayout>
                  <c:x val="-4.0733197556008315E-2"/>
                  <c:y val="-4.0557667934093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FF7-4F41-B5B8-D466503957CC}"/>
                </c:ext>
              </c:extLst>
            </c:dLbl>
            <c:dLbl>
              <c:idx val="3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FF7-4F41-B5B8-D466503957C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Hoja1!$B$1:$AL$2</c:f>
              <c:multiLvlStrCache>
                <c:ptCount val="3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III</c:v>
                  </c:pt>
                  <c:pt idx="22">
                    <c:v>IV</c:v>
                  </c:pt>
                  <c:pt idx="23">
                    <c:v>I</c:v>
                  </c:pt>
                  <c:pt idx="24">
                    <c:v>II</c:v>
                  </c:pt>
                  <c:pt idx="25">
                    <c:v>III</c:v>
                  </c:pt>
                  <c:pt idx="26">
                    <c:v>IV</c:v>
                  </c:pt>
                  <c:pt idx="27">
                    <c:v>I</c:v>
                  </c:pt>
                  <c:pt idx="28">
                    <c:v>II</c:v>
                  </c:pt>
                  <c:pt idx="29">
                    <c:v>III</c:v>
                  </c:pt>
                  <c:pt idx="30">
                    <c:v>IV</c:v>
                  </c:pt>
                  <c:pt idx="31">
                    <c:v>I</c:v>
                  </c:pt>
                  <c:pt idx="32">
                    <c:v>II</c:v>
                  </c:pt>
                  <c:pt idx="33">
                    <c:v>III</c:v>
                  </c:pt>
                  <c:pt idx="34">
                    <c:v>IV</c:v>
                  </c:pt>
                  <c:pt idx="35">
                    <c:v>I</c:v>
                  </c:pt>
                  <c:pt idx="36">
                    <c:v>II</c:v>
                  </c:pt>
                </c:lvl>
                <c:lvl>
                  <c:pt idx="0">
                    <c:v>2015</c:v>
                  </c:pt>
                  <c:pt idx="4">
                    <c:v>2016</c:v>
                  </c:pt>
                  <c:pt idx="8">
                    <c:v>2017</c:v>
                  </c:pt>
                  <c:pt idx="12">
                    <c:v>2018</c:v>
                  </c:pt>
                  <c:pt idx="16">
                    <c:v>2019</c:v>
                  </c:pt>
                  <c:pt idx="20">
                    <c:v>2020</c:v>
                  </c:pt>
                  <c:pt idx="23">
                    <c:v>2021</c:v>
                  </c:pt>
                  <c:pt idx="27">
                    <c:v>2022</c:v>
                  </c:pt>
                  <c:pt idx="31">
                    <c:v>2023</c:v>
                  </c:pt>
                  <c:pt idx="35">
                    <c:v>2024</c:v>
                  </c:pt>
                </c:lvl>
              </c:multiLvlStrCache>
            </c:multiLvlStrRef>
          </c:cat>
          <c:val>
            <c:numRef>
              <c:f>Hoja1!$B$7:$AL$7</c:f>
              <c:numCache>
                <c:formatCode>General</c:formatCode>
                <c:ptCount val="37"/>
                <c:pt idx="0">
                  <c:v>3.5</c:v>
                </c:pt>
                <c:pt idx="1">
                  <c:v>3.3</c:v>
                </c:pt>
                <c:pt idx="2">
                  <c:v>3</c:v>
                </c:pt>
                <c:pt idx="3">
                  <c:v>2.7</c:v>
                </c:pt>
                <c:pt idx="4">
                  <c:v>4.0999999999999996</c:v>
                </c:pt>
                <c:pt idx="5">
                  <c:v>3.4</c:v>
                </c:pt>
                <c:pt idx="6">
                  <c:v>3.5</c:v>
                </c:pt>
                <c:pt idx="7">
                  <c:v>3.5</c:v>
                </c:pt>
                <c:pt idx="8">
                  <c:v>4.3</c:v>
                </c:pt>
                <c:pt idx="9">
                  <c:v>4</c:v>
                </c:pt>
                <c:pt idx="10">
                  <c:v>3.9</c:v>
                </c:pt>
                <c:pt idx="11">
                  <c:v>4.2</c:v>
                </c:pt>
                <c:pt idx="12">
                  <c:v>4.3</c:v>
                </c:pt>
                <c:pt idx="13">
                  <c:v>4.3</c:v>
                </c:pt>
                <c:pt idx="14">
                  <c:v>4.7</c:v>
                </c:pt>
                <c:pt idx="15">
                  <c:v>3.6</c:v>
                </c:pt>
                <c:pt idx="16">
                  <c:v>6.6</c:v>
                </c:pt>
                <c:pt idx="17">
                  <c:v>6.2</c:v>
                </c:pt>
                <c:pt idx="18">
                  <c:v>6</c:v>
                </c:pt>
                <c:pt idx="19">
                  <c:v>6.1</c:v>
                </c:pt>
                <c:pt idx="20">
                  <c:v>7.3</c:v>
                </c:pt>
                <c:pt idx="21">
                  <c:v>10.4</c:v>
                </c:pt>
                <c:pt idx="22">
                  <c:v>11.9</c:v>
                </c:pt>
                <c:pt idx="23">
                  <c:v>12.8</c:v>
                </c:pt>
                <c:pt idx="24">
                  <c:v>10.6</c:v>
                </c:pt>
                <c:pt idx="25">
                  <c:v>10.9</c:v>
                </c:pt>
                <c:pt idx="26">
                  <c:v>8.8000000000000007</c:v>
                </c:pt>
                <c:pt idx="27">
                  <c:v>15.5</c:v>
                </c:pt>
                <c:pt idx="28">
                  <c:v>13.2</c:v>
                </c:pt>
                <c:pt idx="29">
                  <c:v>13.5</c:v>
                </c:pt>
                <c:pt idx="30">
                  <c:v>12</c:v>
                </c:pt>
                <c:pt idx="31">
                  <c:v>15.7</c:v>
                </c:pt>
                <c:pt idx="32">
                  <c:v>13.9</c:v>
                </c:pt>
                <c:pt idx="33">
                  <c:v>12.4</c:v>
                </c:pt>
                <c:pt idx="34">
                  <c:v>11.5</c:v>
                </c:pt>
                <c:pt idx="35">
                  <c:v>16.600000000000001</c:v>
                </c:pt>
                <c:pt idx="36">
                  <c:v>15.9</c:v>
                </c:pt>
              </c:numCache>
            </c:numRef>
          </c:val>
          <c:smooth val="0"/>
          <c:extLst>
            <c:ext xmlns:c16="http://schemas.microsoft.com/office/drawing/2014/chart" uri="{C3380CC4-5D6E-409C-BE32-E72D297353CC}">
              <c16:uniqueId val="{0000001A-3FF7-4F41-B5B8-D466503957CC}"/>
            </c:ext>
          </c:extLst>
        </c:ser>
        <c:dLbls>
          <c:showLegendKey val="0"/>
          <c:showVal val="0"/>
          <c:showCatName val="0"/>
          <c:showSerName val="0"/>
          <c:showPercent val="0"/>
          <c:showBubbleSize val="0"/>
        </c:dLbls>
        <c:smooth val="0"/>
        <c:axId val="1483348176"/>
        <c:axId val="1462220608"/>
      </c:lineChart>
      <c:catAx>
        <c:axId val="148334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62220608"/>
        <c:crosses val="autoZero"/>
        <c:auto val="1"/>
        <c:lblAlgn val="ctr"/>
        <c:lblOffset val="100"/>
        <c:noMultiLvlLbl val="0"/>
      </c:catAx>
      <c:valAx>
        <c:axId val="146222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83348176"/>
        <c:crosses val="autoZero"/>
        <c:crossBetween val="between"/>
      </c:valAx>
      <c:spPr>
        <a:noFill/>
        <a:ln>
          <a:noFill/>
        </a:ln>
        <a:effectLst/>
      </c:spPr>
    </c:plotArea>
    <c:legend>
      <c:legendPos val="b"/>
      <c:layout>
        <c:manualLayout>
          <c:xMode val="edge"/>
          <c:yMode val="edge"/>
          <c:x val="7.2548568903428826E-2"/>
          <c:y val="4.2080975619492381E-2"/>
          <c:w val="0.83679904064945043"/>
          <c:h val="8.08594553057293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a:solidFill>
                <a:schemeClr val="accent2"/>
              </a:solidFill>
              <a:round/>
            </a:ln>
            <a:effectLst/>
          </c:spPr>
          <c:marker>
            <c:symbol val="none"/>
          </c:marker>
          <c:dLbls>
            <c:dLbl>
              <c:idx val="4"/>
              <c:layout>
                <c:manualLayout>
                  <c:x val="-6.6006723778817014E-2"/>
                  <c:y val="2.6979075532225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E1-C545-AF57-466C57859AC1}"/>
                </c:ext>
              </c:extLst>
            </c:dLbl>
            <c:dLbl>
              <c:idx val="5"/>
              <c:layout>
                <c:manualLayout>
                  <c:x val="-3.8933965741591928E-2"/>
                  <c:y val="2.6979075532224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E1-C545-AF57-466C57859AC1}"/>
                </c:ext>
              </c:extLst>
            </c:dLbl>
            <c:dLbl>
              <c:idx val="7"/>
              <c:layout>
                <c:manualLayout>
                  <c:x val="-3.8933965741591949E-2"/>
                  <c:y val="2.2349445902595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E1-C545-AF57-466C57859AC1}"/>
                </c:ext>
              </c:extLst>
            </c:dLbl>
            <c:dLbl>
              <c:idx val="10"/>
              <c:layout>
                <c:manualLayout>
                  <c:x val="-1.6373334043904411E-2"/>
                  <c:y val="-5.6354257801108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E1-C545-AF57-466C57859AC1}"/>
                </c:ext>
              </c:extLst>
            </c:dLbl>
            <c:dLbl>
              <c:idx val="17"/>
              <c:layout>
                <c:manualLayout>
                  <c:x val="-6.600672377881707E-2"/>
                  <c:y val="3.6238334791484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E1-C545-AF57-466C57859AC1}"/>
                </c:ext>
              </c:extLst>
            </c:dLbl>
            <c:dLbl>
              <c:idx val="26"/>
              <c:layout>
                <c:manualLayout>
                  <c:x val="-2.5397586722979506E-2"/>
                  <c:y val="3.1608705161854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E1-C545-AF57-466C57859AC1}"/>
                </c:ext>
              </c:extLst>
            </c:dLbl>
            <c:dLbl>
              <c:idx val="30"/>
              <c:layout>
                <c:manualLayout>
                  <c:x val="-4.3446092081129616E-2"/>
                  <c:y val="4.0867964421113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E1-C545-AF57-466C57859AC1}"/>
                </c:ext>
              </c:extLst>
            </c:dLbl>
            <c:dLbl>
              <c:idx val="32"/>
              <c:layout>
                <c:manualLayout>
                  <c:x val="-3.8933965741592108E-2"/>
                  <c:y val="4.0867964421114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E1-C545-AF57-466C57859AC1}"/>
                </c:ext>
              </c:extLst>
            </c:dLbl>
            <c:dLbl>
              <c:idx val="34"/>
              <c:layout>
                <c:manualLayout>
                  <c:x val="-3.8933965741591949E-2"/>
                  <c:y val="4.5497594050743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E1-C545-AF57-466C57859AC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Hoja1!$B$1:$AL$2</c:f>
              <c:multiLvlStrCache>
                <c:ptCount val="3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III</c:v>
                  </c:pt>
                  <c:pt idx="22">
                    <c:v>IV</c:v>
                  </c:pt>
                  <c:pt idx="23">
                    <c:v>I</c:v>
                  </c:pt>
                  <c:pt idx="24">
                    <c:v>II</c:v>
                  </c:pt>
                  <c:pt idx="25">
                    <c:v>III</c:v>
                  </c:pt>
                  <c:pt idx="26">
                    <c:v>IV</c:v>
                  </c:pt>
                  <c:pt idx="27">
                    <c:v>I</c:v>
                  </c:pt>
                  <c:pt idx="28">
                    <c:v>II</c:v>
                  </c:pt>
                  <c:pt idx="29">
                    <c:v>III</c:v>
                  </c:pt>
                  <c:pt idx="30">
                    <c:v>IV</c:v>
                  </c:pt>
                  <c:pt idx="31">
                    <c:v>I</c:v>
                  </c:pt>
                  <c:pt idx="32">
                    <c:v>II</c:v>
                  </c:pt>
                  <c:pt idx="33">
                    <c:v>III</c:v>
                  </c:pt>
                  <c:pt idx="34">
                    <c:v>IV</c:v>
                  </c:pt>
                  <c:pt idx="35">
                    <c:v>I</c:v>
                  </c:pt>
                  <c:pt idx="36">
                    <c:v>II</c:v>
                  </c:pt>
                </c:lvl>
                <c:lvl>
                  <c:pt idx="0">
                    <c:v>2015</c:v>
                  </c:pt>
                  <c:pt idx="4">
                    <c:v>2016</c:v>
                  </c:pt>
                  <c:pt idx="8">
                    <c:v>2017</c:v>
                  </c:pt>
                  <c:pt idx="12">
                    <c:v>2018</c:v>
                  </c:pt>
                  <c:pt idx="16">
                    <c:v>2019</c:v>
                  </c:pt>
                  <c:pt idx="20">
                    <c:v>2020</c:v>
                  </c:pt>
                  <c:pt idx="23">
                    <c:v>2021</c:v>
                  </c:pt>
                  <c:pt idx="27">
                    <c:v>2022</c:v>
                  </c:pt>
                  <c:pt idx="31">
                    <c:v>2023</c:v>
                  </c:pt>
                  <c:pt idx="35">
                    <c:v>2024</c:v>
                  </c:pt>
                </c:lvl>
              </c:multiLvlStrCache>
            </c:multiLvlStrRef>
          </c:cat>
          <c:val>
            <c:numRef>
              <c:f>Hoja1!$B$8:$AL$8</c:f>
              <c:numCache>
                <c:formatCode>0.0</c:formatCode>
                <c:ptCount val="37"/>
                <c:pt idx="0">
                  <c:v>26.412817579000002</c:v>
                </c:pt>
                <c:pt idx="1">
                  <c:v>21.856839774899999</c:v>
                </c:pt>
                <c:pt idx="2">
                  <c:v>24.694284768199999</c:v>
                </c:pt>
                <c:pt idx="3">
                  <c:v>22.897404102799999</c:v>
                </c:pt>
                <c:pt idx="4">
                  <c:v>22.167817840200001</c:v>
                </c:pt>
                <c:pt idx="5">
                  <c:v>22.042326961200001</c:v>
                </c:pt>
                <c:pt idx="6">
                  <c:v>22.805564812900002</c:v>
                </c:pt>
                <c:pt idx="7">
                  <c:v>20.246176061700002</c:v>
                </c:pt>
                <c:pt idx="8">
                  <c:v>22.755828167700002</c:v>
                </c:pt>
                <c:pt idx="9">
                  <c:v>24.155687255300002</c:v>
                </c:pt>
                <c:pt idx="10">
                  <c:v>24.468928675800001</c:v>
                </c:pt>
                <c:pt idx="11">
                  <c:v>22.080794181200002</c:v>
                </c:pt>
                <c:pt idx="12">
                  <c:v>20.874979257900002</c:v>
                </c:pt>
                <c:pt idx="13">
                  <c:v>22.978527943100001</c:v>
                </c:pt>
                <c:pt idx="14">
                  <c:v>22.1946262469</c:v>
                </c:pt>
                <c:pt idx="15">
                  <c:v>25.2477389646</c:v>
                </c:pt>
                <c:pt idx="16">
                  <c:v>23.668257748600002</c:v>
                </c:pt>
                <c:pt idx="17">
                  <c:v>23.379678665500002</c:v>
                </c:pt>
                <c:pt idx="18">
                  <c:v>22.6409255419</c:v>
                </c:pt>
                <c:pt idx="19">
                  <c:v>21.608970658100002</c:v>
                </c:pt>
                <c:pt idx="20">
                  <c:v>23.6943668979</c:v>
                </c:pt>
                <c:pt idx="21">
                  <c:v>32.952564322800001</c:v>
                </c:pt>
                <c:pt idx="22">
                  <c:v>25.700880806700003</c:v>
                </c:pt>
                <c:pt idx="23">
                  <c:v>27.263489974500001</c:v>
                </c:pt>
                <c:pt idx="24">
                  <c:v>24.3363406862</c:v>
                </c:pt>
                <c:pt idx="25">
                  <c:v>23.266833774000002</c:v>
                </c:pt>
                <c:pt idx="26">
                  <c:v>23.166482414800001</c:v>
                </c:pt>
                <c:pt idx="27">
                  <c:v>26.2454914817</c:v>
                </c:pt>
                <c:pt idx="28">
                  <c:v>25.417267669499999</c:v>
                </c:pt>
                <c:pt idx="29">
                  <c:v>26.729046737300003</c:v>
                </c:pt>
                <c:pt idx="30">
                  <c:v>25.933590215200002</c:v>
                </c:pt>
                <c:pt idx="31">
                  <c:v>26.0093439529</c:v>
                </c:pt>
                <c:pt idx="32">
                  <c:v>25.468111371999999</c:v>
                </c:pt>
                <c:pt idx="33">
                  <c:v>26.0726647177</c:v>
                </c:pt>
                <c:pt idx="34">
                  <c:v>23.6684311098</c:v>
                </c:pt>
                <c:pt idx="35">
                  <c:v>25.983800737799999</c:v>
                </c:pt>
                <c:pt idx="36">
                  <c:v>27.5054925339</c:v>
                </c:pt>
              </c:numCache>
            </c:numRef>
          </c:val>
          <c:smooth val="0"/>
          <c:extLst>
            <c:ext xmlns:c16="http://schemas.microsoft.com/office/drawing/2014/chart" uri="{C3380CC4-5D6E-409C-BE32-E72D297353CC}">
              <c16:uniqueId val="{00000009-8BE1-C545-AF57-466C57859AC1}"/>
            </c:ext>
          </c:extLst>
        </c:ser>
        <c:dLbls>
          <c:showLegendKey val="0"/>
          <c:showVal val="0"/>
          <c:showCatName val="0"/>
          <c:showSerName val="0"/>
          <c:showPercent val="0"/>
          <c:showBubbleSize val="0"/>
        </c:dLbls>
        <c:smooth val="0"/>
        <c:axId val="1007991408"/>
        <c:axId val="1456371280"/>
      </c:lineChart>
      <c:catAx>
        <c:axId val="100799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56371280"/>
        <c:crosses val="autoZero"/>
        <c:auto val="1"/>
        <c:lblAlgn val="ctr"/>
        <c:lblOffset val="100"/>
        <c:noMultiLvlLbl val="0"/>
      </c:catAx>
      <c:valAx>
        <c:axId val="1456371280"/>
        <c:scaling>
          <c:orientation val="minMax"/>
          <c:min val="1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007991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a:solidFill>
                <a:schemeClr val="accent6">
                  <a:lumMod val="75000"/>
                </a:schemeClr>
              </a:solidFill>
              <a:round/>
            </a:ln>
            <a:effectLst/>
          </c:spPr>
          <c:marker>
            <c:symbol val="none"/>
          </c:marker>
          <c:dLbls>
            <c:dLbl>
              <c:idx val="0"/>
              <c:tx>
                <c:rich>
                  <a:bodyPr/>
                  <a:lstStyle/>
                  <a:p>
                    <a:fld id="{DA136AD4-9B14-44D6-8F54-9A52E60B9620}" type="VALUE">
                      <a:rPr lang="en-US"/>
                      <a:pPr/>
                      <a:t>[VALOR]</a:t>
                    </a:fld>
                    <a:endParaRPr lang="es-MX"/>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049C-CB43-9DB5-49CA2568197E}"/>
                </c:ext>
              </c:extLst>
            </c:dLbl>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Hoja1!$B$9:$AN$10</c:f>
              <c:multiLvlStrCache>
                <c:ptCount val="3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I</c:v>
                  </c:pt>
                  <c:pt idx="37">
                    <c:v>II</c:v>
                  </c:pt>
                  <c:pt idx="38">
                    <c:v>III</c:v>
                  </c:pt>
                </c:lvl>
                <c:lvl>
                  <c:pt idx="0">
                    <c:v>2015</c:v>
                  </c:pt>
                  <c:pt idx="4">
                    <c:v>2016</c:v>
                  </c:pt>
                  <c:pt idx="8">
                    <c:v>2017</c:v>
                  </c:pt>
                  <c:pt idx="12">
                    <c:v>2018</c:v>
                  </c:pt>
                  <c:pt idx="16">
                    <c:v>2019</c:v>
                  </c:pt>
                  <c:pt idx="20">
                    <c:v>2020</c:v>
                  </c:pt>
                  <c:pt idx="24">
                    <c:v>2021</c:v>
                  </c:pt>
                  <c:pt idx="28">
                    <c:v>2022</c:v>
                  </c:pt>
                  <c:pt idx="32">
                    <c:v>2023</c:v>
                  </c:pt>
                  <c:pt idx="36">
                    <c:v>2024</c:v>
                  </c:pt>
                </c:lvl>
              </c:multiLvlStrCache>
            </c:multiLvlStrRef>
          </c:cat>
          <c:val>
            <c:numRef>
              <c:f>Hoja1!$B$11:$AN$11</c:f>
              <c:numCache>
                <c:formatCode>#,##0</c:formatCode>
                <c:ptCount val="39"/>
                <c:pt idx="0">
                  <c:v>208603</c:v>
                </c:pt>
                <c:pt idx="1">
                  <c:v>213309</c:v>
                </c:pt>
                <c:pt idx="2">
                  <c:v>212934.33333333334</c:v>
                </c:pt>
                <c:pt idx="3">
                  <c:v>216557.33333333334</c:v>
                </c:pt>
                <c:pt idx="4">
                  <c:v>216105.33333333334</c:v>
                </c:pt>
                <c:pt idx="5">
                  <c:v>220519</c:v>
                </c:pt>
                <c:pt idx="6">
                  <c:v>221203.33333333334</c:v>
                </c:pt>
                <c:pt idx="7">
                  <c:v>223758.33333333334</c:v>
                </c:pt>
                <c:pt idx="8">
                  <c:v>222649.33333333334</c:v>
                </c:pt>
                <c:pt idx="9">
                  <c:v>228338</c:v>
                </c:pt>
                <c:pt idx="10">
                  <c:v>228790.33333333334</c:v>
                </c:pt>
                <c:pt idx="11">
                  <c:v>233548</c:v>
                </c:pt>
                <c:pt idx="12">
                  <c:v>229453.33333333334</c:v>
                </c:pt>
                <c:pt idx="13">
                  <c:v>233784</c:v>
                </c:pt>
                <c:pt idx="14">
                  <c:v>233093.66666666666</c:v>
                </c:pt>
                <c:pt idx="15">
                  <c:v>237758.66666666666</c:v>
                </c:pt>
                <c:pt idx="16">
                  <c:v>238693.66666666666</c:v>
                </c:pt>
                <c:pt idx="17">
                  <c:v>244191.66666666666</c:v>
                </c:pt>
                <c:pt idx="18">
                  <c:v>241306</c:v>
                </c:pt>
                <c:pt idx="19">
                  <c:v>243848.66666666666</c:v>
                </c:pt>
                <c:pt idx="20">
                  <c:v>242447.33333333334</c:v>
                </c:pt>
                <c:pt idx="21">
                  <c:v>238463.66666666666</c:v>
                </c:pt>
                <c:pt idx="22">
                  <c:v>234007</c:v>
                </c:pt>
                <c:pt idx="23">
                  <c:v>238646.33333333334</c:v>
                </c:pt>
                <c:pt idx="24">
                  <c:v>241390</c:v>
                </c:pt>
                <c:pt idx="25">
                  <c:v>248195</c:v>
                </c:pt>
                <c:pt idx="26">
                  <c:v>250618.33333333334</c:v>
                </c:pt>
                <c:pt idx="27">
                  <c:v>253825</c:v>
                </c:pt>
                <c:pt idx="28">
                  <c:v>255231.33333333334</c:v>
                </c:pt>
                <c:pt idx="29">
                  <c:v>259001.66666666666</c:v>
                </c:pt>
                <c:pt idx="30">
                  <c:v>259357.66666666666</c:v>
                </c:pt>
                <c:pt idx="31">
                  <c:v>257307.33333333334</c:v>
                </c:pt>
                <c:pt idx="32">
                  <c:v>257167</c:v>
                </c:pt>
                <c:pt idx="33">
                  <c:v>265103</c:v>
                </c:pt>
                <c:pt idx="34">
                  <c:v>266729.33333333331</c:v>
                </c:pt>
                <c:pt idx="35">
                  <c:v>270119.33333333331</c:v>
                </c:pt>
                <c:pt idx="36">
                  <c:v>269016.66666666669</c:v>
                </c:pt>
                <c:pt idx="37">
                  <c:v>274124.33333333331</c:v>
                </c:pt>
                <c:pt idx="38">
                  <c:v>270181.33333333331</c:v>
                </c:pt>
              </c:numCache>
            </c:numRef>
          </c:val>
          <c:smooth val="0"/>
          <c:extLst>
            <c:ext xmlns:c16="http://schemas.microsoft.com/office/drawing/2014/chart" uri="{C3380CC4-5D6E-409C-BE32-E72D297353CC}">
              <c16:uniqueId val="{00000001-049C-CB43-9DB5-49CA2568197E}"/>
            </c:ext>
          </c:extLst>
        </c:ser>
        <c:dLbls>
          <c:showLegendKey val="0"/>
          <c:showVal val="0"/>
          <c:showCatName val="0"/>
          <c:showSerName val="0"/>
          <c:showPercent val="0"/>
          <c:showBubbleSize val="0"/>
        </c:dLbls>
        <c:smooth val="0"/>
        <c:axId val="1007966336"/>
        <c:axId val="1621037216"/>
      </c:lineChart>
      <c:catAx>
        <c:axId val="100796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621037216"/>
        <c:crosses val="autoZero"/>
        <c:auto val="1"/>
        <c:lblAlgn val="ctr"/>
        <c:lblOffset val="100"/>
        <c:noMultiLvlLbl val="0"/>
      </c:catAx>
      <c:valAx>
        <c:axId val="1621037216"/>
        <c:scaling>
          <c:orientation val="minMax"/>
          <c:min val="205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007966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1'!$N$10:$N$16</c:f>
              <c:numCache>
                <c:formatCode>General</c:formatCode>
                <c:ptCount val="7"/>
                <c:pt idx="0">
                  <c:v>2003</c:v>
                </c:pt>
                <c:pt idx="1">
                  <c:v>2008</c:v>
                </c:pt>
                <c:pt idx="2">
                  <c:v>2013</c:v>
                </c:pt>
                <c:pt idx="3">
                  <c:v>2018</c:v>
                </c:pt>
                <c:pt idx="4">
                  <c:v>2024</c:v>
                </c:pt>
              </c:numCache>
            </c:numRef>
          </c:cat>
          <c:val>
            <c:numRef>
              <c:f>'Sheet 1'!$O$10:$O$14</c:f>
              <c:numCache>
                <c:formatCode>#,##0</c:formatCode>
                <c:ptCount val="5"/>
                <c:pt idx="0">
                  <c:v>19197</c:v>
                </c:pt>
                <c:pt idx="1">
                  <c:v>25412</c:v>
                </c:pt>
                <c:pt idx="2">
                  <c:v>28712</c:v>
                </c:pt>
                <c:pt idx="3">
                  <c:v>31599</c:v>
                </c:pt>
                <c:pt idx="4">
                  <c:v>38058</c:v>
                </c:pt>
              </c:numCache>
            </c:numRef>
          </c:val>
          <c:extLst>
            <c:ext xmlns:c16="http://schemas.microsoft.com/office/drawing/2014/chart" uri="{C3380CC4-5D6E-409C-BE32-E72D297353CC}">
              <c16:uniqueId val="{00000000-CBD7-0D42-8742-74CB84536955}"/>
            </c:ext>
          </c:extLst>
        </c:ser>
        <c:dLbls>
          <c:showLegendKey val="0"/>
          <c:showVal val="0"/>
          <c:showCatName val="0"/>
          <c:showSerName val="0"/>
          <c:showPercent val="0"/>
          <c:showBubbleSize val="0"/>
        </c:dLbls>
        <c:gapWidth val="50"/>
        <c:axId val="1267405776"/>
        <c:axId val="1608699088"/>
      </c:barChart>
      <c:catAx>
        <c:axId val="12674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08699088"/>
        <c:crosses val="autoZero"/>
        <c:auto val="1"/>
        <c:lblAlgn val="ctr"/>
        <c:lblOffset val="100"/>
        <c:noMultiLvlLbl val="0"/>
      </c:catAx>
      <c:valAx>
        <c:axId val="1608699088"/>
        <c:scaling>
          <c:orientation val="minMax"/>
        </c:scaling>
        <c:delete val="1"/>
        <c:axPos val="l"/>
        <c:numFmt formatCode="#,##0" sourceLinked="1"/>
        <c:majorTickMark val="none"/>
        <c:minorTickMark val="none"/>
        <c:tickLblPos val="nextTo"/>
        <c:crossAx val="1267405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6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12778570703102E-2"/>
          <c:y val="0.10874704491725769"/>
          <c:w val="0.782664692371702"/>
          <c:h val="0.61035684369241083"/>
        </c:manualLayout>
      </c:layout>
      <c:lineChart>
        <c:grouping val="standard"/>
        <c:varyColors val="0"/>
        <c:ser>
          <c:idx val="0"/>
          <c:order val="0"/>
          <c:tx>
            <c:strRef>
              <c:f>Hoja2!$G$2</c:f>
              <c:strCache>
                <c:ptCount val="1"/>
                <c:pt idx="0">
                  <c:v>Total de personal ocupado</c:v>
                </c:pt>
              </c:strCache>
            </c:strRef>
          </c:tx>
          <c:spPr>
            <a:ln w="12700" cap="rnd">
              <a:solidFill>
                <a:schemeClr val="bg1">
                  <a:lumMod val="50000"/>
                </a:schemeClr>
              </a:solidFill>
              <a:round/>
            </a:ln>
            <a:effectLst/>
          </c:spPr>
          <c:marker>
            <c:symbol val="none"/>
          </c:marker>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Hoja2!$E$3:$F$42</c:f>
              <c:multiLvlStrCache>
                <c:ptCount val="3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I</c:v>
                  </c:pt>
                  <c:pt idx="37">
                    <c:v>II</c:v>
                  </c:pt>
                </c:lvl>
                <c:lvl>
                  <c:pt idx="0">
                    <c:v>2015</c:v>
                  </c:pt>
                  <c:pt idx="4">
                    <c:v>2016</c:v>
                  </c:pt>
                  <c:pt idx="8">
                    <c:v>2017</c:v>
                  </c:pt>
                  <c:pt idx="12">
                    <c:v>2018</c:v>
                  </c:pt>
                  <c:pt idx="16">
                    <c:v>2019</c:v>
                  </c:pt>
                  <c:pt idx="20">
                    <c:v>2020</c:v>
                  </c:pt>
                  <c:pt idx="24">
                    <c:v>2021</c:v>
                  </c:pt>
                  <c:pt idx="28">
                    <c:v>2022</c:v>
                  </c:pt>
                  <c:pt idx="32">
                    <c:v>2023</c:v>
                  </c:pt>
                  <c:pt idx="36">
                    <c:v>2024</c:v>
                  </c:pt>
                </c:lvl>
              </c:multiLvlStrCache>
            </c:multiLvlStrRef>
          </c:cat>
          <c:val>
            <c:numRef>
              <c:f>Hoja2!$G$3:$G$40</c:f>
              <c:numCache>
                <c:formatCode>#,##0</c:formatCode>
                <c:ptCount val="38"/>
                <c:pt idx="0">
                  <c:v>25219.666666666668</c:v>
                </c:pt>
                <c:pt idx="1">
                  <c:v>25376</c:v>
                </c:pt>
                <c:pt idx="2">
                  <c:v>25934.333333333332</c:v>
                </c:pt>
                <c:pt idx="3">
                  <c:v>25734.666666666668</c:v>
                </c:pt>
                <c:pt idx="4">
                  <c:v>25656</c:v>
                </c:pt>
                <c:pt idx="5">
                  <c:v>25885.666666666668</c:v>
                </c:pt>
                <c:pt idx="6">
                  <c:v>25908.666666666668</c:v>
                </c:pt>
                <c:pt idx="7">
                  <c:v>26209.666666666668</c:v>
                </c:pt>
                <c:pt idx="8">
                  <c:v>27000.666666666668</c:v>
                </c:pt>
                <c:pt idx="9">
                  <c:v>28051</c:v>
                </c:pt>
                <c:pt idx="10">
                  <c:v>28221.333333333332</c:v>
                </c:pt>
                <c:pt idx="11">
                  <c:v>27510</c:v>
                </c:pt>
                <c:pt idx="12">
                  <c:v>26443</c:v>
                </c:pt>
                <c:pt idx="13">
                  <c:v>27188</c:v>
                </c:pt>
                <c:pt idx="14">
                  <c:v>27449.333333333332</c:v>
                </c:pt>
                <c:pt idx="15">
                  <c:v>28013</c:v>
                </c:pt>
                <c:pt idx="16">
                  <c:v>29261.333333333332</c:v>
                </c:pt>
                <c:pt idx="17">
                  <c:v>29143.666666666668</c:v>
                </c:pt>
                <c:pt idx="18">
                  <c:v>28613.333333333332</c:v>
                </c:pt>
                <c:pt idx="19">
                  <c:v>28290.333333333332</c:v>
                </c:pt>
                <c:pt idx="20">
                  <c:v>29419</c:v>
                </c:pt>
                <c:pt idx="21">
                  <c:v>30853</c:v>
                </c:pt>
                <c:pt idx="22">
                  <c:v>30970.333333333332</c:v>
                </c:pt>
                <c:pt idx="23">
                  <c:v>32534</c:v>
                </c:pt>
                <c:pt idx="24">
                  <c:v>32862</c:v>
                </c:pt>
                <c:pt idx="25">
                  <c:v>33578.333333333336</c:v>
                </c:pt>
                <c:pt idx="26">
                  <c:v>34184</c:v>
                </c:pt>
                <c:pt idx="27">
                  <c:v>32475.666666666668</c:v>
                </c:pt>
                <c:pt idx="28">
                  <c:v>33073</c:v>
                </c:pt>
                <c:pt idx="29">
                  <c:v>33710.666666666664</c:v>
                </c:pt>
                <c:pt idx="30">
                  <c:v>32865.666666666664</c:v>
                </c:pt>
                <c:pt idx="31">
                  <c:v>32303.333333333332</c:v>
                </c:pt>
                <c:pt idx="32">
                  <c:v>32088.666666666668</c:v>
                </c:pt>
                <c:pt idx="33">
                  <c:v>34417.666666666664</c:v>
                </c:pt>
                <c:pt idx="34">
                  <c:v>36304.666666666664</c:v>
                </c:pt>
                <c:pt idx="35">
                  <c:v>36657</c:v>
                </c:pt>
                <c:pt idx="36">
                  <c:v>35725</c:v>
                </c:pt>
                <c:pt idx="37">
                  <c:v>36182.666666666664</c:v>
                </c:pt>
              </c:numCache>
            </c:numRef>
          </c:val>
          <c:smooth val="0"/>
          <c:extLst>
            <c:ext xmlns:c16="http://schemas.microsoft.com/office/drawing/2014/chart" uri="{C3380CC4-5D6E-409C-BE32-E72D297353CC}">
              <c16:uniqueId val="{00000000-4C01-5842-8774-8F30627FB688}"/>
            </c:ext>
          </c:extLst>
        </c:ser>
        <c:dLbls>
          <c:showLegendKey val="0"/>
          <c:showVal val="0"/>
          <c:showCatName val="0"/>
          <c:showSerName val="0"/>
          <c:showPercent val="0"/>
          <c:showBubbleSize val="0"/>
        </c:dLbls>
        <c:marker val="1"/>
        <c:smooth val="0"/>
        <c:axId val="1171360448"/>
        <c:axId val="1164749856"/>
      </c:lineChart>
      <c:lineChart>
        <c:grouping val="standard"/>
        <c:varyColors val="0"/>
        <c:ser>
          <c:idx val="1"/>
          <c:order val="1"/>
          <c:tx>
            <c:strRef>
              <c:f>Hoja2!$H$2</c:f>
              <c:strCache>
                <c:ptCount val="1"/>
                <c:pt idx="0">
                  <c:v>Remuneraciones pagadas</c:v>
                </c:pt>
              </c:strCache>
            </c:strRef>
          </c:tx>
          <c:spPr>
            <a:ln w="12700" cap="rnd">
              <a:solidFill>
                <a:schemeClr val="accent2"/>
              </a:solidFill>
              <a:round/>
            </a:ln>
            <a:effectLst/>
          </c:spPr>
          <c:marker>
            <c:symbol val="none"/>
          </c:marker>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Hoja2!$H$3:$H$40</c:f>
              <c:numCache>
                <c:formatCode>#,##0</c:formatCode>
                <c:ptCount val="38"/>
                <c:pt idx="0">
                  <c:v>306871</c:v>
                </c:pt>
                <c:pt idx="1">
                  <c:v>312277</c:v>
                </c:pt>
                <c:pt idx="2">
                  <c:v>306589.33333333331</c:v>
                </c:pt>
                <c:pt idx="3">
                  <c:v>315617.33333333331</c:v>
                </c:pt>
                <c:pt idx="4">
                  <c:v>340124</c:v>
                </c:pt>
                <c:pt idx="5">
                  <c:v>335014.33333333331</c:v>
                </c:pt>
                <c:pt idx="6">
                  <c:v>341568</c:v>
                </c:pt>
                <c:pt idx="7">
                  <c:v>336669.33333333331</c:v>
                </c:pt>
                <c:pt idx="8">
                  <c:v>364231.33333333331</c:v>
                </c:pt>
                <c:pt idx="9">
                  <c:v>389199.33333333331</c:v>
                </c:pt>
                <c:pt idx="10">
                  <c:v>391131.66666666669</c:v>
                </c:pt>
                <c:pt idx="11">
                  <c:v>382774.33333333331</c:v>
                </c:pt>
                <c:pt idx="12">
                  <c:v>394547.33333333331</c:v>
                </c:pt>
                <c:pt idx="13">
                  <c:v>402337</c:v>
                </c:pt>
                <c:pt idx="14">
                  <c:v>407282.33333333331</c:v>
                </c:pt>
                <c:pt idx="15">
                  <c:v>424310</c:v>
                </c:pt>
                <c:pt idx="16">
                  <c:v>450603</c:v>
                </c:pt>
                <c:pt idx="17">
                  <c:v>463908.33333333331</c:v>
                </c:pt>
                <c:pt idx="18">
                  <c:v>437842</c:v>
                </c:pt>
                <c:pt idx="19">
                  <c:v>438421</c:v>
                </c:pt>
                <c:pt idx="20">
                  <c:v>487323.33333333331</c:v>
                </c:pt>
                <c:pt idx="21">
                  <c:v>456094</c:v>
                </c:pt>
                <c:pt idx="22">
                  <c:v>475180.66666666669</c:v>
                </c:pt>
                <c:pt idx="23">
                  <c:v>511995.66666666669</c:v>
                </c:pt>
                <c:pt idx="24">
                  <c:v>545263</c:v>
                </c:pt>
                <c:pt idx="25">
                  <c:v>530386.66666666663</c:v>
                </c:pt>
                <c:pt idx="26">
                  <c:v>648161.66666666663</c:v>
                </c:pt>
                <c:pt idx="27">
                  <c:v>741418.66666666663</c:v>
                </c:pt>
                <c:pt idx="28">
                  <c:v>763225.66666666663</c:v>
                </c:pt>
                <c:pt idx="29">
                  <c:v>847255</c:v>
                </c:pt>
                <c:pt idx="30">
                  <c:v>797230</c:v>
                </c:pt>
                <c:pt idx="31">
                  <c:v>858053</c:v>
                </c:pt>
                <c:pt idx="32">
                  <c:v>841906.66666666663</c:v>
                </c:pt>
                <c:pt idx="33">
                  <c:v>901097.33333333337</c:v>
                </c:pt>
                <c:pt idx="34">
                  <c:v>924159.66666666663</c:v>
                </c:pt>
                <c:pt idx="35">
                  <c:v>1075054.6666666667</c:v>
                </c:pt>
                <c:pt idx="36">
                  <c:v>1003419</c:v>
                </c:pt>
                <c:pt idx="37">
                  <c:v>1034006</c:v>
                </c:pt>
              </c:numCache>
            </c:numRef>
          </c:val>
          <c:smooth val="0"/>
          <c:extLst>
            <c:ext xmlns:c16="http://schemas.microsoft.com/office/drawing/2014/chart" uri="{C3380CC4-5D6E-409C-BE32-E72D297353CC}">
              <c16:uniqueId val="{00000001-4C01-5842-8774-8F30627FB688}"/>
            </c:ext>
          </c:extLst>
        </c:ser>
        <c:dLbls>
          <c:showLegendKey val="0"/>
          <c:showVal val="0"/>
          <c:showCatName val="0"/>
          <c:showSerName val="0"/>
          <c:showPercent val="0"/>
          <c:showBubbleSize val="0"/>
        </c:dLbls>
        <c:marker val="1"/>
        <c:smooth val="0"/>
        <c:axId val="1176703296"/>
        <c:axId val="1118538032"/>
      </c:lineChart>
      <c:catAx>
        <c:axId val="117136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64749856"/>
        <c:crosses val="autoZero"/>
        <c:auto val="1"/>
        <c:lblAlgn val="ctr"/>
        <c:lblOffset val="100"/>
        <c:noMultiLvlLbl val="0"/>
      </c:catAx>
      <c:valAx>
        <c:axId val="1164749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71360448"/>
        <c:crosses val="autoZero"/>
        <c:crossBetween val="between"/>
      </c:valAx>
      <c:valAx>
        <c:axId val="111853803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76703296"/>
        <c:crosses val="max"/>
        <c:crossBetween val="between"/>
      </c:valAx>
      <c:catAx>
        <c:axId val="1176703296"/>
        <c:scaling>
          <c:orientation val="minMax"/>
        </c:scaling>
        <c:delete val="1"/>
        <c:axPos val="b"/>
        <c:majorTickMark val="out"/>
        <c:minorTickMark val="none"/>
        <c:tickLblPos val="nextTo"/>
        <c:crossAx val="1118538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f1g1!$B$6</c:f>
              <c:strCache>
                <c:ptCount val="1"/>
                <c:pt idx="0">
                  <c:v>2021</c:v>
                </c:pt>
              </c:strCache>
            </c:strRef>
          </c:tx>
          <c:spPr>
            <a:ln w="28575" cap="rnd">
              <a:solidFill>
                <a:schemeClr val="accent1"/>
              </a:solidFill>
              <a:round/>
            </a:ln>
            <a:effectLst/>
          </c:spPr>
          <c:marker>
            <c:symbol val="none"/>
          </c:marker>
          <c:dLbls>
            <c:dLbl>
              <c:idx val="0"/>
              <c:layout>
                <c:manualLayout>
                  <c:x val="-2.7051467051467052E-2"/>
                  <c:y val="4.20793779282262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EF-4E9E-A3A0-9477A389A009}"/>
                </c:ext>
              </c:extLst>
            </c:dLbl>
            <c:dLbl>
              <c:idx val="11"/>
              <c:layout>
                <c:manualLayout>
                  <c:x val="-2.5127465127465127E-2"/>
                  <c:y val="2.65030539406873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EF-4E9E-A3A0-9477A389A009}"/>
                </c:ext>
              </c:extLst>
            </c:dLbl>
            <c:spPr>
              <a:noFill/>
              <a:ln>
                <a:solidFill>
                  <a:schemeClr val="accent5">
                    <a:lumMod val="60000"/>
                    <a:lumOff val="40000"/>
                  </a:schemeClr>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f1g1!$A$7:$A$18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f1g1!$B$7:$B$18</c:f>
              <c:numCache>
                <c:formatCode>General</c:formatCode>
                <c:ptCount val="12"/>
                <c:pt idx="0">
                  <c:v>45</c:v>
                </c:pt>
                <c:pt idx="1">
                  <c:v>28</c:v>
                </c:pt>
                <c:pt idx="2">
                  <c:v>39</c:v>
                </c:pt>
                <c:pt idx="3">
                  <c:v>32</c:v>
                </c:pt>
                <c:pt idx="4">
                  <c:v>53</c:v>
                </c:pt>
                <c:pt idx="5">
                  <c:v>39</c:v>
                </c:pt>
                <c:pt idx="6">
                  <c:v>53</c:v>
                </c:pt>
                <c:pt idx="7">
                  <c:v>35</c:v>
                </c:pt>
                <c:pt idx="8">
                  <c:v>22</c:v>
                </c:pt>
                <c:pt idx="9">
                  <c:v>27</c:v>
                </c:pt>
                <c:pt idx="10">
                  <c:v>34</c:v>
                </c:pt>
                <c:pt idx="11">
                  <c:v>57</c:v>
                </c:pt>
              </c:numCache>
            </c:numRef>
          </c:val>
          <c:smooth val="0"/>
          <c:extLst>
            <c:ext xmlns:c16="http://schemas.microsoft.com/office/drawing/2014/chart" uri="{C3380CC4-5D6E-409C-BE32-E72D297353CC}">
              <c16:uniqueId val="{00000002-4CEF-4E9E-A3A0-9477A389A009}"/>
            </c:ext>
          </c:extLst>
        </c:ser>
        <c:ser>
          <c:idx val="1"/>
          <c:order val="1"/>
          <c:tx>
            <c:strRef>
              <c:f>f1g1!$C$6</c:f>
              <c:strCache>
                <c:ptCount val="1"/>
                <c:pt idx="0">
                  <c:v>2022</c:v>
                </c:pt>
              </c:strCache>
            </c:strRef>
          </c:tx>
          <c:spPr>
            <a:ln w="28575" cap="rnd">
              <a:solidFill>
                <a:schemeClr val="accent2"/>
              </a:solidFill>
              <a:round/>
            </a:ln>
            <a:effectLst/>
          </c:spPr>
          <c:marker>
            <c:symbol val="none"/>
          </c:marker>
          <c:dLbls>
            <c:spPr>
              <a:noFill/>
              <a:ln>
                <a:solidFill>
                  <a:schemeClr val="accent2"/>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f1g1!$A$7:$A$18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f1g1!$C$7:$C$18</c:f>
              <c:numCache>
                <c:formatCode>General</c:formatCode>
                <c:ptCount val="12"/>
                <c:pt idx="0">
                  <c:v>46</c:v>
                </c:pt>
                <c:pt idx="1">
                  <c:v>55</c:v>
                </c:pt>
                <c:pt idx="2">
                  <c:v>63</c:v>
                </c:pt>
                <c:pt idx="3">
                  <c:v>74</c:v>
                </c:pt>
                <c:pt idx="4">
                  <c:v>153</c:v>
                </c:pt>
                <c:pt idx="5">
                  <c:v>126</c:v>
                </c:pt>
                <c:pt idx="6">
                  <c:v>128</c:v>
                </c:pt>
                <c:pt idx="7">
                  <c:v>152</c:v>
                </c:pt>
                <c:pt idx="8">
                  <c:v>113</c:v>
                </c:pt>
                <c:pt idx="9">
                  <c:v>85</c:v>
                </c:pt>
                <c:pt idx="10">
                  <c:v>163</c:v>
                </c:pt>
                <c:pt idx="11">
                  <c:v>124</c:v>
                </c:pt>
              </c:numCache>
            </c:numRef>
          </c:val>
          <c:smooth val="0"/>
          <c:extLst>
            <c:ext xmlns:c16="http://schemas.microsoft.com/office/drawing/2014/chart" uri="{C3380CC4-5D6E-409C-BE32-E72D297353CC}">
              <c16:uniqueId val="{00000003-4CEF-4E9E-A3A0-9477A389A009}"/>
            </c:ext>
          </c:extLst>
        </c:ser>
        <c:ser>
          <c:idx val="2"/>
          <c:order val="2"/>
          <c:tx>
            <c:strRef>
              <c:f>f1g1!$D$6</c:f>
              <c:strCache>
                <c:ptCount val="1"/>
                <c:pt idx="0">
                  <c:v>2023</c:v>
                </c:pt>
              </c:strCache>
            </c:strRef>
          </c:tx>
          <c:spPr>
            <a:ln w="28575" cap="rnd">
              <a:solidFill>
                <a:schemeClr val="accent3"/>
              </a:solidFill>
              <a:round/>
            </a:ln>
            <a:effectLst/>
          </c:spPr>
          <c:marker>
            <c:symbol val="none"/>
          </c:marker>
          <c:dLbls>
            <c:dLbl>
              <c:idx val="4"/>
              <c:layout>
                <c:manualLayout>
                  <c:x val="-2.9514189514189514E-2"/>
                  <c:y val="5.1425172320749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EF-4E9E-A3A0-9477A389A009}"/>
                </c:ext>
              </c:extLst>
            </c:dLbl>
            <c:dLbl>
              <c:idx val="6"/>
              <c:layout>
                <c:manualLayout>
                  <c:x val="-3.1438191438191439E-2"/>
                  <c:y val="4.8309907523241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EF-4E9E-A3A0-9477A389A009}"/>
                </c:ext>
              </c:extLst>
            </c:dLbl>
            <c:spPr>
              <a:no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f1g1!$A$7:$A$18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f1g1!$D$7:$D$18</c:f>
              <c:numCache>
                <c:formatCode>General</c:formatCode>
                <c:ptCount val="12"/>
                <c:pt idx="0">
                  <c:v>116</c:v>
                </c:pt>
                <c:pt idx="1">
                  <c:v>101</c:v>
                </c:pt>
                <c:pt idx="2">
                  <c:v>102</c:v>
                </c:pt>
                <c:pt idx="3">
                  <c:v>135</c:v>
                </c:pt>
                <c:pt idx="4">
                  <c:v>141</c:v>
                </c:pt>
                <c:pt idx="5">
                  <c:v>111</c:v>
                </c:pt>
                <c:pt idx="6">
                  <c:v>132</c:v>
                </c:pt>
                <c:pt idx="7">
                  <c:v>86</c:v>
                </c:pt>
                <c:pt idx="8">
                  <c:v>95</c:v>
                </c:pt>
                <c:pt idx="9">
                  <c:v>106</c:v>
                </c:pt>
                <c:pt idx="10">
                  <c:v>82</c:v>
                </c:pt>
                <c:pt idx="11">
                  <c:v>66</c:v>
                </c:pt>
              </c:numCache>
            </c:numRef>
          </c:val>
          <c:smooth val="0"/>
          <c:extLst>
            <c:ext xmlns:c16="http://schemas.microsoft.com/office/drawing/2014/chart" uri="{C3380CC4-5D6E-409C-BE32-E72D297353CC}">
              <c16:uniqueId val="{00000006-4CEF-4E9E-A3A0-9477A389A009}"/>
            </c:ext>
          </c:extLst>
        </c:ser>
        <c:ser>
          <c:idx val="3"/>
          <c:order val="3"/>
          <c:tx>
            <c:strRef>
              <c:f>f1g1!$E$6</c:f>
              <c:strCache>
                <c:ptCount val="1"/>
                <c:pt idx="0">
                  <c:v>2024</c:v>
                </c:pt>
              </c:strCache>
            </c:strRef>
          </c:tx>
          <c:spPr>
            <a:ln w="28575" cap="rnd">
              <a:solidFill>
                <a:schemeClr val="accent4"/>
              </a:solidFill>
              <a:round/>
            </a:ln>
            <a:effectLst/>
          </c:spPr>
          <c:marker>
            <c:symbol val="none"/>
          </c:marker>
          <c:dLbls>
            <c:dLbl>
              <c:idx val="2"/>
              <c:layout>
                <c:manualLayout>
                  <c:x val="-2.5127465127465127E-2"/>
                  <c:y val="-2.65030539406873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EF-4E9E-A3A0-9477A389A009}"/>
                </c:ext>
              </c:extLst>
            </c:dLbl>
            <c:dLbl>
              <c:idx val="3"/>
              <c:layout>
                <c:manualLayout>
                  <c:x val="-3.5286195286195324E-2"/>
                  <c:y val="-7.81146515564059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EF-4E9E-A3A0-9477A389A009}"/>
                </c:ext>
              </c:extLst>
            </c:dLbl>
            <c:spPr>
              <a:noFill/>
              <a:ln>
                <a:solidFill>
                  <a:schemeClr val="accent4"/>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f1g1!$A$7:$A$18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f1g1!$E$7:$E$18</c:f>
              <c:numCache>
                <c:formatCode>General</c:formatCode>
                <c:ptCount val="12"/>
                <c:pt idx="0">
                  <c:v>61</c:v>
                </c:pt>
                <c:pt idx="1">
                  <c:v>87</c:v>
                </c:pt>
                <c:pt idx="2">
                  <c:v>86</c:v>
                </c:pt>
                <c:pt idx="3">
                  <c:v>105</c:v>
                </c:pt>
                <c:pt idx="4">
                  <c:v>105</c:v>
                </c:pt>
                <c:pt idx="5">
                  <c:v>88</c:v>
                </c:pt>
                <c:pt idx="6">
                  <c:v>115</c:v>
                </c:pt>
                <c:pt idx="7">
                  <c:v>89</c:v>
                </c:pt>
              </c:numCache>
            </c:numRef>
          </c:val>
          <c:smooth val="0"/>
          <c:extLst>
            <c:ext xmlns:c16="http://schemas.microsoft.com/office/drawing/2014/chart" uri="{C3380CC4-5D6E-409C-BE32-E72D297353CC}">
              <c16:uniqueId val="{00000009-4CEF-4E9E-A3A0-9477A389A009}"/>
            </c:ext>
          </c:extLst>
        </c:ser>
        <c:dLbls>
          <c:showLegendKey val="0"/>
          <c:showVal val="0"/>
          <c:showCatName val="0"/>
          <c:showSerName val="0"/>
          <c:showPercent val="0"/>
          <c:showBubbleSize val="0"/>
        </c:dLbls>
        <c:smooth val="0"/>
        <c:axId val="552783999"/>
        <c:axId val="558217727"/>
      </c:lineChart>
      <c:catAx>
        <c:axId val="552783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58217727"/>
        <c:crosses val="autoZero"/>
        <c:auto val="1"/>
        <c:lblAlgn val="ctr"/>
        <c:lblOffset val="100"/>
        <c:noMultiLvlLbl val="0"/>
      </c:catAx>
      <c:valAx>
        <c:axId val="5582177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52783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a:solidFill>
                <a:schemeClr val="accent1"/>
              </a:solidFill>
              <a:round/>
            </a:ln>
            <a:effectLst/>
          </c:spPr>
          <c:marker>
            <c:symbol val="none"/>
          </c:marker>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Hoja2!$E$3:$F$40</c:f>
              <c:multiLvlStrCache>
                <c:ptCount val="3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I</c:v>
                  </c:pt>
                  <c:pt idx="37">
                    <c:v>II</c:v>
                  </c:pt>
                </c:lvl>
                <c:lvl>
                  <c:pt idx="0">
                    <c:v>2015</c:v>
                  </c:pt>
                  <c:pt idx="4">
                    <c:v>2016</c:v>
                  </c:pt>
                  <c:pt idx="8">
                    <c:v>2017</c:v>
                  </c:pt>
                  <c:pt idx="12">
                    <c:v>2018</c:v>
                  </c:pt>
                  <c:pt idx="16">
                    <c:v>2019</c:v>
                  </c:pt>
                  <c:pt idx="20">
                    <c:v>2020</c:v>
                  </c:pt>
                  <c:pt idx="24">
                    <c:v>2021</c:v>
                  </c:pt>
                  <c:pt idx="28">
                    <c:v>2022</c:v>
                  </c:pt>
                  <c:pt idx="32">
                    <c:v>2023</c:v>
                  </c:pt>
                  <c:pt idx="36">
                    <c:v>2024</c:v>
                  </c:pt>
                </c:lvl>
              </c:multiLvlStrCache>
            </c:multiLvlStrRef>
          </c:cat>
          <c:val>
            <c:numRef>
              <c:f>Hoja2!$I$3:$I$40</c:f>
              <c:numCache>
                <c:formatCode>#,##0</c:formatCode>
                <c:ptCount val="38"/>
                <c:pt idx="0">
                  <c:v>12167.924503363776</c:v>
                </c:pt>
                <c:pt idx="1">
                  <c:v>12305.997793190416</c:v>
                </c:pt>
                <c:pt idx="2">
                  <c:v>11821.754945182063</c:v>
                </c:pt>
                <c:pt idx="3">
                  <c:v>12264.286824516865</c:v>
                </c:pt>
                <c:pt idx="4">
                  <c:v>13257.093857187403</c:v>
                </c:pt>
                <c:pt idx="5">
                  <c:v>12942.078627812045</c:v>
                </c:pt>
                <c:pt idx="6">
                  <c:v>13183.542186655688</c:v>
                </c:pt>
                <c:pt idx="7">
                  <c:v>12845.235218558037</c:v>
                </c:pt>
                <c:pt idx="8">
                  <c:v>13489.716303301151</c:v>
                </c:pt>
                <c:pt idx="9">
                  <c:v>13874.704407448338</c:v>
                </c:pt>
                <c:pt idx="10">
                  <c:v>13859.432580553719</c:v>
                </c:pt>
                <c:pt idx="11">
                  <c:v>13914.007027747486</c:v>
                </c:pt>
                <c:pt idx="12">
                  <c:v>14920.672137553731</c:v>
                </c:pt>
                <c:pt idx="13">
                  <c:v>14798.330145652495</c:v>
                </c:pt>
                <c:pt idx="14">
                  <c:v>14837.603827658231</c:v>
                </c:pt>
                <c:pt idx="15">
                  <c:v>15146.896083961017</c:v>
                </c:pt>
                <c:pt idx="16">
                  <c:v>15399.264102797777</c:v>
                </c:pt>
                <c:pt idx="17">
                  <c:v>15917.981036474475</c:v>
                </c:pt>
                <c:pt idx="18">
                  <c:v>15302.027027027028</c:v>
                </c:pt>
                <c:pt idx="19">
                  <c:v>15497.201635423173</c:v>
                </c:pt>
                <c:pt idx="20">
                  <c:v>16564.918363415931</c:v>
                </c:pt>
                <c:pt idx="21">
                  <c:v>14782.80880303374</c:v>
                </c:pt>
                <c:pt idx="22">
                  <c:v>15343.091776000691</c:v>
                </c:pt>
                <c:pt idx="23">
                  <c:v>15737.24923669597</c:v>
                </c:pt>
                <c:pt idx="24">
                  <c:v>16592.508064025318</c:v>
                </c:pt>
                <c:pt idx="25">
                  <c:v>15795.503052563656</c:v>
                </c:pt>
                <c:pt idx="26">
                  <c:v>18960.966144004993</c:v>
                </c:pt>
                <c:pt idx="27">
                  <c:v>22829.975263530643</c:v>
                </c:pt>
                <c:pt idx="28">
                  <c:v>23077.001380783924</c:v>
                </c:pt>
                <c:pt idx="29">
                  <c:v>25133.142823240913</c:v>
                </c:pt>
                <c:pt idx="30">
                  <c:v>24257.228921772468</c:v>
                </c:pt>
                <c:pt idx="31">
                  <c:v>26562.367144773503</c:v>
                </c:pt>
                <c:pt idx="32">
                  <c:v>26236.885296989589</c:v>
                </c:pt>
                <c:pt idx="33">
                  <c:v>26181.2441284999</c:v>
                </c:pt>
                <c:pt idx="34">
                  <c:v>25455.67144719687</c:v>
                </c:pt>
                <c:pt idx="35">
                  <c:v>29327.404497549356</c:v>
                </c:pt>
                <c:pt idx="36">
                  <c:v>28087.305808257523</c:v>
                </c:pt>
                <c:pt idx="37">
                  <c:v>28577.385119946939</c:v>
                </c:pt>
              </c:numCache>
            </c:numRef>
          </c:val>
          <c:smooth val="0"/>
          <c:extLst>
            <c:ext xmlns:c16="http://schemas.microsoft.com/office/drawing/2014/chart" uri="{C3380CC4-5D6E-409C-BE32-E72D297353CC}">
              <c16:uniqueId val="{00000000-AF5D-5943-882A-6AC33650A4F8}"/>
            </c:ext>
          </c:extLst>
        </c:ser>
        <c:dLbls>
          <c:showLegendKey val="0"/>
          <c:showVal val="0"/>
          <c:showCatName val="0"/>
          <c:showSerName val="0"/>
          <c:showPercent val="0"/>
          <c:showBubbleSize val="0"/>
        </c:dLbls>
        <c:smooth val="0"/>
        <c:axId val="1118679264"/>
        <c:axId val="1118537536"/>
      </c:lineChart>
      <c:catAx>
        <c:axId val="111867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18537536"/>
        <c:crosses val="autoZero"/>
        <c:auto val="1"/>
        <c:lblAlgn val="ctr"/>
        <c:lblOffset val="100"/>
        <c:noMultiLvlLbl val="0"/>
      </c:catAx>
      <c:valAx>
        <c:axId val="1118537536"/>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1867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Hoja1!$B$21</c:f>
              <c:strCache>
                <c:ptCount val="1"/>
                <c:pt idx="0">
                  <c:v>28,396</c:v>
                </c:pt>
              </c:strCache>
            </c:strRef>
          </c:tx>
          <c:spPr>
            <a:solidFill>
              <a:schemeClr val="bg2">
                <a:lumMod val="90000"/>
              </a:schemeClr>
            </a:solidFill>
            <a:ln>
              <a:noFill/>
            </a:ln>
            <a:effectLst/>
          </c:spPr>
          <c:invertIfNegative val="0"/>
          <c:dPt>
            <c:idx val="4"/>
            <c:invertIfNegative val="0"/>
            <c:bubble3D val="0"/>
            <c:spPr>
              <a:solidFill>
                <a:schemeClr val="bg2">
                  <a:lumMod val="90000"/>
                </a:schemeClr>
              </a:solidFill>
              <a:ln>
                <a:noFill/>
              </a:ln>
              <a:effectLst/>
            </c:spPr>
            <c:extLst>
              <c:ext xmlns:c16="http://schemas.microsoft.com/office/drawing/2014/chart" uri="{C3380CC4-5D6E-409C-BE32-E72D297353CC}">
                <c16:uniqueId val="{00000001-F48A-B94D-A55B-02328D68B231}"/>
              </c:ext>
            </c:extLst>
          </c:dPt>
          <c:dPt>
            <c:idx val="13"/>
            <c:invertIfNegative val="0"/>
            <c:bubble3D val="0"/>
            <c:spPr>
              <a:solidFill>
                <a:schemeClr val="bg2">
                  <a:lumMod val="90000"/>
                </a:schemeClr>
              </a:solidFill>
              <a:ln>
                <a:noFill/>
              </a:ln>
              <a:effectLst/>
            </c:spPr>
            <c:extLst>
              <c:ext xmlns:c16="http://schemas.microsoft.com/office/drawing/2014/chart" uri="{C3380CC4-5D6E-409C-BE32-E72D297353CC}">
                <c16:uniqueId val="{00000003-F48A-B94D-A55B-02328D68B231}"/>
              </c:ext>
            </c:extLst>
          </c:dPt>
          <c:dPt>
            <c:idx val="14"/>
            <c:invertIfNegative val="0"/>
            <c:bubble3D val="0"/>
            <c:spPr>
              <a:solidFill>
                <a:schemeClr val="bg2">
                  <a:lumMod val="90000"/>
                </a:schemeClr>
              </a:solidFill>
              <a:ln>
                <a:noFill/>
              </a:ln>
              <a:effectLst/>
            </c:spPr>
            <c:extLst>
              <c:ext xmlns:c16="http://schemas.microsoft.com/office/drawing/2014/chart" uri="{C3380CC4-5D6E-409C-BE32-E72D297353CC}">
                <c16:uniqueId val="{00000005-F48A-B94D-A55B-02328D68B231}"/>
              </c:ext>
            </c:extLst>
          </c:dPt>
          <c:dPt>
            <c:idx val="15"/>
            <c:invertIfNegative val="0"/>
            <c:bubble3D val="0"/>
            <c:spPr>
              <a:solidFill>
                <a:schemeClr val="bg2">
                  <a:lumMod val="90000"/>
                </a:schemeClr>
              </a:solidFill>
              <a:ln>
                <a:noFill/>
              </a:ln>
              <a:effectLst/>
            </c:spPr>
            <c:extLst>
              <c:ext xmlns:c16="http://schemas.microsoft.com/office/drawing/2014/chart" uri="{C3380CC4-5D6E-409C-BE32-E72D297353CC}">
                <c16:uniqueId val="{00000007-F48A-B94D-A55B-02328D68B231}"/>
              </c:ext>
            </c:extLst>
          </c:dPt>
          <c:dPt>
            <c:idx val="16"/>
            <c:invertIfNegative val="0"/>
            <c:bubble3D val="0"/>
            <c:spPr>
              <a:solidFill>
                <a:schemeClr val="bg2">
                  <a:lumMod val="90000"/>
                </a:schemeClr>
              </a:solidFill>
              <a:ln>
                <a:noFill/>
              </a:ln>
              <a:effectLst/>
            </c:spPr>
            <c:extLst>
              <c:ext xmlns:c16="http://schemas.microsoft.com/office/drawing/2014/chart" uri="{C3380CC4-5D6E-409C-BE32-E72D297353CC}">
                <c16:uniqueId val="{00000009-F48A-B94D-A55B-02328D68B231}"/>
              </c:ext>
            </c:extLst>
          </c:dPt>
          <c:dPt>
            <c:idx val="17"/>
            <c:invertIfNegative val="0"/>
            <c:bubble3D val="0"/>
            <c:spPr>
              <a:solidFill>
                <a:schemeClr val="bg2">
                  <a:lumMod val="90000"/>
                </a:schemeClr>
              </a:solidFill>
              <a:ln>
                <a:noFill/>
              </a:ln>
              <a:effectLst/>
            </c:spPr>
            <c:extLst>
              <c:ext xmlns:c16="http://schemas.microsoft.com/office/drawing/2014/chart" uri="{C3380CC4-5D6E-409C-BE32-E72D297353CC}">
                <c16:uniqueId val="{0000000B-F48A-B94D-A55B-02328D68B231}"/>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D-F48A-B94D-A55B-02328D68B231}"/>
              </c:ext>
            </c:extLst>
          </c:dPt>
          <c:dLbls>
            <c:dLbl>
              <c:idx val="0"/>
              <c:layout>
                <c:manualLayout>
                  <c:x val="2.7777777777777779E-3"/>
                  <c:y val="1.0699785917678685E-2"/>
                </c:manualLayout>
              </c:layout>
              <c:tx>
                <c:rich>
                  <a:bodyPr/>
                  <a:lstStyle/>
                  <a:p>
                    <a:fld id="{04855F62-8673-4386-9D3C-EB71BA6F4CB7}" type="VALUE">
                      <a:rPr lang="en-US">
                        <a:solidFill>
                          <a:sysClr val="windowText" lastClr="000000"/>
                        </a:solidFill>
                      </a:rPr>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48A-B94D-A55B-02328D68B231}"/>
                </c:ext>
              </c:extLst>
            </c:dLbl>
            <c:dLbl>
              <c:idx val="1"/>
              <c:layout>
                <c:manualLayout>
                  <c:x val="-1.3888888888888889E-3"/>
                  <c:y val="0.2111611720046120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8A-B94D-A55B-02328D68B231}"/>
                </c:ext>
              </c:extLst>
            </c:dLbl>
            <c:dLbl>
              <c:idx val="2"/>
              <c:layout>
                <c:manualLayout>
                  <c:x val="0"/>
                  <c:y val="0.210019613324221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8A-B94D-A55B-02328D68B231}"/>
                </c:ext>
              </c:extLst>
            </c:dLbl>
            <c:dLbl>
              <c:idx val="3"/>
              <c:layout>
                <c:manualLayout>
                  <c:x val="-2.5462668816039986E-17"/>
                  <c:y val="0.217568704359555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8A-B94D-A55B-02328D68B231}"/>
                </c:ext>
              </c:extLst>
            </c:dLbl>
            <c:dLbl>
              <c:idx val="4"/>
              <c:layout>
                <c:manualLayout>
                  <c:x val="-2.5462668816039986E-17"/>
                  <c:y val="0.212009603438136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8A-B94D-A55B-02328D68B231}"/>
                </c:ext>
              </c:extLst>
            </c:dLbl>
            <c:dLbl>
              <c:idx val="14"/>
              <c:layout>
                <c:manualLayout>
                  <c:x val="0"/>
                  <c:y val="0.2100361529063075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8A-B94D-A55B-02328D68B231}"/>
                </c:ext>
              </c:extLst>
            </c:dLbl>
            <c:dLbl>
              <c:idx val="15"/>
              <c:layout>
                <c:manualLayout>
                  <c:x val="0"/>
                  <c:y val="0.2061293726110743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8A-B94D-A55B-02328D68B231}"/>
                </c:ext>
              </c:extLst>
            </c:dLbl>
            <c:dLbl>
              <c:idx val="16"/>
              <c:layout>
                <c:manualLayout>
                  <c:x val="-1.3888888888888889E-3"/>
                  <c:y val="0.2173276522325242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8A-B94D-A55B-02328D68B231}"/>
                </c:ext>
              </c:extLst>
            </c:dLbl>
            <c:dLbl>
              <c:idx val="17"/>
              <c:layout>
                <c:manualLayout>
                  <c:x val="0"/>
                  <c:y val="0.214528041387602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8A-B94D-A55B-02328D68B231}"/>
                </c:ext>
              </c:extLst>
            </c:dLbl>
            <c:dLbl>
              <c:idx val="19"/>
              <c:layout>
                <c:manualLayout>
                  <c:x val="0"/>
                  <c:y val="1.3594227398380159E-2"/>
                </c:manualLayout>
              </c:layout>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8A-B94D-A55B-02328D68B231}"/>
                </c:ext>
              </c:extLst>
            </c:dLbl>
            <c:spPr>
              <a:noFill/>
              <a:ln>
                <a:noFill/>
              </a:ln>
              <a:effectLst/>
            </c:spPr>
            <c:txPr>
              <a:bodyPr rot="-5400000" spcFirstLastPara="1" vertOverflow="ellipsis" wrap="square" anchor="ctr" anchorCtr="1"/>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Hoja1!$A$24:$A$43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Hoja1!$B$24:$B$43</c:f>
              <c:numCache>
                <c:formatCode>#,##0</c:formatCode>
                <c:ptCount val="20"/>
                <c:pt idx="0">
                  <c:v>38046</c:v>
                </c:pt>
                <c:pt idx="1">
                  <c:v>212883</c:v>
                </c:pt>
                <c:pt idx="2">
                  <c:v>192455</c:v>
                </c:pt>
                <c:pt idx="3">
                  <c:v>204628</c:v>
                </c:pt>
                <c:pt idx="4">
                  <c:v>151700</c:v>
                </c:pt>
                <c:pt idx="5">
                  <c:v>235959</c:v>
                </c:pt>
                <c:pt idx="6">
                  <c:v>243058</c:v>
                </c:pt>
                <c:pt idx="7">
                  <c:v>226191</c:v>
                </c:pt>
                <c:pt idx="8">
                  <c:v>290057</c:v>
                </c:pt>
                <c:pt idx="9">
                  <c:v>240531</c:v>
                </c:pt>
                <c:pt idx="10">
                  <c:v>247793</c:v>
                </c:pt>
                <c:pt idx="11">
                  <c:v>260005</c:v>
                </c:pt>
                <c:pt idx="12">
                  <c:v>195979</c:v>
                </c:pt>
                <c:pt idx="13">
                  <c:v>156248</c:v>
                </c:pt>
                <c:pt idx="14">
                  <c:v>180572</c:v>
                </c:pt>
                <c:pt idx="15">
                  <c:v>112865</c:v>
                </c:pt>
                <c:pt idx="16">
                  <c:v>116414</c:v>
                </c:pt>
                <c:pt idx="17">
                  <c:v>175209</c:v>
                </c:pt>
                <c:pt idx="18">
                  <c:v>206100</c:v>
                </c:pt>
                <c:pt idx="19">
                  <c:v>262278</c:v>
                </c:pt>
              </c:numCache>
            </c:numRef>
          </c:val>
          <c:extLst>
            <c:ext xmlns:c16="http://schemas.microsoft.com/office/drawing/2014/chart" uri="{C3380CC4-5D6E-409C-BE32-E72D297353CC}">
              <c16:uniqueId val="{00000012-F48A-B94D-A55B-02328D68B231}"/>
            </c:ext>
          </c:extLst>
        </c:ser>
        <c:dLbls>
          <c:dLblPos val="inEnd"/>
          <c:showLegendKey val="0"/>
          <c:showVal val="1"/>
          <c:showCatName val="0"/>
          <c:showSerName val="0"/>
          <c:showPercent val="0"/>
          <c:showBubbleSize val="0"/>
        </c:dLbls>
        <c:gapWidth val="80"/>
        <c:overlap val="25"/>
        <c:axId val="431212104"/>
        <c:axId val="431208968"/>
      </c:barChart>
      <c:catAx>
        <c:axId val="4312121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cap="none" spc="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1208968"/>
        <c:crosses val="autoZero"/>
        <c:auto val="1"/>
        <c:lblAlgn val="ctr"/>
        <c:lblOffset val="100"/>
        <c:noMultiLvlLbl val="0"/>
      </c:catAx>
      <c:valAx>
        <c:axId val="43120896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312121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54440964396181E-2"/>
          <c:y val="8.7420166229221372E-2"/>
          <c:w val="0.90991020174522796"/>
          <c:h val="0.56535761154855646"/>
        </c:manualLayout>
      </c:layout>
      <c:barChart>
        <c:barDir val="bar"/>
        <c:grouping val="percentStacked"/>
        <c:varyColors val="0"/>
        <c:ser>
          <c:idx val="0"/>
          <c:order val="0"/>
          <c:tx>
            <c:strRef>
              <c:f>Hoja3!$B$11</c:f>
              <c:strCache>
                <c:ptCount val="1"/>
                <c:pt idx="0">
                  <c:v>AGUA POTABLE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Hoja3!$A$12:$A$15</c:f>
              <c:numCache>
                <c:formatCode>General</c:formatCode>
                <c:ptCount val="4"/>
                <c:pt idx="0">
                  <c:v>2021</c:v>
                </c:pt>
                <c:pt idx="1">
                  <c:v>2022</c:v>
                </c:pt>
                <c:pt idx="2">
                  <c:v>2023</c:v>
                </c:pt>
                <c:pt idx="3">
                  <c:v>2024</c:v>
                </c:pt>
              </c:numCache>
            </c:numRef>
          </c:cat>
          <c:val>
            <c:numRef>
              <c:f>Hoja3!$B$12:$B$15</c:f>
              <c:numCache>
                <c:formatCode>0.0%</c:formatCode>
                <c:ptCount val="4"/>
                <c:pt idx="0">
                  <c:v>0.48275862068965519</c:v>
                </c:pt>
                <c:pt idx="1">
                  <c:v>0.59701492537313428</c:v>
                </c:pt>
                <c:pt idx="2">
                  <c:v>0.73076923076923073</c:v>
                </c:pt>
                <c:pt idx="3">
                  <c:v>3.0769230769230771E-2</c:v>
                </c:pt>
              </c:numCache>
            </c:numRef>
          </c:val>
          <c:extLst>
            <c:ext xmlns:c16="http://schemas.microsoft.com/office/drawing/2014/chart" uri="{C3380CC4-5D6E-409C-BE32-E72D297353CC}">
              <c16:uniqueId val="{00000000-96C6-ED4F-9C40-6EF4F3B5B4D7}"/>
            </c:ext>
          </c:extLst>
        </c:ser>
        <c:ser>
          <c:idx val="1"/>
          <c:order val="1"/>
          <c:tx>
            <c:strRef>
              <c:f>Hoja3!$C$11</c:f>
              <c:strCache>
                <c:ptCount val="1"/>
                <c:pt idx="0">
                  <c:v>ALCANTARILLADO</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96C6-ED4F-9C40-6EF4F3B5B4D7}"/>
                </c:ext>
              </c:extLst>
            </c:dLbl>
            <c:dLbl>
              <c:idx val="1"/>
              <c:delete val="1"/>
              <c:extLst>
                <c:ext xmlns:c15="http://schemas.microsoft.com/office/drawing/2012/chart" uri="{CE6537A1-D6FC-4f65-9D91-7224C49458BB}"/>
                <c:ext xmlns:c16="http://schemas.microsoft.com/office/drawing/2014/chart" uri="{C3380CC4-5D6E-409C-BE32-E72D297353CC}">
                  <c16:uniqueId val="{00000002-96C6-ED4F-9C40-6EF4F3B5B4D7}"/>
                </c:ext>
              </c:extLst>
            </c:dLbl>
            <c:dLbl>
              <c:idx val="2"/>
              <c:layout>
                <c:manualLayout>
                  <c:x val="-6.6088393225939698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C6-ED4F-9C40-6EF4F3B5B4D7}"/>
                </c:ext>
              </c:extLst>
            </c:dLbl>
            <c:dLbl>
              <c:idx val="3"/>
              <c:delete val="1"/>
              <c:extLst>
                <c:ext xmlns:c15="http://schemas.microsoft.com/office/drawing/2012/chart" uri="{CE6537A1-D6FC-4f65-9D91-7224C49458BB}"/>
                <c:ext xmlns:c16="http://schemas.microsoft.com/office/drawing/2014/chart" uri="{C3380CC4-5D6E-409C-BE32-E72D297353CC}">
                  <c16:uniqueId val="{00000004-96C6-ED4F-9C40-6EF4F3B5B4D7}"/>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Hoja3!$A$12:$A$15</c:f>
              <c:numCache>
                <c:formatCode>General</c:formatCode>
                <c:ptCount val="4"/>
                <c:pt idx="0">
                  <c:v>2021</c:v>
                </c:pt>
                <c:pt idx="1">
                  <c:v>2022</c:v>
                </c:pt>
                <c:pt idx="2">
                  <c:v>2023</c:v>
                </c:pt>
                <c:pt idx="3">
                  <c:v>2024</c:v>
                </c:pt>
              </c:numCache>
            </c:numRef>
          </c:cat>
          <c:val>
            <c:numRef>
              <c:f>Hoja3!$C$12:$C$15</c:f>
              <c:numCache>
                <c:formatCode>0.0%</c:formatCode>
                <c:ptCount val="4"/>
                <c:pt idx="0">
                  <c:v>0</c:v>
                </c:pt>
                <c:pt idx="1">
                  <c:v>0</c:v>
                </c:pt>
                <c:pt idx="2">
                  <c:v>2.564102564102564E-2</c:v>
                </c:pt>
                <c:pt idx="3">
                  <c:v>0</c:v>
                </c:pt>
              </c:numCache>
            </c:numRef>
          </c:val>
          <c:extLst>
            <c:ext xmlns:c16="http://schemas.microsoft.com/office/drawing/2014/chart" uri="{C3380CC4-5D6E-409C-BE32-E72D297353CC}">
              <c16:uniqueId val="{00000005-96C6-ED4F-9C40-6EF4F3B5B4D7}"/>
            </c:ext>
          </c:extLst>
        </c:ser>
        <c:ser>
          <c:idx val="2"/>
          <c:order val="2"/>
          <c:tx>
            <c:strRef>
              <c:f>Hoja3!$D$11</c:f>
              <c:strCache>
                <c:ptCount val="1"/>
                <c:pt idx="0">
                  <c:v>DRENAJE Y LETRINAS</c:v>
                </c:pt>
              </c:strCache>
            </c:strRef>
          </c:tx>
          <c:spPr>
            <a:solidFill>
              <a:schemeClr val="accent3"/>
            </a:solidFill>
            <a:ln>
              <a:noFill/>
            </a:ln>
            <a:effectLst/>
          </c:spPr>
          <c:invertIfNegative val="0"/>
          <c:dLbls>
            <c:dLbl>
              <c:idx val="1"/>
              <c:layout>
                <c:manualLayout>
                  <c:x val="0"/>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C6-ED4F-9C40-6EF4F3B5B4D7}"/>
                </c:ext>
              </c:extLst>
            </c:dLbl>
            <c:dLbl>
              <c:idx val="2"/>
              <c:layout>
                <c:manualLayout>
                  <c:x val="8.261049153242340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C6-ED4F-9C40-6EF4F3B5B4D7}"/>
                </c:ext>
              </c:extLst>
            </c:dLbl>
            <c:dLbl>
              <c:idx val="3"/>
              <c:delete val="1"/>
              <c:extLst>
                <c:ext xmlns:c15="http://schemas.microsoft.com/office/drawing/2012/chart" uri="{CE6537A1-D6FC-4f65-9D91-7224C49458BB}"/>
                <c:ext xmlns:c16="http://schemas.microsoft.com/office/drawing/2014/chart" uri="{C3380CC4-5D6E-409C-BE32-E72D297353CC}">
                  <c16:uniqueId val="{00000008-96C6-ED4F-9C40-6EF4F3B5B4D7}"/>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Hoja3!$A$12:$A$15</c:f>
              <c:numCache>
                <c:formatCode>General</c:formatCode>
                <c:ptCount val="4"/>
                <c:pt idx="0">
                  <c:v>2021</c:v>
                </c:pt>
                <c:pt idx="1">
                  <c:v>2022</c:v>
                </c:pt>
                <c:pt idx="2">
                  <c:v>2023</c:v>
                </c:pt>
                <c:pt idx="3">
                  <c:v>2024</c:v>
                </c:pt>
              </c:numCache>
            </c:numRef>
          </c:cat>
          <c:val>
            <c:numRef>
              <c:f>Hoja3!$D$12:$D$15</c:f>
              <c:numCache>
                <c:formatCode>0.0%</c:formatCode>
                <c:ptCount val="4"/>
                <c:pt idx="0">
                  <c:v>6.8965517241379309E-2</c:v>
                </c:pt>
                <c:pt idx="1">
                  <c:v>7.462686567164179E-3</c:v>
                </c:pt>
                <c:pt idx="2">
                  <c:v>2.564102564102564E-2</c:v>
                </c:pt>
                <c:pt idx="3">
                  <c:v>0</c:v>
                </c:pt>
              </c:numCache>
            </c:numRef>
          </c:val>
          <c:extLst>
            <c:ext xmlns:c16="http://schemas.microsoft.com/office/drawing/2014/chart" uri="{C3380CC4-5D6E-409C-BE32-E72D297353CC}">
              <c16:uniqueId val="{00000009-96C6-ED4F-9C40-6EF4F3B5B4D7}"/>
            </c:ext>
          </c:extLst>
        </c:ser>
        <c:ser>
          <c:idx val="3"/>
          <c:order val="3"/>
          <c:tx>
            <c:strRef>
              <c:f>Hoja3!$E$11</c:f>
              <c:strCache>
                <c:ptCount val="1"/>
                <c:pt idx="0">
                  <c:v>MEJORAMIENTO DE VIVIENDA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96C6-ED4F-9C40-6EF4F3B5B4D7}"/>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Hoja3!$A$12:$A$15</c:f>
              <c:numCache>
                <c:formatCode>General</c:formatCode>
                <c:ptCount val="4"/>
                <c:pt idx="0">
                  <c:v>2021</c:v>
                </c:pt>
                <c:pt idx="1">
                  <c:v>2022</c:v>
                </c:pt>
                <c:pt idx="2">
                  <c:v>2023</c:v>
                </c:pt>
                <c:pt idx="3">
                  <c:v>2024</c:v>
                </c:pt>
              </c:numCache>
            </c:numRef>
          </c:cat>
          <c:val>
            <c:numRef>
              <c:f>Hoja3!$E$12:$E$15</c:f>
              <c:numCache>
                <c:formatCode>0.0%</c:formatCode>
                <c:ptCount val="4"/>
                <c:pt idx="0">
                  <c:v>0</c:v>
                </c:pt>
                <c:pt idx="1">
                  <c:v>0.28358208955223879</c:v>
                </c:pt>
                <c:pt idx="2">
                  <c:v>0.12820512820512819</c:v>
                </c:pt>
                <c:pt idx="3">
                  <c:v>0.75384615384615383</c:v>
                </c:pt>
              </c:numCache>
            </c:numRef>
          </c:val>
          <c:extLst>
            <c:ext xmlns:c16="http://schemas.microsoft.com/office/drawing/2014/chart" uri="{C3380CC4-5D6E-409C-BE32-E72D297353CC}">
              <c16:uniqueId val="{0000000B-96C6-ED4F-9C40-6EF4F3B5B4D7}"/>
            </c:ext>
          </c:extLst>
        </c:ser>
        <c:ser>
          <c:idx val="4"/>
          <c:order val="4"/>
          <c:tx>
            <c:strRef>
              <c:f>Hoja3!$F$11</c:f>
              <c:strCache>
                <c:ptCount val="1"/>
                <c:pt idx="0">
                  <c:v>PAVIMENTACIÓN</c:v>
                </c:pt>
              </c:strCache>
            </c:strRef>
          </c:tx>
          <c:spPr>
            <a:solidFill>
              <a:schemeClr val="accent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C-96C6-ED4F-9C40-6EF4F3B5B4D7}"/>
                </c:ext>
              </c:extLst>
            </c:dLbl>
            <c:dLbl>
              <c:idx val="2"/>
              <c:delete val="1"/>
              <c:extLst>
                <c:ext xmlns:c15="http://schemas.microsoft.com/office/drawing/2012/chart" uri="{CE6537A1-D6FC-4f65-9D91-7224C49458BB}"/>
                <c:ext xmlns:c16="http://schemas.microsoft.com/office/drawing/2014/chart" uri="{C3380CC4-5D6E-409C-BE32-E72D297353CC}">
                  <c16:uniqueId val="{0000000D-96C6-ED4F-9C40-6EF4F3B5B4D7}"/>
                </c:ext>
              </c:extLst>
            </c:dLbl>
            <c:dLbl>
              <c:idx val="3"/>
              <c:delete val="1"/>
              <c:extLst>
                <c:ext xmlns:c15="http://schemas.microsoft.com/office/drawing/2012/chart" uri="{CE6537A1-D6FC-4f65-9D91-7224C49458BB}"/>
                <c:ext xmlns:c16="http://schemas.microsoft.com/office/drawing/2014/chart" uri="{C3380CC4-5D6E-409C-BE32-E72D297353CC}">
                  <c16:uniqueId val="{0000000E-96C6-ED4F-9C40-6EF4F3B5B4D7}"/>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Hoja3!$A$12:$A$15</c:f>
              <c:numCache>
                <c:formatCode>General</c:formatCode>
                <c:ptCount val="4"/>
                <c:pt idx="0">
                  <c:v>2021</c:v>
                </c:pt>
                <c:pt idx="1">
                  <c:v>2022</c:v>
                </c:pt>
                <c:pt idx="2">
                  <c:v>2023</c:v>
                </c:pt>
                <c:pt idx="3">
                  <c:v>2024</c:v>
                </c:pt>
              </c:numCache>
            </c:numRef>
          </c:cat>
          <c:val>
            <c:numRef>
              <c:f>Hoja3!$F$12:$F$15</c:f>
              <c:numCache>
                <c:formatCode>0.0%</c:formatCode>
                <c:ptCount val="4"/>
                <c:pt idx="0">
                  <c:v>3.4482758620689655E-2</c:v>
                </c:pt>
                <c:pt idx="1">
                  <c:v>0</c:v>
                </c:pt>
                <c:pt idx="2">
                  <c:v>0</c:v>
                </c:pt>
                <c:pt idx="3">
                  <c:v>0</c:v>
                </c:pt>
              </c:numCache>
            </c:numRef>
          </c:val>
          <c:extLst>
            <c:ext xmlns:c16="http://schemas.microsoft.com/office/drawing/2014/chart" uri="{C3380CC4-5D6E-409C-BE32-E72D297353CC}">
              <c16:uniqueId val="{0000000F-96C6-ED4F-9C40-6EF4F3B5B4D7}"/>
            </c:ext>
          </c:extLst>
        </c:ser>
        <c:ser>
          <c:idx val="5"/>
          <c:order val="5"/>
          <c:tx>
            <c:strRef>
              <c:f>Hoja3!$G$11</c:f>
              <c:strCache>
                <c:ptCount val="1"/>
                <c:pt idx="0">
                  <c:v>URBANIZACiÓN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Hoja3!$A$12:$A$15</c:f>
              <c:numCache>
                <c:formatCode>General</c:formatCode>
                <c:ptCount val="4"/>
                <c:pt idx="0">
                  <c:v>2021</c:v>
                </c:pt>
                <c:pt idx="1">
                  <c:v>2022</c:v>
                </c:pt>
                <c:pt idx="2">
                  <c:v>2023</c:v>
                </c:pt>
                <c:pt idx="3">
                  <c:v>2024</c:v>
                </c:pt>
              </c:numCache>
            </c:numRef>
          </c:cat>
          <c:val>
            <c:numRef>
              <c:f>Hoja3!$G$12:$G$15</c:f>
              <c:numCache>
                <c:formatCode>0.0%</c:formatCode>
                <c:ptCount val="4"/>
                <c:pt idx="0">
                  <c:v>0.41379310344827586</c:v>
                </c:pt>
                <c:pt idx="1">
                  <c:v>0.11194029850746269</c:v>
                </c:pt>
                <c:pt idx="2">
                  <c:v>8.9743589743589744E-2</c:v>
                </c:pt>
                <c:pt idx="3">
                  <c:v>0.2153846153846154</c:v>
                </c:pt>
              </c:numCache>
            </c:numRef>
          </c:val>
          <c:extLst>
            <c:ext xmlns:c16="http://schemas.microsoft.com/office/drawing/2014/chart" uri="{C3380CC4-5D6E-409C-BE32-E72D297353CC}">
              <c16:uniqueId val="{00000010-96C6-ED4F-9C40-6EF4F3B5B4D7}"/>
            </c:ext>
          </c:extLst>
        </c:ser>
        <c:dLbls>
          <c:showLegendKey val="0"/>
          <c:showVal val="1"/>
          <c:showCatName val="0"/>
          <c:showSerName val="0"/>
          <c:showPercent val="0"/>
          <c:showBubbleSize val="0"/>
        </c:dLbls>
        <c:gapWidth val="95"/>
        <c:overlap val="100"/>
        <c:axId val="1454087103"/>
        <c:axId val="1754016799"/>
      </c:barChart>
      <c:catAx>
        <c:axId val="1454087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54016799"/>
        <c:crosses val="autoZero"/>
        <c:auto val="1"/>
        <c:lblAlgn val="ctr"/>
        <c:lblOffset val="100"/>
        <c:noMultiLvlLbl val="0"/>
      </c:catAx>
      <c:valAx>
        <c:axId val="1754016799"/>
        <c:scaling>
          <c:orientation val="minMax"/>
        </c:scaling>
        <c:delete val="1"/>
        <c:axPos val="b"/>
        <c:numFmt formatCode="0%" sourceLinked="1"/>
        <c:majorTickMark val="none"/>
        <c:minorTickMark val="none"/>
        <c:tickLblPos val="nextTo"/>
        <c:crossAx val="1454087103"/>
        <c:crosses val="autoZero"/>
        <c:crossBetween val="between"/>
      </c:valAx>
      <c:spPr>
        <a:noFill/>
        <a:ln>
          <a:noFill/>
        </a:ln>
        <a:effectLst/>
      </c:spPr>
    </c:plotArea>
    <c:legend>
      <c:legendPos val="t"/>
      <c:layout>
        <c:manualLayout>
          <c:xMode val="edge"/>
          <c:yMode val="edge"/>
          <c:x val="0.18261055658005573"/>
          <c:y val="0.67386592300962367"/>
          <c:w val="0.62156107809943828"/>
          <c:h val="0.1975853018372703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'g1'!$A$2:$A$5</c:f>
              <c:numCache>
                <c:formatCode>General</c:formatCode>
                <c:ptCount val="4"/>
                <c:pt idx="0">
                  <c:v>2017</c:v>
                </c:pt>
                <c:pt idx="1">
                  <c:v>2019</c:v>
                </c:pt>
                <c:pt idx="2">
                  <c:v>2021</c:v>
                </c:pt>
                <c:pt idx="3">
                  <c:v>2023</c:v>
                </c:pt>
              </c:numCache>
            </c:numRef>
          </c:cat>
          <c:val>
            <c:numRef>
              <c:f>'g1'!$B$2:$B$5</c:f>
              <c:numCache>
                <c:formatCode>General</c:formatCode>
                <c:ptCount val="4"/>
                <c:pt idx="0">
                  <c:v>31.9</c:v>
                </c:pt>
                <c:pt idx="1">
                  <c:v>41.3</c:v>
                </c:pt>
                <c:pt idx="2">
                  <c:v>42.5</c:v>
                </c:pt>
                <c:pt idx="3">
                  <c:v>56.3</c:v>
                </c:pt>
              </c:numCache>
            </c:numRef>
          </c:val>
          <c:extLst>
            <c:ext xmlns:c16="http://schemas.microsoft.com/office/drawing/2014/chart" uri="{C3380CC4-5D6E-409C-BE32-E72D297353CC}">
              <c16:uniqueId val="{00000000-97FA-C847-8F8F-3105E2272EE4}"/>
            </c:ext>
          </c:extLst>
        </c:ser>
        <c:dLbls>
          <c:showLegendKey val="0"/>
          <c:showVal val="0"/>
          <c:showCatName val="0"/>
          <c:showSerName val="0"/>
          <c:showPercent val="0"/>
          <c:showBubbleSize val="0"/>
        </c:dLbls>
        <c:gapWidth val="50"/>
        <c:axId val="235709023"/>
        <c:axId val="162239263"/>
      </c:barChart>
      <c:catAx>
        <c:axId val="2357090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62239263"/>
        <c:crosses val="autoZero"/>
        <c:auto val="1"/>
        <c:lblAlgn val="ctr"/>
        <c:lblOffset val="100"/>
        <c:noMultiLvlLbl val="0"/>
      </c:catAx>
      <c:valAx>
        <c:axId val="162239263"/>
        <c:scaling>
          <c:orientation val="minMax"/>
        </c:scaling>
        <c:delete val="1"/>
        <c:axPos val="l"/>
        <c:numFmt formatCode="General" sourceLinked="1"/>
        <c:majorTickMark val="none"/>
        <c:minorTickMark val="none"/>
        <c:tickLblPos val="nextTo"/>
        <c:crossAx val="235709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'g2'!$E$3</c:f>
              <c:strCache>
                <c:ptCount val="1"/>
                <c:pt idx="0">
                  <c:v>Ingreso propio</c:v>
                </c:pt>
              </c:strCache>
            </c:strRef>
          </c:tx>
          <c:spPr>
            <a:solidFill>
              <a:srgbClr val="00CC99"/>
            </a:solidFill>
            <a:ln>
              <a:noFill/>
            </a:ln>
            <a:effectLst/>
          </c:spPr>
          <c:invertIfNegative val="0"/>
          <c:dLbls>
            <c:dLbl>
              <c:idx val="0"/>
              <c:tx>
                <c:rich>
                  <a:bodyPr/>
                  <a:lstStyle/>
                  <a:p>
                    <a:fld id="{5BE9715B-A200-4DC4-85D2-D6D9FC89025F}" type="CELLRANGE">
                      <a:rPr lang="en-US" baseline="0"/>
                      <a:pPr/>
                      <a:t>[CELLRANGE]</a:t>
                    </a:fld>
                    <a:r>
                      <a:rPr lang="en-US" baseline="0"/>
                      <a:t>, </a:t>
                    </a:r>
                    <a:fld id="{2CE35CDA-78BB-458D-9E16-51E74F865765}"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0.12311111111111112"/>
                      <c:h val="0.17122703412073489"/>
                    </c:manualLayout>
                  </c15:layout>
                  <c15:dlblFieldTable/>
                  <c15:showDataLabelsRange val="1"/>
                </c:ext>
                <c:ext xmlns:c16="http://schemas.microsoft.com/office/drawing/2014/chart" uri="{C3380CC4-5D6E-409C-BE32-E72D297353CC}">
                  <c16:uniqueId val="{00000000-EE8C-5F4B-A3CE-F68E93D7FB07}"/>
                </c:ext>
              </c:extLst>
            </c:dLbl>
            <c:dLbl>
              <c:idx val="1"/>
              <c:tx>
                <c:rich>
                  <a:bodyPr/>
                  <a:lstStyle/>
                  <a:p>
                    <a:fld id="{B9AD5549-8DE4-48B8-902B-906803E86EE5}" type="CELLRANGE">
                      <a:rPr lang="en-US" baseline="0"/>
                      <a:pPr/>
                      <a:t>[CELLRANGE]</a:t>
                    </a:fld>
                    <a:r>
                      <a:rPr lang="en-US" baseline="0"/>
                      <a:t>, </a:t>
                    </a:r>
                    <a:fld id="{95C3399F-ADA2-4E58-8474-74B490C354B2}"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0.11428628005861405"/>
                      <c:h val="0.19414402260664315"/>
                    </c:manualLayout>
                  </c15:layout>
                  <c15:dlblFieldTable/>
                  <c15:showDataLabelsRange val="1"/>
                </c:ext>
                <c:ext xmlns:c16="http://schemas.microsoft.com/office/drawing/2014/chart" uri="{C3380CC4-5D6E-409C-BE32-E72D297353CC}">
                  <c16:uniqueId val="{00000001-EE8C-5F4B-A3CE-F68E93D7FB07}"/>
                </c:ext>
              </c:extLst>
            </c:dLbl>
            <c:dLbl>
              <c:idx val="2"/>
              <c:tx>
                <c:rich>
                  <a:bodyPr/>
                  <a:lstStyle/>
                  <a:p>
                    <a:fld id="{F124F7F9-1A77-4A48-BC34-0F3CF9B33006}" type="CELLRANGE">
                      <a:rPr lang="en-US" baseline="0"/>
                      <a:pPr/>
                      <a:t>[CELLRANGE]</a:t>
                    </a:fld>
                    <a:r>
                      <a:rPr lang="en-US" baseline="0"/>
                      <a:t>, </a:t>
                    </a:r>
                    <a:fld id="{3F72B898-284E-457F-8293-A52ED7814C34}"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0.10922222222222222"/>
                      <c:h val="0.16196777486147565"/>
                    </c:manualLayout>
                  </c15:layout>
                  <c15:dlblFieldTable/>
                  <c15:showDataLabelsRange val="1"/>
                </c:ext>
                <c:ext xmlns:c16="http://schemas.microsoft.com/office/drawing/2014/chart" uri="{C3380CC4-5D6E-409C-BE32-E72D297353CC}">
                  <c16:uniqueId val="{00000002-EE8C-5F4B-A3CE-F68E93D7FB07}"/>
                </c:ext>
              </c:extLst>
            </c:dLbl>
            <c:dLbl>
              <c:idx val="3"/>
              <c:tx>
                <c:rich>
                  <a:bodyPr/>
                  <a:lstStyle/>
                  <a:p>
                    <a:fld id="{483BF1CE-2C0A-4190-9E83-51ECEAFC6128}" type="CELLRANGE">
                      <a:rPr lang="en-US" baseline="0"/>
                      <a:pPr/>
                      <a:t>[CELLRANGE]</a:t>
                    </a:fld>
                    <a:r>
                      <a:rPr lang="en-US" baseline="0"/>
                      <a:t>, </a:t>
                    </a:r>
                    <a:fld id="{635904D4-A03F-4388-8528-FE3DFB1232ED}"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8.4222222222222226E-2"/>
                      <c:h val="0.13881962671332748"/>
                    </c:manualLayout>
                  </c15:layout>
                  <c15:dlblFieldTable/>
                  <c15:showDataLabelsRange val="1"/>
                </c:ext>
                <c:ext xmlns:c16="http://schemas.microsoft.com/office/drawing/2014/chart" uri="{C3380CC4-5D6E-409C-BE32-E72D297353CC}">
                  <c16:uniqueId val="{00000003-EE8C-5F4B-A3CE-F68E93D7FB07}"/>
                </c:ext>
              </c:extLst>
            </c:dLbl>
            <c:dLbl>
              <c:idx val="4"/>
              <c:layout>
                <c:manualLayout>
                  <c:x val="-8.6736173798840355E-19"/>
                  <c:y val="1.3888888888888888E-2"/>
                </c:manualLayout>
              </c:layout>
              <c:tx>
                <c:rich>
                  <a:bodyPr/>
                  <a:lstStyle/>
                  <a:p>
                    <a:fld id="{3904CA6C-06D8-4CC8-A466-2609D5629933}" type="CELLRANGE">
                      <a:rPr lang="en-US" baseline="0"/>
                      <a:pPr/>
                      <a:t>[CELLRANGE]</a:t>
                    </a:fld>
                    <a:r>
                      <a:rPr lang="en-US" baseline="0"/>
                      <a:t>, </a:t>
                    </a:r>
                    <a:fld id="{E94A9252-33E2-4C70-BA6C-FBD0CD599059}"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8.4222222222222226E-2"/>
                      <c:h val="0.15733814523184603"/>
                    </c:manualLayout>
                  </c15:layout>
                  <c15:dlblFieldTable/>
                  <c15:showDataLabelsRange val="1"/>
                </c:ext>
                <c:ext xmlns:c16="http://schemas.microsoft.com/office/drawing/2014/chart" uri="{C3380CC4-5D6E-409C-BE32-E72D297353CC}">
                  <c16:uniqueId val="{00000004-EE8C-5F4B-A3CE-F68E93D7FB0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'g2'!$B$4:$B$8</c:f>
              <c:numCache>
                <c:formatCode>General</c:formatCode>
                <c:ptCount val="5"/>
                <c:pt idx="0">
                  <c:v>2020</c:v>
                </c:pt>
                <c:pt idx="1">
                  <c:v>2021</c:v>
                </c:pt>
                <c:pt idx="2">
                  <c:v>2022</c:v>
                </c:pt>
                <c:pt idx="3">
                  <c:v>2023</c:v>
                </c:pt>
                <c:pt idx="4">
                  <c:v>2024</c:v>
                </c:pt>
              </c:numCache>
            </c:numRef>
          </c:cat>
          <c:val>
            <c:numRef>
              <c:f>'g2'!$C$4:$C$8</c:f>
              <c:numCache>
                <c:formatCode>#,##0</c:formatCode>
                <c:ptCount val="5"/>
                <c:pt idx="0">
                  <c:v>1191</c:v>
                </c:pt>
                <c:pt idx="1">
                  <c:v>1427</c:v>
                </c:pt>
                <c:pt idx="2">
                  <c:v>2176</c:v>
                </c:pt>
                <c:pt idx="3">
                  <c:v>2616</c:v>
                </c:pt>
                <c:pt idx="4">
                  <c:v>2107</c:v>
                </c:pt>
              </c:numCache>
            </c:numRef>
          </c:val>
          <c:extLst>
            <c:ext xmlns:c15="http://schemas.microsoft.com/office/drawing/2012/chart" uri="{02D57815-91ED-43cb-92C2-25804820EDAC}">
              <c15:datalabelsRange>
                <c15:f>'g2'!$E$4:$E$8</c15:f>
                <c15:dlblRangeCache>
                  <c:ptCount val="5"/>
                  <c:pt idx="0">
                    <c:v>34%</c:v>
                  </c:pt>
                  <c:pt idx="1">
                    <c:v>41%</c:v>
                  </c:pt>
                  <c:pt idx="2">
                    <c:v>47%</c:v>
                  </c:pt>
                  <c:pt idx="3">
                    <c:v>49%</c:v>
                  </c:pt>
                  <c:pt idx="4">
                    <c:v>49%</c:v>
                  </c:pt>
                </c15:dlblRangeCache>
              </c15:datalabelsRange>
            </c:ext>
            <c:ext xmlns:c16="http://schemas.microsoft.com/office/drawing/2014/chart" uri="{C3380CC4-5D6E-409C-BE32-E72D297353CC}">
              <c16:uniqueId val="{00000005-EE8C-5F4B-A3CE-F68E93D7FB07}"/>
            </c:ext>
          </c:extLst>
        </c:ser>
        <c:ser>
          <c:idx val="1"/>
          <c:order val="1"/>
          <c:tx>
            <c:strRef>
              <c:f>'g2'!$F$3</c:f>
              <c:strCache>
                <c:ptCount val="1"/>
                <c:pt idx="0">
                  <c:v>Aportaciones y Convenios</c:v>
                </c:pt>
              </c:strCache>
            </c:strRef>
          </c:tx>
          <c:spPr>
            <a:solidFill>
              <a:schemeClr val="accent2"/>
            </a:solidFill>
            <a:ln>
              <a:noFill/>
            </a:ln>
            <a:effectLst/>
          </c:spPr>
          <c:invertIfNegative val="0"/>
          <c:dLbls>
            <c:dLbl>
              <c:idx val="0"/>
              <c:tx>
                <c:rich>
                  <a:bodyPr/>
                  <a:lstStyle/>
                  <a:p>
                    <a:fld id="{7DD5E0C2-F586-423C-8782-01C965A61F43}" type="CELLRANGE">
                      <a:rPr lang="en-US" baseline="0"/>
                      <a:pPr/>
                      <a:t>[CELLRANGE]</a:t>
                    </a:fld>
                    <a:r>
                      <a:rPr lang="en-US" baseline="0"/>
                      <a:t>, </a:t>
                    </a:r>
                    <a:fld id="{5CE91AF4-B68C-4B43-9150-A0AEF5108F45}"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0.12311111111111112"/>
                      <c:h val="0.14807888597258673"/>
                    </c:manualLayout>
                  </c15:layout>
                  <c15:dlblFieldTable/>
                  <c15:showDataLabelsRange val="1"/>
                </c:ext>
                <c:ext xmlns:c16="http://schemas.microsoft.com/office/drawing/2014/chart" uri="{C3380CC4-5D6E-409C-BE32-E72D297353CC}">
                  <c16:uniqueId val="{00000006-EE8C-5F4B-A3CE-F68E93D7FB07}"/>
                </c:ext>
              </c:extLst>
            </c:dLbl>
            <c:dLbl>
              <c:idx val="1"/>
              <c:layout>
                <c:manualLayout>
                  <c:x val="-3.9812924618990529E-3"/>
                  <c:y val="1.6898548157546222E-2"/>
                </c:manualLayout>
              </c:layout>
              <c:tx>
                <c:rich>
                  <a:bodyPr/>
                  <a:lstStyle/>
                  <a:p>
                    <a:fld id="{AA07F51F-94CA-4E40-AAEE-7E5E4E159420}" type="CELLRANGE">
                      <a:rPr lang="en-US" baseline="0"/>
                      <a:pPr/>
                      <a:t>[CELLRANGE]</a:t>
                    </a:fld>
                    <a:r>
                      <a:rPr lang="en-US" baseline="0"/>
                      <a:t>, </a:t>
                    </a:r>
                    <a:fld id="{3E165D51-8ECC-4B23-BBF6-7BB10F138B43}"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7.9966264505002715E-2"/>
                      <c:h val="0.22493115642783731"/>
                    </c:manualLayout>
                  </c15:layout>
                  <c15:dlblFieldTable/>
                  <c15:showDataLabelsRange val="1"/>
                </c:ext>
                <c:ext xmlns:c16="http://schemas.microsoft.com/office/drawing/2014/chart" uri="{C3380CC4-5D6E-409C-BE32-E72D297353CC}">
                  <c16:uniqueId val="{00000007-EE8C-5F4B-A3CE-F68E93D7FB07}"/>
                </c:ext>
              </c:extLst>
            </c:dLbl>
            <c:dLbl>
              <c:idx val="2"/>
              <c:tx>
                <c:rich>
                  <a:bodyPr/>
                  <a:lstStyle/>
                  <a:p>
                    <a:fld id="{AE10E84E-02B5-4AB9-A1C3-93C7D88BAFB5}" type="CELLRANGE">
                      <a:rPr lang="en-US" baseline="0"/>
                      <a:pPr/>
                      <a:t>[CELLRANGE]</a:t>
                    </a:fld>
                    <a:r>
                      <a:rPr lang="en-US" baseline="0"/>
                      <a:t>, </a:t>
                    </a:r>
                    <a:fld id="{E09496AB-A0E5-48E7-99DB-16A9FB596C7D}"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0.10922222222222222"/>
                      <c:h val="0.14807888597258673"/>
                    </c:manualLayout>
                  </c15:layout>
                  <c15:dlblFieldTable/>
                  <c15:showDataLabelsRange val="1"/>
                </c:ext>
                <c:ext xmlns:c16="http://schemas.microsoft.com/office/drawing/2014/chart" uri="{C3380CC4-5D6E-409C-BE32-E72D297353CC}">
                  <c16:uniqueId val="{00000008-EE8C-5F4B-A3CE-F68E93D7FB07}"/>
                </c:ext>
              </c:extLst>
            </c:dLbl>
            <c:dLbl>
              <c:idx val="3"/>
              <c:tx>
                <c:rich>
                  <a:bodyPr/>
                  <a:lstStyle/>
                  <a:p>
                    <a:fld id="{C3945A90-4FA1-43B7-B085-BDB33392E4ED}" type="CELLRANGE">
                      <a:rPr lang="en-US" baseline="0"/>
                      <a:pPr/>
                      <a:t>[CELLRANGE]</a:t>
                    </a:fld>
                    <a:r>
                      <a:rPr lang="en-US" baseline="0"/>
                      <a:t>, </a:t>
                    </a:r>
                    <a:fld id="{5FD7EE06-7FBF-42D7-83B7-85A654332935}"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9.5333333333333339E-2"/>
                      <c:h val="0.13881962671332748"/>
                    </c:manualLayout>
                  </c15:layout>
                  <c15:dlblFieldTable/>
                  <c15:showDataLabelsRange val="1"/>
                </c:ext>
                <c:ext xmlns:c16="http://schemas.microsoft.com/office/drawing/2014/chart" uri="{C3380CC4-5D6E-409C-BE32-E72D297353CC}">
                  <c16:uniqueId val="{00000009-EE8C-5F4B-A3CE-F68E93D7FB07}"/>
                </c:ext>
              </c:extLst>
            </c:dLbl>
            <c:dLbl>
              <c:idx val="4"/>
              <c:tx>
                <c:rich>
                  <a:bodyPr/>
                  <a:lstStyle/>
                  <a:p>
                    <a:fld id="{9F4104D2-A719-47BE-B956-4F302ACC135A}" type="CELLRANGE">
                      <a:rPr lang="en-US" baseline="0"/>
                      <a:pPr/>
                      <a:t>[CELLRANGE]</a:t>
                    </a:fld>
                    <a:r>
                      <a:rPr lang="en-US" baseline="0"/>
                      <a:t>, </a:t>
                    </a:r>
                    <a:fld id="{A543AC2F-489F-4696-B639-06E978AA9FDA}"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8.1444444444444444E-2"/>
                      <c:h val="0.13418999708369786"/>
                    </c:manualLayout>
                  </c15:layout>
                  <c15:dlblFieldTable/>
                  <c15:showDataLabelsRange val="1"/>
                </c:ext>
                <c:ext xmlns:c16="http://schemas.microsoft.com/office/drawing/2014/chart" uri="{C3380CC4-5D6E-409C-BE32-E72D297353CC}">
                  <c16:uniqueId val="{0000000A-EE8C-5F4B-A3CE-F68E93D7FB0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'g2'!$B$4:$B$8</c:f>
              <c:numCache>
                <c:formatCode>General</c:formatCode>
                <c:ptCount val="5"/>
                <c:pt idx="0">
                  <c:v>2020</c:v>
                </c:pt>
                <c:pt idx="1">
                  <c:v>2021</c:v>
                </c:pt>
                <c:pt idx="2">
                  <c:v>2022</c:v>
                </c:pt>
                <c:pt idx="3">
                  <c:v>2023</c:v>
                </c:pt>
                <c:pt idx="4">
                  <c:v>2024</c:v>
                </c:pt>
              </c:numCache>
            </c:numRef>
          </c:cat>
          <c:val>
            <c:numRef>
              <c:f>'g2'!$D$4:$D$8</c:f>
              <c:numCache>
                <c:formatCode>#,##0</c:formatCode>
                <c:ptCount val="5"/>
                <c:pt idx="0">
                  <c:v>2295</c:v>
                </c:pt>
                <c:pt idx="1">
                  <c:v>2049</c:v>
                </c:pt>
                <c:pt idx="2">
                  <c:v>2469</c:v>
                </c:pt>
                <c:pt idx="3">
                  <c:v>2750</c:v>
                </c:pt>
                <c:pt idx="4">
                  <c:v>2199</c:v>
                </c:pt>
              </c:numCache>
            </c:numRef>
          </c:val>
          <c:extLst>
            <c:ext xmlns:c15="http://schemas.microsoft.com/office/drawing/2012/chart" uri="{02D57815-91ED-43cb-92C2-25804820EDAC}">
              <c15:datalabelsRange>
                <c15:f>'g2'!$F$4:$F$8</c15:f>
                <c15:dlblRangeCache>
                  <c:ptCount val="5"/>
                  <c:pt idx="0">
                    <c:v>66%</c:v>
                  </c:pt>
                  <c:pt idx="1">
                    <c:v>59%</c:v>
                  </c:pt>
                  <c:pt idx="2">
                    <c:v>59%</c:v>
                  </c:pt>
                  <c:pt idx="3">
                    <c:v>51%</c:v>
                  </c:pt>
                  <c:pt idx="4">
                    <c:v>51%</c:v>
                  </c:pt>
                </c15:dlblRangeCache>
              </c15:datalabelsRange>
            </c:ext>
            <c:ext xmlns:c16="http://schemas.microsoft.com/office/drawing/2014/chart" uri="{C3380CC4-5D6E-409C-BE32-E72D297353CC}">
              <c16:uniqueId val="{0000000B-EE8C-5F4B-A3CE-F68E93D7FB07}"/>
            </c:ext>
          </c:extLst>
        </c:ser>
        <c:dLbls>
          <c:showLegendKey val="0"/>
          <c:showVal val="0"/>
          <c:showCatName val="0"/>
          <c:showSerName val="0"/>
          <c:showPercent val="0"/>
          <c:showBubbleSize val="0"/>
        </c:dLbls>
        <c:gapWidth val="50"/>
        <c:axId val="235699903"/>
        <c:axId val="318158175"/>
      </c:barChart>
      <c:catAx>
        <c:axId val="23569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18158175"/>
        <c:crosses val="autoZero"/>
        <c:auto val="1"/>
        <c:lblAlgn val="ctr"/>
        <c:lblOffset val="100"/>
        <c:noMultiLvlLbl val="0"/>
      </c:catAx>
      <c:valAx>
        <c:axId val="318158175"/>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35699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'g3'!$C$4</c:f>
              <c:strCache>
                <c:ptCount val="1"/>
                <c:pt idx="0">
                  <c:v>Presupuestados</c:v>
                </c:pt>
              </c:strCache>
            </c:strRef>
          </c:tx>
          <c:spPr>
            <a:solidFill>
              <a:srgbClr val="00CC99"/>
            </a:solidFill>
            <a:ln>
              <a:noFill/>
            </a:ln>
            <a:effectLst/>
          </c:spPr>
          <c:invertIfNegative val="0"/>
          <c:dLbls>
            <c:dLbl>
              <c:idx val="0"/>
              <c:tx>
                <c:rich>
                  <a:bodyPr/>
                  <a:lstStyle/>
                  <a:p>
                    <a:fld id="{C5EE7745-6FB0-4389-A316-CDB252CA8E39}" type="VALUE">
                      <a:rPr lang="en-US"/>
                      <a:pPr/>
                      <a:t>[VALOR]</a:t>
                    </a:fld>
                    <a:endParaRPr lang="es-MX"/>
                  </a:p>
                </c:rich>
              </c:tx>
              <c:showLegendKey val="0"/>
              <c:showVal val="1"/>
              <c:showCatName val="0"/>
              <c:showSerName val="0"/>
              <c:showPercent val="0"/>
              <c:showBubbleSize val="0"/>
              <c:extLst>
                <c:ext xmlns:c15="http://schemas.microsoft.com/office/drawing/2012/chart" uri="{CE6537A1-D6FC-4f65-9D91-7224C49458BB}">
                  <c15:layout>
                    <c:manualLayout>
                      <c:w val="6.6248548199767707E-2"/>
                      <c:h val="8.5682435762945347E-2"/>
                    </c:manualLayout>
                  </c15:layout>
                  <c15:dlblFieldTable/>
                  <c15:showDataLabelsRange val="0"/>
                </c:ext>
                <c:ext xmlns:c16="http://schemas.microsoft.com/office/drawing/2014/chart" uri="{C3380CC4-5D6E-409C-BE32-E72D297353CC}">
                  <c16:uniqueId val="{00000000-17ED-3B41-B922-336D672992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'g3'!$B$5:$B$8</c:f>
              <c:numCache>
                <c:formatCode>General</c:formatCode>
                <c:ptCount val="4"/>
                <c:pt idx="0">
                  <c:v>2021</c:v>
                </c:pt>
                <c:pt idx="1">
                  <c:v>2022</c:v>
                </c:pt>
                <c:pt idx="2">
                  <c:v>2023</c:v>
                </c:pt>
                <c:pt idx="3">
                  <c:v>2024</c:v>
                </c:pt>
              </c:numCache>
            </c:numRef>
          </c:cat>
          <c:val>
            <c:numRef>
              <c:f>'g3'!$C$5:$C$8</c:f>
              <c:numCache>
                <c:formatCode>#,##0</c:formatCode>
                <c:ptCount val="4"/>
                <c:pt idx="0">
                  <c:v>1175</c:v>
                </c:pt>
                <c:pt idx="1">
                  <c:v>1744</c:v>
                </c:pt>
                <c:pt idx="2">
                  <c:v>1984</c:v>
                </c:pt>
                <c:pt idx="3">
                  <c:v>1824</c:v>
                </c:pt>
              </c:numCache>
            </c:numRef>
          </c:val>
          <c:extLst>
            <c:ext xmlns:c16="http://schemas.microsoft.com/office/drawing/2014/chart" uri="{C3380CC4-5D6E-409C-BE32-E72D297353CC}">
              <c16:uniqueId val="{00000001-17ED-3B41-B922-336D672992FF}"/>
            </c:ext>
          </c:extLst>
        </c:ser>
        <c:ser>
          <c:idx val="1"/>
          <c:order val="1"/>
          <c:tx>
            <c:strRef>
              <c:f>'g3'!$D$4</c:f>
              <c:strCache>
                <c:ptCount val="1"/>
                <c:pt idx="0">
                  <c:v>Recaudados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'g3'!$B$5:$B$8</c:f>
              <c:numCache>
                <c:formatCode>General</c:formatCode>
                <c:ptCount val="4"/>
                <c:pt idx="0">
                  <c:v>2021</c:v>
                </c:pt>
                <c:pt idx="1">
                  <c:v>2022</c:v>
                </c:pt>
                <c:pt idx="2">
                  <c:v>2023</c:v>
                </c:pt>
                <c:pt idx="3">
                  <c:v>2024</c:v>
                </c:pt>
              </c:numCache>
            </c:numRef>
          </c:cat>
          <c:val>
            <c:numRef>
              <c:f>'g3'!$D$5:$D$8</c:f>
              <c:numCache>
                <c:formatCode>#,##0</c:formatCode>
                <c:ptCount val="4"/>
                <c:pt idx="0">
                  <c:v>1427</c:v>
                </c:pt>
                <c:pt idx="1">
                  <c:v>2176</c:v>
                </c:pt>
                <c:pt idx="2">
                  <c:v>2616</c:v>
                </c:pt>
                <c:pt idx="3">
                  <c:v>2107</c:v>
                </c:pt>
              </c:numCache>
            </c:numRef>
          </c:val>
          <c:extLst>
            <c:ext xmlns:c16="http://schemas.microsoft.com/office/drawing/2014/chart" uri="{C3380CC4-5D6E-409C-BE32-E72D297353CC}">
              <c16:uniqueId val="{00000002-17ED-3B41-B922-336D672992FF}"/>
            </c:ext>
          </c:extLst>
        </c:ser>
        <c:dLbls>
          <c:showLegendKey val="0"/>
          <c:showVal val="0"/>
          <c:showCatName val="0"/>
          <c:showSerName val="0"/>
          <c:showPercent val="0"/>
          <c:showBubbleSize val="0"/>
        </c:dLbls>
        <c:gapWidth val="50"/>
        <c:axId val="1988763631"/>
        <c:axId val="326761999"/>
      </c:barChart>
      <c:catAx>
        <c:axId val="198876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26761999"/>
        <c:crosses val="autoZero"/>
        <c:auto val="1"/>
        <c:lblAlgn val="ctr"/>
        <c:lblOffset val="100"/>
        <c:noMultiLvlLbl val="0"/>
      </c:catAx>
      <c:valAx>
        <c:axId val="326761999"/>
        <c:scaling>
          <c:orientation val="minMax"/>
        </c:scaling>
        <c:delete val="1"/>
        <c:axPos val="l"/>
        <c:numFmt formatCode="#,##0" sourceLinked="1"/>
        <c:majorTickMark val="none"/>
        <c:minorTickMark val="none"/>
        <c:tickLblPos val="nextTo"/>
        <c:crossAx val="1988763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'g4'!$C$3</c:f>
              <c:strCache>
                <c:ptCount val="1"/>
                <c:pt idx="0">
                  <c:v>Recaudación anual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'g4'!$B$4:$B$7</c:f>
              <c:numCache>
                <c:formatCode>General</c:formatCode>
                <c:ptCount val="4"/>
                <c:pt idx="0">
                  <c:v>2021</c:v>
                </c:pt>
                <c:pt idx="1">
                  <c:v>2022</c:v>
                </c:pt>
                <c:pt idx="2">
                  <c:v>2023</c:v>
                </c:pt>
                <c:pt idx="3">
                  <c:v>2024</c:v>
                </c:pt>
              </c:numCache>
            </c:numRef>
          </c:cat>
          <c:val>
            <c:numRef>
              <c:f>'g4'!$C$4:$C$7</c:f>
              <c:numCache>
                <c:formatCode>General</c:formatCode>
                <c:ptCount val="4"/>
                <c:pt idx="0">
                  <c:v>431.81</c:v>
                </c:pt>
                <c:pt idx="1">
                  <c:v>603.82000000000005</c:v>
                </c:pt>
                <c:pt idx="2">
                  <c:v>703.14</c:v>
                </c:pt>
                <c:pt idx="3">
                  <c:v>717.2</c:v>
                </c:pt>
              </c:numCache>
            </c:numRef>
          </c:val>
          <c:extLst>
            <c:ext xmlns:c16="http://schemas.microsoft.com/office/drawing/2014/chart" uri="{C3380CC4-5D6E-409C-BE32-E72D297353CC}">
              <c16:uniqueId val="{00000000-640C-944C-96CB-8D74C0714AEF}"/>
            </c:ext>
          </c:extLst>
        </c:ser>
        <c:ser>
          <c:idx val="1"/>
          <c:order val="1"/>
          <c:tx>
            <c:strRef>
              <c:f>'g4'!$D$3</c:f>
              <c:strCache>
                <c:ptCount val="1"/>
                <c:pt idx="0">
                  <c:v>Recuperación de rezagos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'g4'!$B$4:$B$7</c:f>
              <c:numCache>
                <c:formatCode>General</c:formatCode>
                <c:ptCount val="4"/>
                <c:pt idx="0">
                  <c:v>2021</c:v>
                </c:pt>
                <c:pt idx="1">
                  <c:v>2022</c:v>
                </c:pt>
                <c:pt idx="2">
                  <c:v>2023</c:v>
                </c:pt>
                <c:pt idx="3">
                  <c:v>2024</c:v>
                </c:pt>
              </c:numCache>
            </c:numRef>
          </c:cat>
          <c:val>
            <c:numRef>
              <c:f>'g4'!$D$4:$D$7</c:f>
              <c:numCache>
                <c:formatCode>General</c:formatCode>
                <c:ptCount val="4"/>
                <c:pt idx="0">
                  <c:v>158.01</c:v>
                </c:pt>
                <c:pt idx="1">
                  <c:v>155.56</c:v>
                </c:pt>
                <c:pt idx="2">
                  <c:v>203.12</c:v>
                </c:pt>
                <c:pt idx="3">
                  <c:v>127.87</c:v>
                </c:pt>
              </c:numCache>
            </c:numRef>
          </c:val>
          <c:extLst>
            <c:ext xmlns:c16="http://schemas.microsoft.com/office/drawing/2014/chart" uri="{C3380CC4-5D6E-409C-BE32-E72D297353CC}">
              <c16:uniqueId val="{00000001-640C-944C-96CB-8D74C0714AEF}"/>
            </c:ext>
          </c:extLst>
        </c:ser>
        <c:ser>
          <c:idx val="2"/>
          <c:order val="2"/>
          <c:tx>
            <c:strRef>
              <c:f>'g4'!$E$3</c:f>
              <c:strCache>
                <c:ptCount val="1"/>
                <c:pt idx="0">
                  <c:v>Impuesto Predial Total</c:v>
                </c:pt>
              </c:strCache>
            </c:strRef>
          </c:tx>
          <c:spPr>
            <a:solidFill>
              <a:srgbClr val="00CC9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'g4'!$B$4:$B$7</c:f>
              <c:numCache>
                <c:formatCode>General</c:formatCode>
                <c:ptCount val="4"/>
                <c:pt idx="0">
                  <c:v>2021</c:v>
                </c:pt>
                <c:pt idx="1">
                  <c:v>2022</c:v>
                </c:pt>
                <c:pt idx="2">
                  <c:v>2023</c:v>
                </c:pt>
                <c:pt idx="3">
                  <c:v>2024</c:v>
                </c:pt>
              </c:numCache>
            </c:numRef>
          </c:cat>
          <c:val>
            <c:numRef>
              <c:f>'g4'!$E$4:$E$7</c:f>
              <c:numCache>
                <c:formatCode>General</c:formatCode>
                <c:ptCount val="4"/>
                <c:pt idx="0">
                  <c:v>589.82000000000005</c:v>
                </c:pt>
                <c:pt idx="1">
                  <c:v>759.38</c:v>
                </c:pt>
                <c:pt idx="2">
                  <c:v>906.26</c:v>
                </c:pt>
                <c:pt idx="3">
                  <c:v>845.07</c:v>
                </c:pt>
              </c:numCache>
            </c:numRef>
          </c:val>
          <c:extLst>
            <c:ext xmlns:c16="http://schemas.microsoft.com/office/drawing/2014/chart" uri="{C3380CC4-5D6E-409C-BE32-E72D297353CC}">
              <c16:uniqueId val="{00000002-640C-944C-96CB-8D74C0714AEF}"/>
            </c:ext>
          </c:extLst>
        </c:ser>
        <c:dLbls>
          <c:showLegendKey val="0"/>
          <c:showVal val="0"/>
          <c:showCatName val="0"/>
          <c:showSerName val="0"/>
          <c:showPercent val="0"/>
          <c:showBubbleSize val="0"/>
        </c:dLbls>
        <c:gapWidth val="50"/>
        <c:axId val="100396927"/>
        <c:axId val="244798639"/>
      </c:barChart>
      <c:catAx>
        <c:axId val="100396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44798639"/>
        <c:crosses val="autoZero"/>
        <c:auto val="1"/>
        <c:lblAlgn val="ctr"/>
        <c:lblOffset val="100"/>
        <c:noMultiLvlLbl val="0"/>
      </c:catAx>
      <c:valAx>
        <c:axId val="244798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00396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Hoja5!$D$14:$H$14</c:f>
              <c:numCache>
                <c:formatCode>General</c:formatCode>
                <c:ptCount val="5"/>
                <c:pt idx="0">
                  <c:v>2020</c:v>
                </c:pt>
                <c:pt idx="1">
                  <c:v>2021</c:v>
                </c:pt>
                <c:pt idx="2">
                  <c:v>2022</c:v>
                </c:pt>
                <c:pt idx="3">
                  <c:v>2023</c:v>
                </c:pt>
                <c:pt idx="4">
                  <c:v>2024</c:v>
                </c:pt>
              </c:numCache>
            </c:numRef>
          </c:cat>
          <c:val>
            <c:numRef>
              <c:f>Hoja5!$D$15:$H$15</c:f>
              <c:numCache>
                <c:formatCode>General</c:formatCode>
                <c:ptCount val="5"/>
                <c:pt idx="0">
                  <c:v>62.6</c:v>
                </c:pt>
                <c:pt idx="1">
                  <c:v>62.7</c:v>
                </c:pt>
                <c:pt idx="2">
                  <c:v>64.5</c:v>
                </c:pt>
                <c:pt idx="3">
                  <c:v>67.5</c:v>
                </c:pt>
                <c:pt idx="4">
                  <c:v>71.5</c:v>
                </c:pt>
              </c:numCache>
            </c:numRef>
          </c:val>
          <c:extLst>
            <c:ext xmlns:c16="http://schemas.microsoft.com/office/drawing/2014/chart" uri="{C3380CC4-5D6E-409C-BE32-E72D297353CC}">
              <c16:uniqueId val="{00000000-96DD-694C-812D-9C0CDD009CA2}"/>
            </c:ext>
          </c:extLst>
        </c:ser>
        <c:dLbls>
          <c:showLegendKey val="0"/>
          <c:showVal val="0"/>
          <c:showCatName val="0"/>
          <c:showSerName val="0"/>
          <c:showPercent val="0"/>
          <c:showBubbleSize val="0"/>
        </c:dLbls>
        <c:gapWidth val="50"/>
        <c:axId val="451284927"/>
        <c:axId val="332150127"/>
      </c:barChart>
      <c:catAx>
        <c:axId val="45128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32150127"/>
        <c:crosses val="autoZero"/>
        <c:auto val="1"/>
        <c:lblAlgn val="ctr"/>
        <c:lblOffset val="100"/>
        <c:noMultiLvlLbl val="0"/>
      </c:catAx>
      <c:valAx>
        <c:axId val="332150127"/>
        <c:scaling>
          <c:orientation val="minMax"/>
        </c:scaling>
        <c:delete val="1"/>
        <c:axPos val="l"/>
        <c:numFmt formatCode="General" sourceLinked="1"/>
        <c:majorTickMark val="none"/>
        <c:minorTickMark val="none"/>
        <c:tickLblPos val="nextTo"/>
        <c:crossAx val="451284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320088300220751E-2"/>
          <c:y val="0.10604991866510982"/>
          <c:w val="0.93524655656980937"/>
          <c:h val="0.79229404309252216"/>
        </c:manualLayout>
      </c:layout>
      <c:barChart>
        <c:barDir val="col"/>
        <c:grouping val="clustered"/>
        <c:varyColors val="0"/>
        <c:ser>
          <c:idx val="0"/>
          <c:order val="0"/>
          <c:tx>
            <c:strRef>
              <c:f>'Gasto de Inversion'!$N$64</c:f>
              <c:strCache>
                <c:ptCount val="1"/>
                <c:pt idx="0">
                  <c:v>Total general</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42D4-4F24-81D2-DC0A6FC12C1B}"/>
              </c:ext>
            </c:extLst>
          </c:dPt>
          <c:dPt>
            <c:idx val="1"/>
            <c:invertIfNegative val="0"/>
            <c:bubble3D val="0"/>
            <c:spPr>
              <a:solidFill>
                <a:srgbClr val="00B050"/>
              </a:solidFill>
              <a:ln>
                <a:noFill/>
              </a:ln>
              <a:effectLst/>
            </c:spPr>
            <c:extLst>
              <c:ext xmlns:c16="http://schemas.microsoft.com/office/drawing/2014/chart" uri="{C3380CC4-5D6E-409C-BE32-E72D297353CC}">
                <c16:uniqueId val="{00000002-42D4-4F24-81D2-DC0A6FC12C1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de Inversion'!$O$63:$P$63</c:f>
              <c:strCache>
                <c:ptCount val="2"/>
                <c:pt idx="0">
                  <c:v>2019 - 2021</c:v>
                </c:pt>
                <c:pt idx="1">
                  <c:v>2022 - 2024*</c:v>
                </c:pt>
              </c:strCache>
            </c:strRef>
          </c:cat>
          <c:val>
            <c:numRef>
              <c:f>'Gasto de Inversion'!$O$64:$P$64</c:f>
              <c:numCache>
                <c:formatCode>_-* #,##0.0_-;\-* #,##0.0_-;_-* "-"_-;_-@_-</c:formatCode>
                <c:ptCount val="2"/>
                <c:pt idx="0">
                  <c:v>11371.768637687495</c:v>
                </c:pt>
                <c:pt idx="1">
                  <c:v>17522.403596470009</c:v>
                </c:pt>
              </c:numCache>
            </c:numRef>
          </c:val>
          <c:extLst>
            <c:ext xmlns:c16="http://schemas.microsoft.com/office/drawing/2014/chart" uri="{C3380CC4-5D6E-409C-BE32-E72D297353CC}">
              <c16:uniqueId val="{00000000-42D4-4F24-81D2-DC0A6FC12C1B}"/>
            </c:ext>
          </c:extLst>
        </c:ser>
        <c:dLbls>
          <c:dLblPos val="inEnd"/>
          <c:showLegendKey val="0"/>
          <c:showVal val="1"/>
          <c:showCatName val="0"/>
          <c:showSerName val="0"/>
          <c:showPercent val="0"/>
          <c:showBubbleSize val="0"/>
        </c:dLbls>
        <c:gapWidth val="80"/>
        <c:overlap val="-27"/>
        <c:axId val="247368032"/>
        <c:axId val="247361792"/>
      </c:barChart>
      <c:catAx>
        <c:axId val="24736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s-MX"/>
          </a:p>
        </c:txPr>
        <c:crossAx val="247361792"/>
        <c:crosses val="autoZero"/>
        <c:auto val="1"/>
        <c:lblAlgn val="ctr"/>
        <c:lblOffset val="100"/>
        <c:noMultiLvlLbl val="0"/>
      </c:catAx>
      <c:valAx>
        <c:axId val="247361792"/>
        <c:scaling>
          <c:orientation val="minMax"/>
        </c:scaling>
        <c:delete val="1"/>
        <c:axPos val="l"/>
        <c:numFmt formatCode="_-* #,##0.0_-;\-* #,##0.0_-;_-* &quot;-&quot;_-;_-@_-" sourceLinked="1"/>
        <c:majorTickMark val="none"/>
        <c:minorTickMark val="none"/>
        <c:tickLblPos val="nextTo"/>
        <c:crossAx val="24736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2691778259755912"/>
          <c:y val="0.1426188393117527"/>
          <c:w val="0.76232339668049331"/>
          <c:h val="0.75402960046660839"/>
        </c:manualLayout>
      </c:layout>
      <c:pieChart>
        <c:varyColors val="1"/>
        <c:ser>
          <c:idx val="0"/>
          <c:order val="0"/>
          <c:tx>
            <c:strRef>
              <c:f>'Gasto de Inversion'!$K$34</c:f>
              <c:strCache>
                <c:ptCount val="1"/>
                <c:pt idx="0">
                  <c:v>2019 - 2021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56-4A79-B15E-7D6402655060}"/>
              </c:ext>
            </c:extLst>
          </c:dPt>
          <c:dPt>
            <c:idx val="1"/>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3-5756-4A79-B15E-7D6402655060}"/>
              </c:ext>
            </c:extLst>
          </c:dPt>
          <c:dLbls>
            <c:dLbl>
              <c:idx val="0"/>
              <c:layout>
                <c:manualLayout>
                  <c:x val="-0.12281584975058553"/>
                  <c:y val="-0.2427559055118111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56-4A79-B15E-7D6402655060}"/>
                </c:ext>
              </c:extLst>
            </c:dLbl>
            <c:dLbl>
              <c:idx val="1"/>
              <c:layout>
                <c:manualLayout>
                  <c:x val="0.14545502346430403"/>
                  <c:y val="0.1917381160688247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56-4A79-B15E-7D640265506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'Gasto de Inversion'!$J$35:$J$36</c:f>
              <c:strCache>
                <c:ptCount val="2"/>
                <c:pt idx="0">
                  <c:v>Gasto Corriente</c:v>
                </c:pt>
                <c:pt idx="1">
                  <c:v>Gasto de Capital</c:v>
                </c:pt>
              </c:strCache>
            </c:strRef>
          </c:cat>
          <c:val>
            <c:numRef>
              <c:f>'Gasto de Inversion'!$K$35:$K$36</c:f>
              <c:numCache>
                <c:formatCode>0.0%</c:formatCode>
                <c:ptCount val="2"/>
                <c:pt idx="0">
                  <c:v>0.8331836872427324</c:v>
                </c:pt>
                <c:pt idx="1">
                  <c:v>0.16681631275726763</c:v>
                </c:pt>
              </c:numCache>
            </c:numRef>
          </c:val>
          <c:extLst>
            <c:ext xmlns:c16="http://schemas.microsoft.com/office/drawing/2014/chart" uri="{C3380CC4-5D6E-409C-BE32-E72D297353CC}">
              <c16:uniqueId val="{00000004-5756-4A79-B15E-7D640265506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f1g2!$B$5</c:f>
              <c:strCache>
                <c:ptCount val="1"/>
                <c:pt idx="0">
                  <c:v>2021</c:v>
                </c:pt>
              </c:strCache>
            </c:strRef>
          </c:tx>
          <c:spPr>
            <a:ln w="28575" cap="rnd">
              <a:solidFill>
                <a:schemeClr val="accent1"/>
              </a:solidFill>
              <a:round/>
            </a:ln>
            <a:effectLst/>
          </c:spPr>
          <c:marker>
            <c:symbol val="none"/>
          </c:marker>
          <c:dLbls>
            <c:dLbl>
              <c:idx val="0"/>
              <c:layout>
                <c:manualLayout>
                  <c:x val="-3.4383561643835624E-2"/>
                  <c:y val="5.0141526426843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80-4AAD-A87F-F97C3DD5EC97}"/>
                </c:ext>
              </c:extLst>
            </c:dLbl>
            <c:dLbl>
              <c:idx val="5"/>
              <c:layout>
                <c:manualLayout>
                  <c:x val="-2.98173515981736E-2"/>
                  <c:y val="5.8856123376734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80-4AAD-A87F-F97C3DD5EC97}"/>
                </c:ext>
              </c:extLst>
            </c:dLbl>
            <c:dLbl>
              <c:idx val="11"/>
              <c:layout>
                <c:manualLayout>
                  <c:x val="-3.2100456621004733E-2"/>
                  <c:y val="6.7570720326625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80-4AAD-A87F-F97C3DD5EC97}"/>
                </c:ext>
              </c:extLst>
            </c:dLbl>
            <c:spPr>
              <a:noFill/>
              <a:ln>
                <a:solidFill>
                  <a:schemeClr val="accent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f1g2!$A$6:$A$17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f1g2!$B$6:$B$17</c:f>
              <c:numCache>
                <c:formatCode>General</c:formatCode>
                <c:ptCount val="12"/>
                <c:pt idx="0">
                  <c:v>24</c:v>
                </c:pt>
                <c:pt idx="1">
                  <c:v>18</c:v>
                </c:pt>
                <c:pt idx="2">
                  <c:v>26</c:v>
                </c:pt>
                <c:pt idx="3">
                  <c:v>27</c:v>
                </c:pt>
                <c:pt idx="4">
                  <c:v>35</c:v>
                </c:pt>
                <c:pt idx="5">
                  <c:v>24</c:v>
                </c:pt>
                <c:pt idx="6">
                  <c:v>33</c:v>
                </c:pt>
                <c:pt idx="7">
                  <c:v>24</c:v>
                </c:pt>
                <c:pt idx="8">
                  <c:v>18</c:v>
                </c:pt>
                <c:pt idx="9">
                  <c:v>24</c:v>
                </c:pt>
                <c:pt idx="10">
                  <c:v>27</c:v>
                </c:pt>
                <c:pt idx="11">
                  <c:v>39</c:v>
                </c:pt>
              </c:numCache>
            </c:numRef>
          </c:val>
          <c:smooth val="0"/>
          <c:extLst>
            <c:ext xmlns:c16="http://schemas.microsoft.com/office/drawing/2014/chart" uri="{C3380CC4-5D6E-409C-BE32-E72D297353CC}">
              <c16:uniqueId val="{00000000-6780-4AAD-A87F-F97C3DD5EC97}"/>
            </c:ext>
          </c:extLst>
        </c:ser>
        <c:ser>
          <c:idx val="1"/>
          <c:order val="1"/>
          <c:tx>
            <c:strRef>
              <c:f>f1g2!$C$5</c:f>
              <c:strCache>
                <c:ptCount val="1"/>
                <c:pt idx="0">
                  <c:v>2022</c:v>
                </c:pt>
              </c:strCache>
            </c:strRef>
          </c:tx>
          <c:spPr>
            <a:ln w="28575" cap="rnd">
              <a:solidFill>
                <a:schemeClr val="accent2"/>
              </a:solidFill>
              <a:round/>
            </a:ln>
            <a:effectLst/>
          </c:spPr>
          <c:marker>
            <c:symbol val="none"/>
          </c:marker>
          <c:dLbls>
            <c:dLbl>
              <c:idx val="0"/>
              <c:layout>
                <c:manualLayout>
                  <c:x val="-2.0547945205479451E-2"/>
                  <c:y val="3.0501089324618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80-4AAD-A87F-F97C3DD5EC97}"/>
                </c:ext>
              </c:extLst>
            </c:dLbl>
            <c:spPr>
              <a:noFill/>
              <a:ln>
                <a:solidFill>
                  <a:schemeClr val="accent2"/>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f1g2!$A$6:$A$17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f1g2!$C$6:$C$17</c:f>
              <c:numCache>
                <c:formatCode>General</c:formatCode>
                <c:ptCount val="12"/>
                <c:pt idx="0">
                  <c:v>35</c:v>
                </c:pt>
                <c:pt idx="1">
                  <c:v>32</c:v>
                </c:pt>
                <c:pt idx="2">
                  <c:v>54</c:v>
                </c:pt>
                <c:pt idx="3">
                  <c:v>44</c:v>
                </c:pt>
                <c:pt idx="4">
                  <c:v>70</c:v>
                </c:pt>
                <c:pt idx="5">
                  <c:v>70</c:v>
                </c:pt>
                <c:pt idx="6">
                  <c:v>60</c:v>
                </c:pt>
                <c:pt idx="7">
                  <c:v>57</c:v>
                </c:pt>
                <c:pt idx="8">
                  <c:v>65</c:v>
                </c:pt>
                <c:pt idx="9">
                  <c:v>45</c:v>
                </c:pt>
                <c:pt idx="10">
                  <c:v>60</c:v>
                </c:pt>
                <c:pt idx="11">
                  <c:v>62</c:v>
                </c:pt>
              </c:numCache>
            </c:numRef>
          </c:val>
          <c:smooth val="0"/>
          <c:extLst>
            <c:ext xmlns:c16="http://schemas.microsoft.com/office/drawing/2014/chart" uri="{C3380CC4-5D6E-409C-BE32-E72D297353CC}">
              <c16:uniqueId val="{00000001-6780-4AAD-A87F-F97C3DD5EC97}"/>
            </c:ext>
          </c:extLst>
        </c:ser>
        <c:ser>
          <c:idx val="2"/>
          <c:order val="2"/>
          <c:tx>
            <c:strRef>
              <c:f>f1g2!$D$5</c:f>
              <c:strCache>
                <c:ptCount val="1"/>
                <c:pt idx="0">
                  <c:v>2023</c:v>
                </c:pt>
              </c:strCache>
            </c:strRef>
          </c:tx>
          <c:spPr>
            <a:ln w="28575" cap="rnd">
              <a:solidFill>
                <a:schemeClr val="accent3"/>
              </a:solidFill>
              <a:round/>
            </a:ln>
            <a:effectLst/>
          </c:spPr>
          <c:marker>
            <c:symbol val="none"/>
          </c:marker>
          <c:dLbls>
            <c:spPr>
              <a:no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f1g2!$A$6:$A$17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f1g2!$D$6:$D$17</c:f>
              <c:numCache>
                <c:formatCode>General</c:formatCode>
                <c:ptCount val="12"/>
                <c:pt idx="0">
                  <c:v>62</c:v>
                </c:pt>
                <c:pt idx="1">
                  <c:v>51</c:v>
                </c:pt>
                <c:pt idx="2">
                  <c:v>62</c:v>
                </c:pt>
                <c:pt idx="3">
                  <c:v>74</c:v>
                </c:pt>
                <c:pt idx="4">
                  <c:v>81</c:v>
                </c:pt>
                <c:pt idx="5">
                  <c:v>61</c:v>
                </c:pt>
                <c:pt idx="6">
                  <c:v>55</c:v>
                </c:pt>
                <c:pt idx="7">
                  <c:v>51</c:v>
                </c:pt>
                <c:pt idx="8">
                  <c:v>61</c:v>
                </c:pt>
                <c:pt idx="9">
                  <c:v>57</c:v>
                </c:pt>
                <c:pt idx="10">
                  <c:v>51</c:v>
                </c:pt>
                <c:pt idx="11">
                  <c:v>37</c:v>
                </c:pt>
              </c:numCache>
            </c:numRef>
          </c:val>
          <c:smooth val="0"/>
          <c:extLst>
            <c:ext xmlns:c16="http://schemas.microsoft.com/office/drawing/2014/chart" uri="{C3380CC4-5D6E-409C-BE32-E72D297353CC}">
              <c16:uniqueId val="{00000002-6780-4AAD-A87F-F97C3DD5EC97}"/>
            </c:ext>
          </c:extLst>
        </c:ser>
        <c:ser>
          <c:idx val="3"/>
          <c:order val="3"/>
          <c:tx>
            <c:strRef>
              <c:f>f1g2!$E$5</c:f>
              <c:strCache>
                <c:ptCount val="1"/>
                <c:pt idx="0">
                  <c:v>2024</c:v>
                </c:pt>
              </c:strCache>
            </c:strRef>
          </c:tx>
          <c:spPr>
            <a:ln w="28575" cap="rnd">
              <a:solidFill>
                <a:schemeClr val="accent4"/>
              </a:solidFill>
              <a:round/>
            </a:ln>
            <a:effectLst/>
          </c:spPr>
          <c:marker>
            <c:symbol val="none"/>
          </c:marker>
          <c:dLbls>
            <c:spPr>
              <a:noFill/>
              <a:ln>
                <a:solidFill>
                  <a:schemeClr val="accent4"/>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f1g2!$A$6:$A$17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f1g2!$E$6:$E$17</c:f>
              <c:numCache>
                <c:formatCode>General</c:formatCode>
                <c:ptCount val="12"/>
                <c:pt idx="0">
                  <c:v>36</c:v>
                </c:pt>
                <c:pt idx="1">
                  <c:v>56</c:v>
                </c:pt>
                <c:pt idx="2">
                  <c:v>61</c:v>
                </c:pt>
                <c:pt idx="3">
                  <c:v>58</c:v>
                </c:pt>
                <c:pt idx="4">
                  <c:v>58</c:v>
                </c:pt>
                <c:pt idx="5">
                  <c:v>36</c:v>
                </c:pt>
                <c:pt idx="6">
                  <c:v>51</c:v>
                </c:pt>
                <c:pt idx="7">
                  <c:v>45</c:v>
                </c:pt>
              </c:numCache>
            </c:numRef>
          </c:val>
          <c:smooth val="0"/>
          <c:extLst>
            <c:ext xmlns:c16="http://schemas.microsoft.com/office/drawing/2014/chart" uri="{C3380CC4-5D6E-409C-BE32-E72D297353CC}">
              <c16:uniqueId val="{00000003-6780-4AAD-A87F-F97C3DD5EC97}"/>
            </c:ext>
          </c:extLst>
        </c:ser>
        <c:dLbls>
          <c:showLegendKey val="0"/>
          <c:showVal val="0"/>
          <c:showCatName val="0"/>
          <c:showSerName val="0"/>
          <c:showPercent val="0"/>
          <c:showBubbleSize val="0"/>
        </c:dLbls>
        <c:smooth val="0"/>
        <c:axId val="332956847"/>
        <c:axId val="591330239"/>
      </c:lineChart>
      <c:catAx>
        <c:axId val="33295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91330239"/>
        <c:crosses val="autoZero"/>
        <c:auto val="1"/>
        <c:lblAlgn val="ctr"/>
        <c:lblOffset val="100"/>
        <c:noMultiLvlLbl val="0"/>
      </c:catAx>
      <c:valAx>
        <c:axId val="591330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3295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8.9062454867389576E-2"/>
          <c:y val="0.13056968668512348"/>
          <c:w val="0.80874479831620461"/>
          <c:h val="0.76798826760681849"/>
        </c:manualLayout>
      </c:layout>
      <c:pieChart>
        <c:varyColors val="1"/>
        <c:ser>
          <c:idx val="0"/>
          <c:order val="0"/>
          <c:tx>
            <c:strRef>
              <c:f>'Gasto de Inversion'!$L$34</c:f>
              <c:strCache>
                <c:ptCount val="1"/>
                <c:pt idx="0">
                  <c:v>2022 - 2024*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FC-4E06-8716-082AFD6D5DE3}"/>
              </c:ext>
            </c:extLst>
          </c:dPt>
          <c:dPt>
            <c:idx val="1"/>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3-5DFC-4E06-8716-082AFD6D5DE3}"/>
              </c:ext>
            </c:extLst>
          </c:dPt>
          <c:dLbls>
            <c:dLbl>
              <c:idx val="0"/>
              <c:layout>
                <c:manualLayout>
                  <c:x val="-0.12220842167289617"/>
                  <c:y val="-0.2284905515468253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FC-4E06-8716-082AFD6D5DE3}"/>
                </c:ext>
              </c:extLst>
            </c:dLbl>
            <c:dLbl>
              <c:idx val="1"/>
              <c:layout>
                <c:manualLayout>
                  <c:x val="0.14273345210251079"/>
                  <c:y val="0.2048334618764909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FC-4E06-8716-082AFD6D5DE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'Gasto de Inversion'!$J$35:$J$36</c:f>
              <c:strCache>
                <c:ptCount val="2"/>
                <c:pt idx="0">
                  <c:v>Gasto Corriente</c:v>
                </c:pt>
                <c:pt idx="1">
                  <c:v>Gasto de Capital</c:v>
                </c:pt>
              </c:strCache>
            </c:strRef>
          </c:cat>
          <c:val>
            <c:numRef>
              <c:f>'Gasto de Inversion'!$L$35:$L$36</c:f>
              <c:numCache>
                <c:formatCode>0.0%</c:formatCode>
                <c:ptCount val="2"/>
                <c:pt idx="0">
                  <c:v>0.77230135569834402</c:v>
                </c:pt>
                <c:pt idx="1">
                  <c:v>0.22769864430165601</c:v>
                </c:pt>
              </c:numCache>
            </c:numRef>
          </c:val>
          <c:extLst>
            <c:ext xmlns:c16="http://schemas.microsoft.com/office/drawing/2014/chart" uri="{C3380CC4-5D6E-409C-BE32-E72D297353CC}">
              <c16:uniqueId val="{00000004-5DFC-4E06-8716-082AFD6D5DE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[2024 11 26 datos informe objeto del gasto y fuente de financiamiento 2019 a 2021.xlsx]Tabla dinamica!TablaDinámica1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2019 - 2021</a:t>
            </a:r>
          </a:p>
        </c:rich>
      </c:tx>
      <c:layout>
        <c:manualLayout>
          <c:xMode val="edge"/>
          <c:yMode val="edge"/>
          <c:x val="0.36632078725480849"/>
          <c:y val="2.73437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MX"/>
        </a:p>
      </c:txPr>
    </c:title>
    <c:autoTitleDeleted val="0"/>
    <c:pivotFmts>
      <c:pivotFmt>
        <c:idx val="0"/>
        <c:spPr>
          <a:solidFill>
            <a:schemeClr val="accent1"/>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dLbl>
          <c:idx val="0"/>
          <c:layout>
            <c:manualLayout>
              <c:x val="0.12216991897751911"/>
              <c:y val="-6.5994094488188978E-2"/>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dLbl>
          <c:idx val="0"/>
          <c:layout>
            <c:manualLayout>
              <c:x val="-8.959089352961315E-2"/>
              <c:y val="0.15869386118401865"/>
            </c:manualLayout>
          </c:layout>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lumMod val="50000"/>
            </a:schemeClr>
          </a:solidFill>
          <a:ln w="19050">
            <a:solidFill>
              <a:schemeClr val="lt1"/>
            </a:solidFill>
          </a:ln>
          <a:effectLst/>
        </c:spPr>
        <c:dLbl>
          <c:idx val="0"/>
          <c:layout>
            <c:manualLayout>
              <c:x val="0.19029855209753571"/>
              <c:y val="-0.100328897163134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lumMod val="50000"/>
            </a:schemeClr>
          </a:solidFill>
          <a:ln w="19050">
            <a:solidFill>
              <a:schemeClr val="lt1"/>
            </a:solidFill>
          </a:ln>
          <a:effectLst/>
        </c:spPr>
        <c:dLbl>
          <c:idx val="0"/>
          <c:layout>
            <c:manualLayout>
              <c:x val="-9.6258623922009748E-2"/>
              <c:y val="0.1760549722951297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4">
              <a:lumMod val="75000"/>
            </a:schemeClr>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8"/>
        <c:spPr>
          <a:solidFill>
            <a:schemeClr val="tx2">
              <a:lumMod val="60000"/>
              <a:lumOff val="40000"/>
            </a:schemeClr>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lumMod val="50000"/>
            </a:schemeClr>
          </a:solidFill>
          <a:ln w="19050">
            <a:solidFill>
              <a:schemeClr val="lt1"/>
            </a:solidFill>
          </a:ln>
          <a:effectLst/>
        </c:spPr>
        <c:dLbl>
          <c:idx val="0"/>
          <c:layout>
            <c:manualLayout>
              <c:x val="-9.6258623922009748E-2"/>
              <c:y val="0.1760549722951297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4">
              <a:lumMod val="75000"/>
            </a:schemeClr>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tx2">
              <a:lumMod val="60000"/>
              <a:lumOff val="40000"/>
            </a:schemeClr>
          </a:solidFill>
          <a:ln w="19050">
            <a:solidFill>
              <a:schemeClr val="lt1"/>
            </a:solidFill>
          </a:ln>
          <a:effectLst/>
        </c:spPr>
      </c:pivotFmt>
      <c:pivotFmt>
        <c:idx val="17"/>
        <c:spPr>
          <a:solidFill>
            <a:schemeClr val="accent2">
              <a:lumMod val="50000"/>
            </a:schemeClr>
          </a:solidFill>
          <a:ln w="19050">
            <a:solidFill>
              <a:schemeClr val="lt1"/>
            </a:solidFill>
          </a:ln>
          <a:effectLst/>
        </c:spPr>
        <c:dLbl>
          <c:idx val="0"/>
          <c:layout>
            <c:manualLayout>
              <c:x val="0.19029855209753571"/>
              <c:y val="-0.100328897163134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lumMod val="50000"/>
            </a:schemeClr>
          </a:solidFill>
          <a:ln w="19050">
            <a:solidFill>
              <a:schemeClr val="lt1"/>
            </a:solidFill>
          </a:ln>
          <a:effectLst/>
        </c:spPr>
        <c:dLbl>
          <c:idx val="0"/>
          <c:layout>
            <c:manualLayout>
              <c:x val="-9.6258623922009748E-2"/>
              <c:y val="0.1760549722951297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4">
              <a:lumMod val="75000"/>
            </a:schemeClr>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tx2">
              <a:lumMod val="60000"/>
              <a:lumOff val="40000"/>
            </a:schemeClr>
          </a:solidFill>
          <a:ln w="19050">
            <a:solidFill>
              <a:schemeClr val="lt1"/>
            </a:solidFill>
          </a:ln>
          <a:effectLst/>
        </c:spPr>
      </c:pivotFmt>
      <c:pivotFmt>
        <c:idx val="27"/>
        <c:spPr>
          <a:solidFill>
            <a:schemeClr val="accent2">
              <a:lumMod val="50000"/>
            </a:schemeClr>
          </a:solidFill>
          <a:ln w="19050">
            <a:solidFill>
              <a:schemeClr val="lt1"/>
            </a:solidFill>
          </a:ln>
          <a:effectLst/>
        </c:spPr>
        <c:dLbl>
          <c:idx val="0"/>
          <c:layout>
            <c:manualLayout>
              <c:x val="0.19029855209753571"/>
              <c:y val="-0.100328897163134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s>
    <c:plotArea>
      <c:layout>
        <c:manualLayout>
          <c:layoutTarget val="inner"/>
          <c:xMode val="edge"/>
          <c:yMode val="edge"/>
          <c:x val="8.0624637670524177E-2"/>
          <c:y val="0.13170152559055118"/>
          <c:w val="0.84212158126086989"/>
          <c:h val="0.70593473179133859"/>
        </c:manualLayout>
      </c:layout>
      <c:pieChart>
        <c:varyColors val="1"/>
        <c:ser>
          <c:idx val="0"/>
          <c:order val="0"/>
          <c:tx>
            <c:strRef>
              <c:f>'Tabla dinamica'!$N$6</c:f>
              <c:strCache>
                <c:ptCount val="1"/>
                <c:pt idx="0">
                  <c:v>Suma de DEVENGADO2</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FDAC-490C-9354-43E510EE0F2D}"/>
              </c:ext>
            </c:extLst>
          </c:dPt>
          <c:dPt>
            <c:idx val="1"/>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3-FDAC-490C-9354-43E510EE0F2D}"/>
              </c:ext>
            </c:extLst>
          </c:dPt>
          <c:dPt>
            <c:idx val="2"/>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5-FDAC-490C-9354-43E510EE0F2D}"/>
              </c:ext>
            </c:extLst>
          </c:dPt>
          <c:dPt>
            <c:idx val="3"/>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7-FDAC-490C-9354-43E510EE0F2D}"/>
              </c:ext>
            </c:extLst>
          </c:dPt>
          <c:dLbls>
            <c:dLbl>
              <c:idx val="0"/>
              <c:layout>
                <c:manualLayout>
                  <c:x val="-9.6258623922009748E-2"/>
                  <c:y val="0.1760549722951297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AC-490C-9354-43E510EE0F2D}"/>
                </c:ext>
              </c:extLst>
            </c:dLbl>
            <c:dLbl>
              <c:idx val="1"/>
              <c:layout>
                <c:manualLayout>
                  <c:x val="-1.2805365778485516E-4"/>
                  <c:y val="2.098609744094481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15:layout>
                    <c:manualLayout>
                      <c:w val="0.15677987246002451"/>
                      <c:h val="5.0722810039370077E-2"/>
                    </c:manualLayout>
                  </c15:layout>
                </c:ext>
                <c:ext xmlns:c16="http://schemas.microsoft.com/office/drawing/2014/chart" uri="{C3380CC4-5D6E-409C-BE32-E72D297353CC}">
                  <c16:uniqueId val="{00000003-FDAC-490C-9354-43E510EE0F2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6="http://schemas.microsoft.com/office/drawing/2014/chart" uri="{C3380CC4-5D6E-409C-BE32-E72D297353CC}">
                  <c16:uniqueId val="{00000005-FDAC-490C-9354-43E510EE0F2D}"/>
                </c:ext>
              </c:extLst>
            </c:dLbl>
            <c:dLbl>
              <c:idx val="3"/>
              <c:layout>
                <c:manualLayout>
                  <c:x val="0.19029855209753571"/>
                  <c:y val="-0.1003288971631347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AC-490C-9354-43E510EE0F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dinamica'!$M$7:$M$11</c:f>
              <c:strCache>
                <c:ptCount val="4"/>
                <c:pt idx="0">
                  <c:v>Aportaciones</c:v>
                </c:pt>
                <c:pt idx="1">
                  <c:v>Financiamiento</c:v>
                </c:pt>
                <c:pt idx="2">
                  <c:v>Subsidios Federales y Estatales</c:v>
                </c:pt>
                <c:pt idx="3">
                  <c:v>Recursos Municipales</c:v>
                </c:pt>
              </c:strCache>
            </c:strRef>
          </c:cat>
          <c:val>
            <c:numRef>
              <c:f>'Tabla dinamica'!$N$7:$N$11</c:f>
              <c:numCache>
                <c:formatCode>0.00%</c:formatCode>
                <c:ptCount val="4"/>
                <c:pt idx="0">
                  <c:v>0.25791287982335531</c:v>
                </c:pt>
                <c:pt idx="1">
                  <c:v>6.3987134084695311E-3</c:v>
                </c:pt>
                <c:pt idx="2">
                  <c:v>0.15563708077568572</c:v>
                </c:pt>
                <c:pt idx="3">
                  <c:v>0.58005132599248943</c:v>
                </c:pt>
              </c:numCache>
            </c:numRef>
          </c:val>
          <c:extLst>
            <c:ext xmlns:c16="http://schemas.microsoft.com/office/drawing/2014/chart" uri="{C3380CC4-5D6E-409C-BE32-E72D297353CC}">
              <c16:uniqueId val="{00000008-FDAC-490C-9354-43E510EE0F2D}"/>
            </c:ext>
          </c:extLst>
        </c:ser>
        <c:ser>
          <c:idx val="1"/>
          <c:order val="1"/>
          <c:tx>
            <c:strRef>
              <c:f>'Tabla dinamica'!$O$6</c:f>
              <c:strCache>
                <c:ptCount val="1"/>
                <c:pt idx="0">
                  <c:v>Suma de DEVENGADO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FDAC-490C-9354-43E510EE0F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FDAC-490C-9354-43E510EE0F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FDAC-490C-9354-43E510EE0F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FDAC-490C-9354-43E510EE0F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dinamica'!$M$7:$M$11</c:f>
              <c:strCache>
                <c:ptCount val="4"/>
                <c:pt idx="0">
                  <c:v>Aportaciones</c:v>
                </c:pt>
                <c:pt idx="1">
                  <c:v>Financiamiento</c:v>
                </c:pt>
                <c:pt idx="2">
                  <c:v>Subsidios Federales y Estatales</c:v>
                </c:pt>
                <c:pt idx="3">
                  <c:v>Recursos Municipales</c:v>
                </c:pt>
              </c:strCache>
            </c:strRef>
          </c:cat>
          <c:val>
            <c:numRef>
              <c:f>'Tabla dinamica'!$O$7:$O$11</c:f>
              <c:numCache>
                <c:formatCode>_(* #,##0_);_(* \(#,##0\);_(* "-"_);_(@_)</c:formatCode>
                <c:ptCount val="4"/>
                <c:pt idx="0">
                  <c:v>377694216.43000036</c:v>
                </c:pt>
                <c:pt idx="1">
                  <c:v>9370439.5399999991</c:v>
                </c:pt>
                <c:pt idx="2">
                  <c:v>227918920.96000001</c:v>
                </c:pt>
                <c:pt idx="3">
                  <c:v>849441994.56019962</c:v>
                </c:pt>
              </c:numCache>
            </c:numRef>
          </c:val>
          <c:extLst>
            <c:ext xmlns:c16="http://schemas.microsoft.com/office/drawing/2014/chart" uri="{C3380CC4-5D6E-409C-BE32-E72D297353CC}">
              <c16:uniqueId val="{00000011-FDAC-490C-9354-43E510EE0F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
          <c:y val="0.92856391486220469"/>
          <c:w val="0.99761211503238356"/>
          <c:h val="6.510642224409449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[2024 11 25 datos informe objeto del gasto y fuente de financiamiento.xlsx]Tabla dinamica!TablaDinámica3</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baseline="0"/>
              <a:t>2022 - 2024</a:t>
            </a:r>
          </a:p>
        </c:rich>
      </c:tx>
      <c:layout>
        <c:manualLayout>
          <c:xMode val="edge"/>
          <c:yMode val="edge"/>
          <c:x val="0.35674345054694256"/>
          <c:y val="2.573351170609846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MX"/>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lumMod val="50000"/>
            </a:schemeClr>
          </a:solidFill>
          <a:ln w="19050">
            <a:solidFill>
              <a:schemeClr val="lt1"/>
            </a:solidFill>
          </a:ln>
          <a:effectLst/>
        </c:spPr>
        <c:dLbl>
          <c:idx val="0"/>
          <c:layout>
            <c:manualLayout>
              <c:x val="0.1386733471132448"/>
              <c:y val="-0.1852499072259222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lumMod val="50000"/>
            </a:schemeClr>
          </a:solidFill>
          <a:ln w="19050">
            <a:solidFill>
              <a:schemeClr val="lt1"/>
            </a:solidFill>
          </a:ln>
          <a:effectLst/>
        </c:spPr>
        <c:dLbl>
          <c:idx val="0"/>
          <c:layout>
            <c:manualLayout>
              <c:x val="-0.11967003003971151"/>
              <c:y val="0.1663842735154076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tx2">
              <a:lumMod val="60000"/>
              <a:lumOff val="40000"/>
            </a:schemeClr>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lumMod val="50000"/>
            </a:schemeClr>
          </a:solidFill>
          <a:ln w="19050">
            <a:solidFill>
              <a:schemeClr val="lt1"/>
            </a:solidFill>
          </a:ln>
          <a:effectLst/>
        </c:spPr>
        <c:dLbl>
          <c:idx val="0"/>
          <c:layout>
            <c:manualLayout>
              <c:x val="-0.11967003003971151"/>
              <c:y val="0.1663842735154076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tx2">
              <a:lumMod val="60000"/>
              <a:lumOff val="40000"/>
            </a:schemeClr>
          </a:solidFill>
          <a:ln w="19050">
            <a:solidFill>
              <a:schemeClr val="lt1"/>
            </a:solidFill>
          </a:ln>
          <a:effectLst/>
        </c:spPr>
      </c:pivotFmt>
      <c:pivotFmt>
        <c:idx val="11"/>
        <c:spPr>
          <a:solidFill>
            <a:schemeClr val="accent2">
              <a:lumMod val="50000"/>
            </a:schemeClr>
          </a:solidFill>
          <a:ln w="19050">
            <a:solidFill>
              <a:schemeClr val="lt1"/>
            </a:solidFill>
          </a:ln>
          <a:effectLst/>
        </c:spPr>
        <c:dLbl>
          <c:idx val="0"/>
          <c:layout>
            <c:manualLayout>
              <c:x val="0.1386733471132448"/>
              <c:y val="-0.1852499072259222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lumMod val="50000"/>
            </a:schemeClr>
          </a:solidFill>
          <a:ln w="19050">
            <a:solidFill>
              <a:schemeClr val="lt1"/>
            </a:solidFill>
          </a:ln>
          <a:effectLst/>
        </c:spPr>
        <c:dLbl>
          <c:idx val="0"/>
          <c:layout>
            <c:manualLayout>
              <c:x val="-0.11967003003971151"/>
              <c:y val="0.1663842735154076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tx2">
              <a:lumMod val="60000"/>
              <a:lumOff val="40000"/>
            </a:schemeClr>
          </a:solidFill>
          <a:ln w="19050">
            <a:solidFill>
              <a:schemeClr val="lt1"/>
            </a:solidFill>
          </a:ln>
          <a:effectLst/>
        </c:spPr>
      </c:pivotFmt>
      <c:pivotFmt>
        <c:idx val="19"/>
        <c:spPr>
          <a:solidFill>
            <a:schemeClr val="accent2">
              <a:lumMod val="50000"/>
            </a:schemeClr>
          </a:solidFill>
          <a:ln w="19050">
            <a:solidFill>
              <a:schemeClr val="lt1"/>
            </a:solidFill>
          </a:ln>
          <a:effectLst/>
        </c:spPr>
        <c:dLbl>
          <c:idx val="0"/>
          <c:layout>
            <c:manualLayout>
              <c:x val="0.1386733471132448"/>
              <c:y val="-0.1852499072259222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s>
    <c:plotArea>
      <c:layout>
        <c:manualLayout>
          <c:layoutTarget val="inner"/>
          <c:xMode val="edge"/>
          <c:yMode val="edge"/>
          <c:x val="7.6737509260617787E-2"/>
          <c:y val="0.12706343805789708"/>
          <c:w val="0.83733591272105479"/>
          <c:h val="0.71328614787349109"/>
        </c:manualLayout>
      </c:layout>
      <c:pieChart>
        <c:varyColors val="1"/>
        <c:ser>
          <c:idx val="0"/>
          <c:order val="0"/>
          <c:tx>
            <c:strRef>
              <c:f>'Tabla dinamica'!$H$5</c:f>
              <c:strCache>
                <c:ptCount val="1"/>
                <c:pt idx="0">
                  <c:v>Suma de MODIFICADO</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6998-45F4-9FD1-4EBDC339E9BB}"/>
              </c:ext>
            </c:extLst>
          </c:dPt>
          <c:dPt>
            <c:idx val="1"/>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3-6998-45F4-9FD1-4EBDC339E9BB}"/>
              </c:ext>
            </c:extLst>
          </c:dPt>
          <c:dPt>
            <c:idx val="2"/>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5-6998-45F4-9FD1-4EBDC339E9BB}"/>
              </c:ext>
            </c:extLst>
          </c:dPt>
          <c:dLbls>
            <c:dLbl>
              <c:idx val="0"/>
              <c:layout>
                <c:manualLayout>
                  <c:x val="-0.11967003003971151"/>
                  <c:y val="0.1663842735154076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98-45F4-9FD1-4EBDC339E9BB}"/>
                </c:ext>
              </c:extLst>
            </c:dLbl>
            <c:dLbl>
              <c:idx val="2"/>
              <c:layout>
                <c:manualLayout>
                  <c:x val="0.1386733471132448"/>
                  <c:y val="-0.1852499072259222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98-45F4-9FD1-4EBDC339E9B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 dinamica'!$G$6:$G$9</c:f>
              <c:strCache>
                <c:ptCount val="3"/>
                <c:pt idx="0">
                  <c:v>Aportaciones</c:v>
                </c:pt>
                <c:pt idx="1">
                  <c:v>Subsidios Federales y Estatales</c:v>
                </c:pt>
                <c:pt idx="2">
                  <c:v>Recursos Municipales</c:v>
                </c:pt>
              </c:strCache>
            </c:strRef>
          </c:cat>
          <c:val>
            <c:numRef>
              <c:f>'Tabla dinamica'!$H$6:$H$9</c:f>
              <c:numCache>
                <c:formatCode>0.0%</c:formatCode>
                <c:ptCount val="3"/>
                <c:pt idx="0">
                  <c:v>0.19230969754366115</c:v>
                </c:pt>
                <c:pt idx="1">
                  <c:v>4.6463701412264323E-2</c:v>
                </c:pt>
                <c:pt idx="2">
                  <c:v>0.76122660104407458</c:v>
                </c:pt>
              </c:numCache>
            </c:numRef>
          </c:val>
          <c:extLst>
            <c:ext xmlns:c16="http://schemas.microsoft.com/office/drawing/2014/chart" uri="{C3380CC4-5D6E-409C-BE32-E72D297353CC}">
              <c16:uniqueId val="{00000006-6998-45F4-9FD1-4EBDC339E9BB}"/>
            </c:ext>
          </c:extLst>
        </c:ser>
        <c:ser>
          <c:idx val="1"/>
          <c:order val="1"/>
          <c:tx>
            <c:strRef>
              <c:f>'Tabla dinamica'!$I$5</c:f>
              <c:strCache>
                <c:ptCount val="1"/>
                <c:pt idx="0">
                  <c:v>Suma de MODIFICADO2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6998-45F4-9FD1-4EBDC339E9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6998-45F4-9FD1-4EBDC339E9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6998-45F4-9FD1-4EBDC339E9BB}"/>
              </c:ext>
            </c:extLst>
          </c:dPt>
          <c:cat>
            <c:strRef>
              <c:f>'Tabla dinamica'!$G$6:$G$9</c:f>
              <c:strCache>
                <c:ptCount val="3"/>
                <c:pt idx="0">
                  <c:v>Aportaciones</c:v>
                </c:pt>
                <c:pt idx="1">
                  <c:v>Subsidios Federales y Estatales</c:v>
                </c:pt>
                <c:pt idx="2">
                  <c:v>Recursos Municipales</c:v>
                </c:pt>
              </c:strCache>
            </c:strRef>
          </c:cat>
          <c:val>
            <c:numRef>
              <c:f>'Tabla dinamica'!$I$6:$I$9</c:f>
              <c:numCache>
                <c:formatCode>_("$"* #,##0.00_);_("$"* \(#,##0.00\);_("$"* "-"??_);_(@_)</c:formatCode>
                <c:ptCount val="3"/>
                <c:pt idx="0">
                  <c:v>690461730.52999997</c:v>
                </c:pt>
                <c:pt idx="1">
                  <c:v>166821580.47</c:v>
                </c:pt>
                <c:pt idx="2">
                  <c:v>2733080250.2199984</c:v>
                </c:pt>
              </c:numCache>
            </c:numRef>
          </c:val>
          <c:extLst>
            <c:ext xmlns:c16="http://schemas.microsoft.com/office/drawing/2014/chart" uri="{C3380CC4-5D6E-409C-BE32-E72D297353CC}">
              <c16:uniqueId val="{0000000D-6998-45F4-9FD1-4EBDC339E9B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
          <c:y val="0.93361292801362794"/>
          <c:w val="0.99474920707375347"/>
          <c:h val="6.610770820459949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Recursos Municipales</a:t>
            </a:r>
          </a:p>
          <a:p>
            <a:pPr>
              <a:defRPr b="1"/>
            </a:pPr>
            <a:r>
              <a:rPr lang="en-US" sz="1000" b="1"/>
              <a:t>mdp</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8.3333333333333332E-3"/>
          <c:y val="0.17171296296296296"/>
          <c:w val="0.9916666666666667"/>
          <c:h val="0.71230715952172641"/>
        </c:manualLayout>
      </c:layout>
      <c:barChart>
        <c:barDir val="col"/>
        <c:grouping val="clustered"/>
        <c:varyColors val="0"/>
        <c:ser>
          <c:idx val="0"/>
          <c:order val="0"/>
          <c:tx>
            <c:strRef>
              <c:f>'Tabla dinamica'!$A$44</c:f>
              <c:strCache>
                <c:ptCount val="1"/>
                <c:pt idx="0">
                  <c:v>Recursos Municipales</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dinamica'!$B$42:$C$42</c:f>
              <c:strCache>
                <c:ptCount val="2"/>
                <c:pt idx="0">
                  <c:v>2019 - 2021</c:v>
                </c:pt>
                <c:pt idx="1">
                  <c:v>2022 - 2024*</c:v>
                </c:pt>
              </c:strCache>
            </c:strRef>
          </c:cat>
          <c:val>
            <c:numRef>
              <c:f>'Tabla dinamica'!$B$44:$C$44</c:f>
              <c:numCache>
                <c:formatCode>_(* #,##0_);_(* \(#,##0\);_(* "-"_);_(@_)</c:formatCode>
                <c:ptCount val="2"/>
                <c:pt idx="0">
                  <c:v>849441994.56019974</c:v>
                </c:pt>
                <c:pt idx="1">
                  <c:v>2733080250.2200003</c:v>
                </c:pt>
              </c:numCache>
            </c:numRef>
          </c:val>
          <c:extLst>
            <c:ext xmlns:c16="http://schemas.microsoft.com/office/drawing/2014/chart" uri="{C3380CC4-5D6E-409C-BE32-E72D297353CC}">
              <c16:uniqueId val="{00000000-28A6-4C91-BCA8-8405F368261C}"/>
            </c:ext>
          </c:extLst>
        </c:ser>
        <c:dLbls>
          <c:dLblPos val="inEnd"/>
          <c:showLegendKey val="0"/>
          <c:showVal val="1"/>
          <c:showCatName val="0"/>
          <c:showSerName val="0"/>
          <c:showPercent val="0"/>
          <c:showBubbleSize val="0"/>
        </c:dLbls>
        <c:gapWidth val="30"/>
        <c:overlap val="-27"/>
        <c:axId val="879065104"/>
        <c:axId val="879048048"/>
      </c:barChart>
      <c:catAx>
        <c:axId val="87906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2">
                    <a:lumMod val="50000"/>
                  </a:schemeClr>
                </a:solidFill>
                <a:latin typeface="+mn-lt"/>
                <a:ea typeface="+mn-ea"/>
                <a:cs typeface="+mn-cs"/>
              </a:defRPr>
            </a:pPr>
            <a:endParaRPr lang="es-MX"/>
          </a:p>
        </c:txPr>
        <c:crossAx val="879048048"/>
        <c:crosses val="autoZero"/>
        <c:auto val="1"/>
        <c:lblAlgn val="ctr"/>
        <c:lblOffset val="100"/>
        <c:noMultiLvlLbl val="0"/>
      </c:catAx>
      <c:valAx>
        <c:axId val="879048048"/>
        <c:scaling>
          <c:orientation val="minMax"/>
        </c:scaling>
        <c:delete val="1"/>
        <c:axPos val="l"/>
        <c:numFmt formatCode="_(* #,##0_);_(* \(#,##0\);_(* &quot;-&quot;_);_(@_)" sourceLinked="1"/>
        <c:majorTickMark val="none"/>
        <c:minorTickMark val="none"/>
        <c:tickLblPos val="nextTo"/>
        <c:crossAx val="87906510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7171296296296298"/>
          <c:w val="1"/>
          <c:h val="0.71230715952172641"/>
        </c:manualLayout>
      </c:layout>
      <c:barChart>
        <c:barDir val="col"/>
        <c:grouping val="clustered"/>
        <c:varyColors val="0"/>
        <c:ser>
          <c:idx val="0"/>
          <c:order val="0"/>
          <c:tx>
            <c:strRef>
              <c:f>'Tabla dinamica'!$A$43</c:f>
              <c:strCache>
                <c:ptCount val="1"/>
                <c:pt idx="0">
                  <c:v>Subsidios Federales y Estatales</c:v>
                </c:pt>
              </c:strCache>
            </c:strRef>
          </c:tx>
          <c:spPr>
            <a:solidFill>
              <a:schemeClr val="accent1">
                <a:lumMod val="75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dinamica'!$B$42:$C$42</c:f>
              <c:strCache>
                <c:ptCount val="2"/>
                <c:pt idx="0">
                  <c:v>2019 - 2021</c:v>
                </c:pt>
                <c:pt idx="1">
                  <c:v>2022 - 2024*</c:v>
                </c:pt>
              </c:strCache>
            </c:strRef>
          </c:cat>
          <c:val>
            <c:numRef>
              <c:f>'Tabla dinamica'!$B$43:$C$43</c:f>
              <c:numCache>
                <c:formatCode>_(* #,##0_);_(* \(#,##0\);_(* "-"_);_(@_)</c:formatCode>
                <c:ptCount val="2"/>
                <c:pt idx="0">
                  <c:v>227918920.96000004</c:v>
                </c:pt>
                <c:pt idx="1">
                  <c:v>166821580.47</c:v>
                </c:pt>
              </c:numCache>
            </c:numRef>
          </c:val>
          <c:extLst>
            <c:ext xmlns:c16="http://schemas.microsoft.com/office/drawing/2014/chart" uri="{C3380CC4-5D6E-409C-BE32-E72D297353CC}">
              <c16:uniqueId val="{00000000-F14B-4DBB-88AB-93471BF84095}"/>
            </c:ext>
          </c:extLst>
        </c:ser>
        <c:dLbls>
          <c:dLblPos val="inEnd"/>
          <c:showLegendKey val="0"/>
          <c:showVal val="1"/>
          <c:showCatName val="0"/>
          <c:showSerName val="0"/>
          <c:showPercent val="0"/>
          <c:showBubbleSize val="0"/>
        </c:dLbls>
        <c:gapWidth val="30"/>
        <c:overlap val="-27"/>
        <c:axId val="879065104"/>
        <c:axId val="879048048"/>
      </c:barChart>
      <c:catAx>
        <c:axId val="87906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2">
                    <a:lumMod val="50000"/>
                  </a:schemeClr>
                </a:solidFill>
                <a:latin typeface="+mn-lt"/>
                <a:ea typeface="+mn-ea"/>
                <a:cs typeface="+mn-cs"/>
              </a:defRPr>
            </a:pPr>
            <a:endParaRPr lang="es-MX"/>
          </a:p>
        </c:txPr>
        <c:crossAx val="879048048"/>
        <c:crosses val="autoZero"/>
        <c:auto val="1"/>
        <c:lblAlgn val="ctr"/>
        <c:lblOffset val="100"/>
        <c:noMultiLvlLbl val="0"/>
      </c:catAx>
      <c:valAx>
        <c:axId val="879048048"/>
        <c:scaling>
          <c:orientation val="minMax"/>
        </c:scaling>
        <c:delete val="1"/>
        <c:axPos val="l"/>
        <c:numFmt formatCode="_(* #,##0_);_(* \(#,##0\);_(* &quot;-&quot;_);_(@_)" sourceLinked="1"/>
        <c:majorTickMark val="none"/>
        <c:minorTickMark val="none"/>
        <c:tickLblPos val="nextTo"/>
        <c:crossAx val="87906510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320088300220751E-2"/>
          <c:y val="1.986493261376036E-2"/>
          <c:w val="0.93524650478292859"/>
          <c:h val="0.86878449182616213"/>
        </c:manualLayout>
      </c:layout>
      <c:barChart>
        <c:barDir val="col"/>
        <c:grouping val="clustered"/>
        <c:varyColors val="0"/>
        <c:ser>
          <c:idx val="0"/>
          <c:order val="0"/>
          <c:tx>
            <c:strRef>
              <c:f>'Gasto de Inversion'!$J$59</c:f>
              <c:strCache>
                <c:ptCount val="1"/>
                <c:pt idx="0">
                  <c:v>Inversion Municipal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'Gasto de Inversion'!$K$58:$L$58</c:f>
              <c:strCache>
                <c:ptCount val="2"/>
                <c:pt idx="0">
                  <c:v>2019 - 2021</c:v>
                </c:pt>
                <c:pt idx="1">
                  <c:v>2022 - 2024*</c:v>
                </c:pt>
              </c:strCache>
            </c:strRef>
          </c:cat>
          <c:val>
            <c:numRef>
              <c:f>'Gasto de Inversion'!$K$59:$L$59</c:f>
              <c:numCache>
                <c:formatCode>_-"$"* #,##0.0_-;\-"$"* #,##0.0_-;_-"$"* "-"??_-;_-@_-</c:formatCode>
                <c:ptCount val="2"/>
                <c:pt idx="0">
                  <c:v>899.88657710020004</c:v>
                </c:pt>
                <c:pt idx="1">
                  <c:v>2109.20851597</c:v>
                </c:pt>
              </c:numCache>
            </c:numRef>
          </c:val>
          <c:extLst>
            <c:ext xmlns:c16="http://schemas.microsoft.com/office/drawing/2014/chart" uri="{C3380CC4-5D6E-409C-BE32-E72D297353CC}">
              <c16:uniqueId val="{00000000-9F4C-4610-ADAF-F80DA448B8A7}"/>
            </c:ext>
          </c:extLst>
        </c:ser>
        <c:dLbls>
          <c:showLegendKey val="0"/>
          <c:showVal val="0"/>
          <c:showCatName val="0"/>
          <c:showSerName val="0"/>
          <c:showPercent val="0"/>
          <c:showBubbleSize val="0"/>
        </c:dLbls>
        <c:gapWidth val="80"/>
        <c:overlap val="-27"/>
        <c:axId val="247368032"/>
        <c:axId val="247361792"/>
      </c:barChart>
      <c:catAx>
        <c:axId val="24736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s-MX"/>
          </a:p>
        </c:txPr>
        <c:crossAx val="247361792"/>
        <c:crosses val="autoZero"/>
        <c:auto val="1"/>
        <c:lblAlgn val="ctr"/>
        <c:lblOffset val="100"/>
        <c:noMultiLvlLbl val="0"/>
      </c:catAx>
      <c:valAx>
        <c:axId val="247361792"/>
        <c:scaling>
          <c:orientation val="minMax"/>
        </c:scaling>
        <c:delete val="1"/>
        <c:axPos val="l"/>
        <c:numFmt formatCode="_-&quot;$&quot;* #,##0.0_-;\-&quot;$&quot;* #,##0.0_-;_-&quot;$&quot;* &quot;-&quot;??_-;_-@_-" sourceLinked="1"/>
        <c:majorTickMark val="none"/>
        <c:minorTickMark val="none"/>
        <c:tickLblPos val="nextTo"/>
        <c:crossAx val="24736803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Hoja1!$A$4:$A$7</c:f>
              <c:numCache>
                <c:formatCode>General</c:formatCode>
                <c:ptCount val="4"/>
                <c:pt idx="0">
                  <c:v>2021</c:v>
                </c:pt>
                <c:pt idx="1">
                  <c:v>2022</c:v>
                </c:pt>
                <c:pt idx="2">
                  <c:v>2023</c:v>
                </c:pt>
                <c:pt idx="3" formatCode="mmm\-yy">
                  <c:v>45536</c:v>
                </c:pt>
              </c:numCache>
            </c:numRef>
          </c:cat>
          <c:val>
            <c:numRef>
              <c:f>Hoja1!$B$4:$B$7</c:f>
              <c:numCache>
                <c:formatCode>General</c:formatCode>
                <c:ptCount val="4"/>
                <c:pt idx="0">
                  <c:v>180</c:v>
                </c:pt>
                <c:pt idx="1">
                  <c:v>110</c:v>
                </c:pt>
                <c:pt idx="2">
                  <c:v>158.30000000000001</c:v>
                </c:pt>
                <c:pt idx="3">
                  <c:v>0</c:v>
                </c:pt>
              </c:numCache>
            </c:numRef>
          </c:val>
          <c:extLst>
            <c:ext xmlns:c16="http://schemas.microsoft.com/office/drawing/2014/chart" uri="{C3380CC4-5D6E-409C-BE32-E72D297353CC}">
              <c16:uniqueId val="{00000000-FA98-D540-BBC6-A621A7B27A6C}"/>
            </c:ext>
          </c:extLst>
        </c:ser>
        <c:dLbls>
          <c:showLegendKey val="0"/>
          <c:showVal val="0"/>
          <c:showCatName val="0"/>
          <c:showSerName val="0"/>
          <c:showPercent val="0"/>
          <c:showBubbleSize val="0"/>
        </c:dLbls>
        <c:gapWidth val="100"/>
        <c:overlap val="-24"/>
        <c:axId val="1662245231"/>
        <c:axId val="1662234671"/>
      </c:barChart>
      <c:catAx>
        <c:axId val="16622452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662234671"/>
        <c:crosses val="autoZero"/>
        <c:auto val="1"/>
        <c:lblAlgn val="ctr"/>
        <c:lblOffset val="100"/>
        <c:noMultiLvlLbl val="0"/>
      </c:catAx>
      <c:valAx>
        <c:axId val="166223467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6622452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Hoja1!$A$28:$B$38</c:f>
              <c:multiLvlStrCache>
                <c:ptCount val="11"/>
                <c:lvl>
                  <c:pt idx="0">
                    <c:v>IV</c:v>
                  </c:pt>
                  <c:pt idx="1">
                    <c:v>I</c:v>
                  </c:pt>
                  <c:pt idx="2">
                    <c:v>II</c:v>
                  </c:pt>
                  <c:pt idx="3">
                    <c:v>III</c:v>
                  </c:pt>
                  <c:pt idx="4">
                    <c:v>IV</c:v>
                  </c:pt>
                  <c:pt idx="5">
                    <c:v>I</c:v>
                  </c:pt>
                  <c:pt idx="6">
                    <c:v>II</c:v>
                  </c:pt>
                  <c:pt idx="7">
                    <c:v>III</c:v>
                  </c:pt>
                  <c:pt idx="8">
                    <c:v>IV</c:v>
                  </c:pt>
                  <c:pt idx="9">
                    <c:v>I</c:v>
                  </c:pt>
                  <c:pt idx="10">
                    <c:v>II</c:v>
                  </c:pt>
                </c:lvl>
                <c:lvl>
                  <c:pt idx="0">
                    <c:v>2021</c:v>
                  </c:pt>
                  <c:pt idx="1">
                    <c:v>2022</c:v>
                  </c:pt>
                  <c:pt idx="5">
                    <c:v>2023</c:v>
                  </c:pt>
                  <c:pt idx="9">
                    <c:v>2024</c:v>
                  </c:pt>
                </c:lvl>
              </c:multiLvlStrCache>
            </c:multiLvlStrRef>
          </c:cat>
          <c:val>
            <c:numRef>
              <c:f>Hoja1!$C$28:$C$38</c:f>
              <c:numCache>
                <c:formatCode>#,##0.0</c:formatCode>
                <c:ptCount val="11"/>
                <c:pt idx="0">
                  <c:v>1875.43286347</c:v>
                </c:pt>
                <c:pt idx="1">
                  <c:v>1802.41152304</c:v>
                </c:pt>
                <c:pt idx="2">
                  <c:v>1738.17763206</c:v>
                </c:pt>
                <c:pt idx="3">
                  <c:v>1687.02535577</c:v>
                </c:pt>
                <c:pt idx="4">
                  <c:v>1774.33390005</c:v>
                </c:pt>
                <c:pt idx="5">
                  <c:v>1735.64359399</c:v>
                </c:pt>
                <c:pt idx="6">
                  <c:v>1701.9442987299999</c:v>
                </c:pt>
                <c:pt idx="7">
                  <c:v>1674.7725521699999</c:v>
                </c:pt>
                <c:pt idx="8">
                  <c:v>1806.7328310600001</c:v>
                </c:pt>
                <c:pt idx="9">
                  <c:v>1723.7566300799999</c:v>
                </c:pt>
                <c:pt idx="10">
                  <c:v>1639.5</c:v>
                </c:pt>
              </c:numCache>
            </c:numRef>
          </c:val>
          <c:extLst>
            <c:ext xmlns:c16="http://schemas.microsoft.com/office/drawing/2014/chart" uri="{C3380CC4-5D6E-409C-BE32-E72D297353CC}">
              <c16:uniqueId val="{00000000-613E-F849-BA3C-79DAE9D86098}"/>
            </c:ext>
          </c:extLst>
        </c:ser>
        <c:dLbls>
          <c:showLegendKey val="0"/>
          <c:showVal val="0"/>
          <c:showCatName val="0"/>
          <c:showSerName val="0"/>
          <c:showPercent val="0"/>
          <c:showBubbleSize val="0"/>
        </c:dLbls>
        <c:gapWidth val="50"/>
        <c:axId val="1610090720"/>
        <c:axId val="1637091008"/>
      </c:barChart>
      <c:catAx>
        <c:axId val="161009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37091008"/>
        <c:crosses val="autoZero"/>
        <c:auto val="1"/>
        <c:lblAlgn val="ctr"/>
        <c:lblOffset val="100"/>
        <c:noMultiLvlLbl val="0"/>
      </c:catAx>
      <c:valAx>
        <c:axId val="1637091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009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Pt>
            <c:idx val="12"/>
            <c:invertIfNegative val="0"/>
            <c:bubble3D val="0"/>
            <c:spPr>
              <a:solidFill>
                <a:srgbClr val="92D050"/>
              </a:solidFill>
              <a:ln>
                <a:noFill/>
              </a:ln>
              <a:effectLst/>
            </c:spPr>
            <c:extLst>
              <c:ext xmlns:c16="http://schemas.microsoft.com/office/drawing/2014/chart" uri="{C3380CC4-5D6E-409C-BE32-E72D297353CC}">
                <c16:uniqueId val="{00000001-FBF8-9640-BA02-150D6697A3D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Pecepción!$B$63:$B$75</c:f>
              <c:numCache>
                <c:formatCode>mmm\-yy</c:formatCode>
                <c:ptCount val="13"/>
                <c:pt idx="0">
                  <c:v>44440</c:v>
                </c:pt>
                <c:pt idx="1">
                  <c:v>44531</c:v>
                </c:pt>
                <c:pt idx="2">
                  <c:v>44621</c:v>
                </c:pt>
                <c:pt idx="3">
                  <c:v>44713</c:v>
                </c:pt>
                <c:pt idx="4">
                  <c:v>44805</c:v>
                </c:pt>
                <c:pt idx="5">
                  <c:v>44896</c:v>
                </c:pt>
                <c:pt idx="6">
                  <c:v>44986</c:v>
                </c:pt>
                <c:pt idx="7">
                  <c:v>45078</c:v>
                </c:pt>
                <c:pt idx="8">
                  <c:v>45170</c:v>
                </c:pt>
                <c:pt idx="9">
                  <c:v>45261</c:v>
                </c:pt>
                <c:pt idx="10">
                  <c:v>45352</c:v>
                </c:pt>
                <c:pt idx="11">
                  <c:v>45444</c:v>
                </c:pt>
                <c:pt idx="12">
                  <c:v>45536</c:v>
                </c:pt>
              </c:numCache>
            </c:numRef>
          </c:cat>
          <c:val>
            <c:numRef>
              <c:f>Pecepción!$C$63:$C$75</c:f>
              <c:numCache>
                <c:formatCode>0.0</c:formatCode>
                <c:ptCount val="13"/>
                <c:pt idx="0">
                  <c:v>66.800212597637895</c:v>
                </c:pt>
                <c:pt idx="1">
                  <c:v>59.522687778881597</c:v>
                </c:pt>
                <c:pt idx="2">
                  <c:v>58.593188129400801</c:v>
                </c:pt>
                <c:pt idx="3">
                  <c:v>60.481600268127202</c:v>
                </c:pt>
                <c:pt idx="4">
                  <c:v>55.365521959005498</c:v>
                </c:pt>
                <c:pt idx="5">
                  <c:v>55.842397361950702</c:v>
                </c:pt>
                <c:pt idx="6">
                  <c:v>52.207610750390401</c:v>
                </c:pt>
                <c:pt idx="7">
                  <c:v>47.040138852870498</c:v>
                </c:pt>
                <c:pt idx="8">
                  <c:v>46.529032387452801</c:v>
                </c:pt>
                <c:pt idx="9" formatCode="General">
                  <c:v>46.9</c:v>
                </c:pt>
                <c:pt idx="10" formatCode="General">
                  <c:v>48.9</c:v>
                </c:pt>
                <c:pt idx="11">
                  <c:v>43.119358923086402</c:v>
                </c:pt>
                <c:pt idx="12">
                  <c:v>48.236974851798699</c:v>
                </c:pt>
              </c:numCache>
            </c:numRef>
          </c:val>
          <c:extLst>
            <c:ext xmlns:c16="http://schemas.microsoft.com/office/drawing/2014/chart" uri="{C3380CC4-5D6E-409C-BE32-E72D297353CC}">
              <c16:uniqueId val="{00000002-FBF8-9640-BA02-150D6697A3DC}"/>
            </c:ext>
          </c:extLst>
        </c:ser>
        <c:dLbls>
          <c:showLegendKey val="0"/>
          <c:showVal val="0"/>
          <c:showCatName val="0"/>
          <c:showSerName val="0"/>
          <c:showPercent val="0"/>
          <c:showBubbleSize val="0"/>
        </c:dLbls>
        <c:gapWidth val="50"/>
        <c:axId val="686654175"/>
        <c:axId val="686242463"/>
      </c:barChart>
      <c:catAx>
        <c:axId val="68665417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686242463"/>
        <c:crosses val="autoZero"/>
        <c:auto val="0"/>
        <c:lblAlgn val="ctr"/>
        <c:lblOffset val="100"/>
        <c:noMultiLvlLbl val="0"/>
      </c:catAx>
      <c:valAx>
        <c:axId val="68624246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68665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Sensación!$N$156</c:f>
              <c:strCache>
                <c:ptCount val="1"/>
                <c:pt idx="0">
                  <c:v>Sep 24</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Sensación!$M$157:$M$165</c:f>
              <c:strCache>
                <c:ptCount val="9"/>
                <c:pt idx="0">
                  <c:v>Automóvil</c:v>
                </c:pt>
                <c:pt idx="1">
                  <c:v>Centro comercial</c:v>
                </c:pt>
                <c:pt idx="2">
                  <c:v>Mercado</c:v>
                </c:pt>
                <c:pt idx="3">
                  <c:v>Parque recreativo o centro recreativo</c:v>
                </c:pt>
                <c:pt idx="4">
                  <c:v>Calles que habitualmente usa</c:v>
                </c:pt>
                <c:pt idx="5">
                  <c:v>Carretera</c:v>
                </c:pt>
                <c:pt idx="6">
                  <c:v>Transporte público</c:v>
                </c:pt>
                <c:pt idx="7">
                  <c:v>Banco</c:v>
                </c:pt>
                <c:pt idx="8">
                  <c:v>Cajero automático localizado en la vía pública</c:v>
                </c:pt>
              </c:strCache>
            </c:strRef>
          </c:cat>
          <c:val>
            <c:numRef>
              <c:f>Sensación!$N$157:$N$165</c:f>
              <c:numCache>
                <c:formatCode>0.0</c:formatCode>
                <c:ptCount val="9"/>
                <c:pt idx="0">
                  <c:v>23.224497572331401</c:v>
                </c:pt>
                <c:pt idx="1">
                  <c:v>26.4390458433164</c:v>
                </c:pt>
                <c:pt idx="2">
                  <c:v>29.778548897952799</c:v>
                </c:pt>
                <c:pt idx="3">
                  <c:v>31.516521139006301</c:v>
                </c:pt>
                <c:pt idx="4">
                  <c:v>33.057758114543603</c:v>
                </c:pt>
                <c:pt idx="5">
                  <c:v>41.982096338463002</c:v>
                </c:pt>
                <c:pt idx="6">
                  <c:v>45.255023402230599</c:v>
                </c:pt>
                <c:pt idx="7">
                  <c:v>44.1950612029352</c:v>
                </c:pt>
                <c:pt idx="8">
                  <c:v>51.255441423706102</c:v>
                </c:pt>
              </c:numCache>
            </c:numRef>
          </c:val>
          <c:extLst>
            <c:ext xmlns:c16="http://schemas.microsoft.com/office/drawing/2014/chart" uri="{C3380CC4-5D6E-409C-BE32-E72D297353CC}">
              <c16:uniqueId val="{00000000-54A5-DE45-9496-0147D7EFF941}"/>
            </c:ext>
          </c:extLst>
        </c:ser>
        <c:ser>
          <c:idx val="1"/>
          <c:order val="1"/>
          <c:tx>
            <c:strRef>
              <c:f>Sensación!$O$156</c:f>
              <c:strCache>
                <c:ptCount val="1"/>
                <c:pt idx="0">
                  <c:v>Sep 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Sensación!$M$157:$M$165</c:f>
              <c:strCache>
                <c:ptCount val="9"/>
                <c:pt idx="0">
                  <c:v>Automóvil</c:v>
                </c:pt>
                <c:pt idx="1">
                  <c:v>Centro comercial</c:v>
                </c:pt>
                <c:pt idx="2">
                  <c:v>Mercado</c:v>
                </c:pt>
                <c:pt idx="3">
                  <c:v>Parque recreativo o centro recreativo</c:v>
                </c:pt>
                <c:pt idx="4">
                  <c:v>Calles que habitualmente usa</c:v>
                </c:pt>
                <c:pt idx="5">
                  <c:v>Carretera</c:v>
                </c:pt>
                <c:pt idx="6">
                  <c:v>Transporte público</c:v>
                </c:pt>
                <c:pt idx="7">
                  <c:v>Banco</c:v>
                </c:pt>
                <c:pt idx="8">
                  <c:v>Cajero automático localizado en la vía pública</c:v>
                </c:pt>
              </c:strCache>
            </c:strRef>
          </c:cat>
          <c:val>
            <c:numRef>
              <c:f>Sensación!$O$157:$O$165</c:f>
              <c:numCache>
                <c:formatCode>0.0</c:formatCode>
                <c:ptCount val="9"/>
                <c:pt idx="0">
                  <c:v>30.532351113872402</c:v>
                </c:pt>
                <c:pt idx="1">
                  <c:v>36.487121176961999</c:v>
                </c:pt>
                <c:pt idx="2">
                  <c:v>45.9128859516331</c:v>
                </c:pt>
                <c:pt idx="3">
                  <c:v>49.583661002741003</c:v>
                </c:pt>
                <c:pt idx="4">
                  <c:v>50.024809289740404</c:v>
                </c:pt>
                <c:pt idx="5">
                  <c:v>53.149480949067197</c:v>
                </c:pt>
                <c:pt idx="6">
                  <c:v>54.198350905505698</c:v>
                </c:pt>
                <c:pt idx="7">
                  <c:v>62.967571598926398</c:v>
                </c:pt>
                <c:pt idx="8">
                  <c:v>74.505080948497195</c:v>
                </c:pt>
              </c:numCache>
            </c:numRef>
          </c:val>
          <c:extLst>
            <c:ext xmlns:c16="http://schemas.microsoft.com/office/drawing/2014/chart" uri="{C3380CC4-5D6E-409C-BE32-E72D297353CC}">
              <c16:uniqueId val="{00000001-54A5-DE45-9496-0147D7EFF941}"/>
            </c:ext>
          </c:extLst>
        </c:ser>
        <c:dLbls>
          <c:showLegendKey val="0"/>
          <c:showVal val="0"/>
          <c:showCatName val="0"/>
          <c:showSerName val="0"/>
          <c:showPercent val="0"/>
          <c:showBubbleSize val="0"/>
        </c:dLbls>
        <c:gapWidth val="50"/>
        <c:axId val="2014581951"/>
        <c:axId val="158938031"/>
      </c:barChart>
      <c:catAx>
        <c:axId val="2014581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58938031"/>
        <c:crosses val="autoZero"/>
        <c:auto val="1"/>
        <c:lblAlgn val="ctr"/>
        <c:lblOffset val="100"/>
        <c:noMultiLvlLbl val="0"/>
      </c:catAx>
      <c:valAx>
        <c:axId val="158938031"/>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01458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400">
          <a:solidFill>
            <a:schemeClr val="tx1"/>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Atestiguamiento!$H$159</c:f>
              <c:strCache>
                <c:ptCount val="1"/>
                <c:pt idx="0">
                  <c:v>sep-24</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Atestiguamiento!$G$161:$G$165</c:f>
              <c:strCache>
                <c:ptCount val="5"/>
                <c:pt idx="0">
                  <c:v>Disparos frecuentes con armas</c:v>
                </c:pt>
                <c:pt idx="1">
                  <c:v>Robos o asaltos</c:v>
                </c:pt>
                <c:pt idx="2">
                  <c:v>Vandalismo (grafitis, daños y otros)</c:v>
                </c:pt>
                <c:pt idx="3">
                  <c:v>Venta o consumo de drogas</c:v>
                </c:pt>
                <c:pt idx="4">
                  <c:v>Consumo de alcohol en las calles</c:v>
                </c:pt>
              </c:strCache>
            </c:strRef>
          </c:cat>
          <c:val>
            <c:numRef>
              <c:f>Atestiguamiento!$H$161:$H$165</c:f>
              <c:numCache>
                <c:formatCode>0.0</c:formatCode>
                <c:ptCount val="5"/>
                <c:pt idx="0">
                  <c:v>18.231746382414698</c:v>
                </c:pt>
                <c:pt idx="1">
                  <c:v>28.958209065134898</c:v>
                </c:pt>
                <c:pt idx="2">
                  <c:v>28.4493538053684</c:v>
                </c:pt>
                <c:pt idx="3">
                  <c:v>35.680253323023699</c:v>
                </c:pt>
                <c:pt idx="4">
                  <c:v>54.844581906550303</c:v>
                </c:pt>
              </c:numCache>
            </c:numRef>
          </c:val>
          <c:extLst>
            <c:ext xmlns:c16="http://schemas.microsoft.com/office/drawing/2014/chart" uri="{C3380CC4-5D6E-409C-BE32-E72D297353CC}">
              <c16:uniqueId val="{00000000-7872-6E4F-8F7D-80D87E98D50A}"/>
            </c:ext>
          </c:extLst>
        </c:ser>
        <c:ser>
          <c:idx val="1"/>
          <c:order val="1"/>
          <c:tx>
            <c:strRef>
              <c:f>Atestiguamiento!$I$159</c:f>
              <c:strCache>
                <c:ptCount val="1"/>
                <c:pt idx="0">
                  <c:v>Sep-21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Atestiguamiento!$G$161:$G$165</c:f>
              <c:strCache>
                <c:ptCount val="5"/>
                <c:pt idx="0">
                  <c:v>Disparos frecuentes con armas</c:v>
                </c:pt>
                <c:pt idx="1">
                  <c:v>Robos o asaltos</c:v>
                </c:pt>
                <c:pt idx="2">
                  <c:v>Vandalismo (grafitis, daños y otros)</c:v>
                </c:pt>
                <c:pt idx="3">
                  <c:v>Venta o consumo de drogas</c:v>
                </c:pt>
                <c:pt idx="4">
                  <c:v>Consumo de alcohol en las calles</c:v>
                </c:pt>
              </c:strCache>
            </c:strRef>
          </c:cat>
          <c:val>
            <c:numRef>
              <c:f>Atestiguamiento!$I$161:$I$165</c:f>
              <c:numCache>
                <c:formatCode>#\ ##0.0</c:formatCode>
                <c:ptCount val="5"/>
                <c:pt idx="0">
                  <c:v>22.903887274136899</c:v>
                </c:pt>
                <c:pt idx="1">
                  <c:v>43.406403539084103</c:v>
                </c:pt>
                <c:pt idx="2">
                  <c:v>45.081223874784897</c:v>
                </c:pt>
                <c:pt idx="3">
                  <c:v>43.338695050439298</c:v>
                </c:pt>
                <c:pt idx="4">
                  <c:v>70.7027474561079</c:v>
                </c:pt>
              </c:numCache>
            </c:numRef>
          </c:val>
          <c:extLst>
            <c:ext xmlns:c16="http://schemas.microsoft.com/office/drawing/2014/chart" uri="{C3380CC4-5D6E-409C-BE32-E72D297353CC}">
              <c16:uniqueId val="{00000001-7872-6E4F-8F7D-80D87E98D50A}"/>
            </c:ext>
          </c:extLst>
        </c:ser>
        <c:dLbls>
          <c:showLegendKey val="0"/>
          <c:showVal val="0"/>
          <c:showCatName val="0"/>
          <c:showSerName val="0"/>
          <c:showPercent val="0"/>
          <c:showBubbleSize val="0"/>
        </c:dLbls>
        <c:gapWidth val="182"/>
        <c:axId val="935991727"/>
        <c:axId val="728230271"/>
      </c:barChart>
      <c:catAx>
        <c:axId val="935991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28230271"/>
        <c:crosses val="autoZero"/>
        <c:auto val="1"/>
        <c:lblAlgn val="ctr"/>
        <c:lblOffset val="100"/>
        <c:noMultiLvlLbl val="0"/>
      </c:catAx>
      <c:valAx>
        <c:axId val="728230271"/>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935991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600">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Conflictos!$I$108</c:f>
              <c:strCache>
                <c:ptCount val="1"/>
                <c:pt idx="0">
                  <c:v>Septiembre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Conflictos!$H$112:$H$115</c:f>
              <c:strCache>
                <c:ptCount val="4"/>
                <c:pt idx="0">
                  <c:v>Chismes o malos entendidos</c:v>
                </c:pt>
                <c:pt idx="1">
                  <c:v>Problemas con vecinos</c:v>
                </c:pt>
                <c:pt idx="2">
                  <c:v>Problemas de estacionamiento</c:v>
                </c:pt>
                <c:pt idx="3">
                  <c:v>Problemas relacionados con animales domésticos</c:v>
                </c:pt>
              </c:strCache>
            </c:strRef>
          </c:cat>
          <c:val>
            <c:numRef>
              <c:f>Conflictos!$I$112:$I$115</c:f>
              <c:numCache>
                <c:formatCode>0.0</c:formatCode>
                <c:ptCount val="4"/>
                <c:pt idx="0">
                  <c:v>12.8740850144977</c:v>
                </c:pt>
                <c:pt idx="1">
                  <c:v>22.082439470189801</c:v>
                </c:pt>
                <c:pt idx="2">
                  <c:v>21.088387643376201</c:v>
                </c:pt>
                <c:pt idx="3">
                  <c:v>10.9096617908369</c:v>
                </c:pt>
              </c:numCache>
            </c:numRef>
          </c:val>
          <c:extLst>
            <c:ext xmlns:c16="http://schemas.microsoft.com/office/drawing/2014/chart" uri="{C3380CC4-5D6E-409C-BE32-E72D297353CC}">
              <c16:uniqueId val="{00000000-971C-3341-AC34-D2E6D7D97582}"/>
            </c:ext>
          </c:extLst>
        </c:ser>
        <c:ser>
          <c:idx val="1"/>
          <c:order val="1"/>
          <c:tx>
            <c:strRef>
              <c:f>Conflictos!$J$108</c:f>
              <c:strCache>
                <c:ptCount val="1"/>
                <c:pt idx="0">
                  <c:v>Marzo 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Conflictos!$H$112:$H$115</c:f>
              <c:strCache>
                <c:ptCount val="4"/>
                <c:pt idx="0">
                  <c:v>Chismes o malos entendidos</c:v>
                </c:pt>
                <c:pt idx="1">
                  <c:v>Problemas con vecinos</c:v>
                </c:pt>
                <c:pt idx="2">
                  <c:v>Problemas de estacionamiento</c:v>
                </c:pt>
                <c:pt idx="3">
                  <c:v>Problemas relacionados con animales domésticos</c:v>
                </c:pt>
              </c:strCache>
            </c:strRef>
          </c:cat>
          <c:val>
            <c:numRef>
              <c:f>Conflictos!$J$112:$J$115</c:f>
              <c:numCache>
                <c:formatCode>0.0</c:formatCode>
                <c:ptCount val="4"/>
                <c:pt idx="0">
                  <c:v>8.51262677785164</c:v>
                </c:pt>
                <c:pt idx="1">
                  <c:v>22.553458953922298</c:v>
                </c:pt>
                <c:pt idx="2">
                  <c:v>12.926240135843999</c:v>
                </c:pt>
                <c:pt idx="3">
                  <c:v>14.030959793074899</c:v>
                </c:pt>
              </c:numCache>
            </c:numRef>
          </c:val>
          <c:extLst>
            <c:ext xmlns:c16="http://schemas.microsoft.com/office/drawing/2014/chart" uri="{C3380CC4-5D6E-409C-BE32-E72D297353CC}">
              <c16:uniqueId val="{00000001-971C-3341-AC34-D2E6D7D97582}"/>
            </c:ext>
          </c:extLst>
        </c:ser>
        <c:dLbls>
          <c:showLegendKey val="0"/>
          <c:showVal val="0"/>
          <c:showCatName val="0"/>
          <c:showSerName val="0"/>
          <c:showPercent val="0"/>
          <c:showBubbleSize val="0"/>
        </c:dLbls>
        <c:gapWidth val="219"/>
        <c:overlap val="-27"/>
        <c:axId val="750725056"/>
        <c:axId val="1024797968"/>
      </c:barChart>
      <c:catAx>
        <c:axId val="75072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24797968"/>
        <c:crosses val="autoZero"/>
        <c:auto val="1"/>
        <c:lblAlgn val="ctr"/>
        <c:lblOffset val="100"/>
        <c:noMultiLvlLbl val="0"/>
      </c:catAx>
      <c:valAx>
        <c:axId val="10247979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5072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1-8D75-C545-9C48-A00380B33F8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D75-C545-9C48-A00380B33F80}"/>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'Percepción efe'!$X$29:$Y$29</c:f>
              <c:strCache>
                <c:ptCount val="2"/>
                <c:pt idx="0">
                  <c:v>sep-21</c:v>
                </c:pt>
                <c:pt idx="1">
                  <c:v>sep-24</c:v>
                </c:pt>
              </c:strCache>
            </c:strRef>
          </c:cat>
          <c:val>
            <c:numRef>
              <c:f>'Percepción efe'!$X$30:$Y$30</c:f>
              <c:numCache>
                <c:formatCode>General</c:formatCode>
                <c:ptCount val="2"/>
                <c:pt idx="0" formatCode="0.0">
                  <c:v>25.331043640401301</c:v>
                </c:pt>
                <c:pt idx="1">
                  <c:v>39.1</c:v>
                </c:pt>
              </c:numCache>
            </c:numRef>
          </c:val>
          <c:extLst>
            <c:ext xmlns:c16="http://schemas.microsoft.com/office/drawing/2014/chart" uri="{C3380CC4-5D6E-409C-BE32-E72D297353CC}">
              <c16:uniqueId val="{00000004-8D75-C545-9C48-A00380B33F80}"/>
            </c:ext>
          </c:extLst>
        </c:ser>
        <c:dLbls>
          <c:showLegendKey val="0"/>
          <c:showVal val="0"/>
          <c:showCatName val="0"/>
          <c:showSerName val="0"/>
          <c:showPercent val="0"/>
          <c:showBubbleSize val="0"/>
        </c:dLbls>
        <c:gapWidth val="50"/>
        <c:axId val="1156665920"/>
        <c:axId val="1144490208"/>
      </c:barChart>
      <c:catAx>
        <c:axId val="11566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44490208"/>
        <c:crosses val="autoZero"/>
        <c:auto val="1"/>
        <c:lblAlgn val="ctr"/>
        <c:lblOffset val="100"/>
        <c:noMultiLvlLbl val="0"/>
      </c:catAx>
      <c:valAx>
        <c:axId val="114449020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56665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problematicas!$J$233</c:f>
              <c:strCache>
                <c:ptCount val="1"/>
                <c:pt idx="0">
                  <c:v>sep-24</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problematicas!$I$234:$I$242</c:f>
              <c:strCache>
                <c:ptCount val="9"/>
                <c:pt idx="0">
                  <c:v>Ineficiencia en el servicio de limpia y recolección de basura</c:v>
                </c:pt>
                <c:pt idx="1">
                  <c:v>Delincuencia (robos, extorsiones, secuestros, fraudes, etc.)</c:v>
                </c:pt>
                <c:pt idx="2">
                  <c:v>Alumbrado público insuficiente</c:v>
                </c:pt>
                <c:pt idx="3">
                  <c:v>Parques y jardines descuidados</c:v>
                </c:pt>
                <c:pt idx="4">
                  <c:v>Coladeras tapadas por acumulación de desechos</c:v>
                </c:pt>
                <c:pt idx="5">
                  <c:v>Deficiencias en la red pública de drenaje</c:v>
                </c:pt>
                <c:pt idx="6">
                  <c:v>Calles y avenidas con embotellamientos frecuentes</c:v>
                </c:pt>
                <c:pt idx="7">
                  <c:v>Fallas y fugas en el suministro de agua potable</c:v>
                </c:pt>
                <c:pt idx="8">
                  <c:v>Baches en calles y avenidas</c:v>
                </c:pt>
              </c:strCache>
            </c:strRef>
          </c:cat>
          <c:val>
            <c:numRef>
              <c:f>problematicas!$J$234:$J$242</c:f>
              <c:numCache>
                <c:formatCode>0.0</c:formatCode>
                <c:ptCount val="9"/>
                <c:pt idx="0">
                  <c:v>31.973931293493902</c:v>
                </c:pt>
                <c:pt idx="1">
                  <c:v>61.284141536875403</c:v>
                </c:pt>
                <c:pt idx="2">
                  <c:v>61.444235796605199</c:v>
                </c:pt>
                <c:pt idx="3">
                  <c:v>53.980338009499597</c:v>
                </c:pt>
                <c:pt idx="4">
                  <c:v>62.608490739718</c:v>
                </c:pt>
                <c:pt idx="5">
                  <c:v>64.828012813431997</c:v>
                </c:pt>
                <c:pt idx="6">
                  <c:v>65.382230568135796</c:v>
                </c:pt>
                <c:pt idx="7">
                  <c:v>86.583600279833604</c:v>
                </c:pt>
                <c:pt idx="8">
                  <c:v>96.697080157590506</c:v>
                </c:pt>
              </c:numCache>
            </c:numRef>
          </c:val>
          <c:extLst>
            <c:ext xmlns:c16="http://schemas.microsoft.com/office/drawing/2014/chart" uri="{C3380CC4-5D6E-409C-BE32-E72D297353CC}">
              <c16:uniqueId val="{00000000-17D4-BF4F-A52B-0A28FA2643D6}"/>
            </c:ext>
          </c:extLst>
        </c:ser>
        <c:ser>
          <c:idx val="1"/>
          <c:order val="1"/>
          <c:tx>
            <c:strRef>
              <c:f>problematicas!$K$233</c:f>
              <c:strCache>
                <c:ptCount val="1"/>
                <c:pt idx="0">
                  <c:v>sep-21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problematicas!$I$234:$I$242</c:f>
              <c:strCache>
                <c:ptCount val="9"/>
                <c:pt idx="0">
                  <c:v>Ineficiencia en el servicio de limpia y recolección de basura</c:v>
                </c:pt>
                <c:pt idx="1">
                  <c:v>Delincuencia (robos, extorsiones, secuestros, fraudes, etc.)</c:v>
                </c:pt>
                <c:pt idx="2">
                  <c:v>Alumbrado público insuficiente</c:v>
                </c:pt>
                <c:pt idx="3">
                  <c:v>Parques y jardines descuidados</c:v>
                </c:pt>
                <c:pt idx="4">
                  <c:v>Coladeras tapadas por acumulación de desechos</c:v>
                </c:pt>
                <c:pt idx="5">
                  <c:v>Deficiencias en la red pública de drenaje</c:v>
                </c:pt>
                <c:pt idx="6">
                  <c:v>Calles y avenidas con embotellamientos frecuentes</c:v>
                </c:pt>
                <c:pt idx="7">
                  <c:v>Fallas y fugas en el suministro de agua potable</c:v>
                </c:pt>
                <c:pt idx="8">
                  <c:v>Baches en calles y avenidas</c:v>
                </c:pt>
              </c:strCache>
            </c:strRef>
          </c:cat>
          <c:val>
            <c:numRef>
              <c:f>problematicas!$K$234:$K$242</c:f>
              <c:numCache>
                <c:formatCode>0.0</c:formatCode>
                <c:ptCount val="9"/>
                <c:pt idx="0">
                  <c:v>32.3043163284458</c:v>
                </c:pt>
                <c:pt idx="1">
                  <c:v>79.836903231238495</c:v>
                </c:pt>
                <c:pt idx="2">
                  <c:v>58.644321696009897</c:v>
                </c:pt>
                <c:pt idx="3">
                  <c:v>77.573404947631204</c:v>
                </c:pt>
                <c:pt idx="4">
                  <c:v>73.656486420589005</c:v>
                </c:pt>
                <c:pt idx="5">
                  <c:v>65.195381088282403</c:v>
                </c:pt>
                <c:pt idx="6">
                  <c:v>58.141770348944299</c:v>
                </c:pt>
                <c:pt idx="7">
                  <c:v>87.553566009637095</c:v>
                </c:pt>
                <c:pt idx="8">
                  <c:v>97.865603912357898</c:v>
                </c:pt>
              </c:numCache>
            </c:numRef>
          </c:val>
          <c:extLst>
            <c:ext xmlns:c16="http://schemas.microsoft.com/office/drawing/2014/chart" uri="{C3380CC4-5D6E-409C-BE32-E72D297353CC}">
              <c16:uniqueId val="{00000001-17D4-BF4F-A52B-0A28FA2643D6}"/>
            </c:ext>
          </c:extLst>
        </c:ser>
        <c:dLbls>
          <c:showLegendKey val="0"/>
          <c:showVal val="0"/>
          <c:showCatName val="0"/>
          <c:showSerName val="0"/>
          <c:showPercent val="0"/>
          <c:showBubbleSize val="0"/>
        </c:dLbls>
        <c:gapWidth val="50"/>
        <c:axId val="286070095"/>
        <c:axId val="2000218639"/>
      </c:barChart>
      <c:catAx>
        <c:axId val="286070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000218639"/>
        <c:crosses val="autoZero"/>
        <c:auto val="1"/>
        <c:lblAlgn val="ctr"/>
        <c:lblOffset val="100"/>
        <c:noMultiLvlLbl val="0"/>
      </c:catAx>
      <c:valAx>
        <c:axId val="2000218639"/>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86070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5">
  <a:schemeClr val="accent2"/>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0.38562</cdr:x>
      <cdr:y>0.1958</cdr:y>
    </cdr:from>
    <cdr:to>
      <cdr:x>0.59666</cdr:x>
      <cdr:y>0.42502</cdr:y>
    </cdr:to>
    <cdr:cxnSp macro="">
      <cdr:nvCxnSpPr>
        <cdr:cNvPr id="3" name="Conector recto de flecha 2">
          <a:extLst xmlns:a="http://schemas.openxmlformats.org/drawingml/2006/main">
            <a:ext uri="{FF2B5EF4-FFF2-40B4-BE49-F238E27FC236}">
              <a16:creationId xmlns:a16="http://schemas.microsoft.com/office/drawing/2014/main" id="{F62B577D-1837-4564-88C9-14B8D1FF16BE}"/>
            </a:ext>
          </a:extLst>
        </cdr:cNvPr>
        <cdr:cNvCxnSpPr/>
      </cdr:nvCxnSpPr>
      <cdr:spPr>
        <a:xfrm xmlns:a="http://schemas.openxmlformats.org/drawingml/2006/main" flipV="1">
          <a:off x="1655799" y="545696"/>
          <a:ext cx="906178" cy="638840"/>
        </a:xfrm>
        <a:prstGeom xmlns:a="http://schemas.openxmlformats.org/drawingml/2006/main" prst="straightConnector1">
          <a:avLst/>
        </a:prstGeom>
        <a:ln xmlns:a="http://schemas.openxmlformats.org/drawingml/2006/main" w="50800" cmpd="sng">
          <a:solidFill>
            <a:schemeClr val="accent1">
              <a:lumMod val="50000"/>
            </a:schemeClr>
          </a:solidFill>
          <a:tailEnd type="triangle"/>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0.40283</cdr:x>
      <cdr:y>0.22031</cdr:y>
    </cdr:from>
    <cdr:to>
      <cdr:x>0.5539</cdr:x>
      <cdr:y>0.31406</cdr:y>
    </cdr:to>
    <cdr:sp macro="" textlink="">
      <cdr:nvSpPr>
        <cdr:cNvPr id="4" name="CuadroTexto 3">
          <a:extLst xmlns:a="http://schemas.openxmlformats.org/drawingml/2006/main">
            <a:ext uri="{FF2B5EF4-FFF2-40B4-BE49-F238E27FC236}">
              <a16:creationId xmlns:a16="http://schemas.microsoft.com/office/drawing/2014/main" id="{6CF9D35C-FC9A-4922-8199-797BA7109D6E}"/>
            </a:ext>
          </a:extLst>
        </cdr:cNvPr>
        <cdr:cNvSpPr txBox="1"/>
      </cdr:nvSpPr>
      <cdr:spPr>
        <a:xfrm xmlns:a="http://schemas.openxmlformats.org/drawingml/2006/main" rot="19448198">
          <a:off x="1729719" y="614006"/>
          <a:ext cx="648675" cy="261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indent="0"/>
          <a:fld id="{5B5AF344-4BD3-48C1-A1E8-8032FC9A320D}" type="TxLink">
            <a:rPr lang="en-US" sz="1200" b="1" i="0" u="none" strike="noStrike">
              <a:solidFill>
                <a:srgbClr val="002060"/>
              </a:solidFill>
              <a:latin typeface="+mn-lt"/>
              <a:ea typeface="+mn-ea"/>
              <a:cs typeface="+mn-cs"/>
            </a:rPr>
            <a:pPr marL="0" indent="0"/>
            <a:t>54.1%</a:t>
          </a:fld>
          <a:endParaRPr lang="es-MX" sz="1200" b="1">
            <a:solidFill>
              <a:srgbClr val="002060"/>
            </a:solidFill>
            <a:latin typeface="+mn-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0.21724</cdr:x>
      <cdr:y>0.25213</cdr:y>
    </cdr:from>
    <cdr:to>
      <cdr:x>0.49591</cdr:x>
      <cdr:y>0.35418</cdr:y>
    </cdr:to>
    <cdr:sp macro="" textlink="">
      <cdr:nvSpPr>
        <cdr:cNvPr id="2" name="CuadroTexto 1">
          <a:extLst xmlns:a="http://schemas.openxmlformats.org/drawingml/2006/main">
            <a:ext uri="{FF2B5EF4-FFF2-40B4-BE49-F238E27FC236}">
              <a16:creationId xmlns:a16="http://schemas.microsoft.com/office/drawing/2014/main" id="{5A9E9273-D4B0-56B2-16FD-6AD617837A55}"/>
            </a:ext>
          </a:extLst>
        </cdr:cNvPr>
        <cdr:cNvSpPr txBox="1"/>
      </cdr:nvSpPr>
      <cdr:spPr>
        <a:xfrm xmlns:a="http://schemas.openxmlformats.org/drawingml/2006/main">
          <a:off x="578412" y="691634"/>
          <a:ext cx="741972" cy="279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bg1"/>
              </a:solidFill>
            </a:rPr>
            <a:t>Inversión</a:t>
          </a:r>
        </a:p>
      </cdr:txBody>
    </cdr:sp>
  </cdr:relSizeAnchor>
  <cdr:relSizeAnchor xmlns:cdr="http://schemas.openxmlformats.org/drawingml/2006/chartDrawing">
    <cdr:from>
      <cdr:x>0.45832</cdr:x>
      <cdr:y>0.55387</cdr:y>
    </cdr:from>
    <cdr:to>
      <cdr:x>0.8735</cdr:x>
      <cdr:y>0.648</cdr:y>
    </cdr:to>
    <cdr:sp macro="" textlink="">
      <cdr:nvSpPr>
        <cdr:cNvPr id="3" name="CuadroTexto 2">
          <a:extLst xmlns:a="http://schemas.openxmlformats.org/drawingml/2006/main">
            <a:ext uri="{FF2B5EF4-FFF2-40B4-BE49-F238E27FC236}">
              <a16:creationId xmlns:a16="http://schemas.microsoft.com/office/drawing/2014/main" id="{74BEFDF3-26E6-9D52-0E77-4F919EB6A77E}"/>
            </a:ext>
          </a:extLst>
        </cdr:cNvPr>
        <cdr:cNvSpPr txBox="1"/>
      </cdr:nvSpPr>
      <cdr:spPr>
        <a:xfrm xmlns:a="http://schemas.openxmlformats.org/drawingml/2006/main">
          <a:off x="1243584" y="1519367"/>
          <a:ext cx="1126540" cy="258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bg1"/>
              </a:solidFill>
            </a:rPr>
            <a:t>Gasto Corriente</a:t>
          </a:r>
        </a:p>
      </cdr:txBody>
    </cdr:sp>
  </cdr:relSizeAnchor>
  <cdr:relSizeAnchor xmlns:cdr="http://schemas.openxmlformats.org/drawingml/2006/chartDrawing">
    <cdr:from>
      <cdr:x>0.33464</cdr:x>
      <cdr:y>0.88768</cdr:y>
    </cdr:from>
    <cdr:to>
      <cdr:x>0.74458</cdr:x>
      <cdr:y>1</cdr:y>
    </cdr:to>
    <cdr:sp macro="" textlink="">
      <cdr:nvSpPr>
        <cdr:cNvPr id="4" name="Cuadro de texto 1"/>
        <cdr:cNvSpPr txBox="1"/>
      </cdr:nvSpPr>
      <cdr:spPr>
        <a:xfrm xmlns:a="http://schemas.openxmlformats.org/drawingml/2006/main">
          <a:off x="907987" y="2435086"/>
          <a:ext cx="1112313" cy="3081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solidFill>
                <a:schemeClr val="tx1">
                  <a:lumMod val="75000"/>
                  <a:lumOff val="25000"/>
                </a:schemeClr>
              </a:solidFill>
            </a:rPr>
            <a:t>$8,778.7</a:t>
          </a:r>
          <a:r>
            <a:rPr lang="es-MX" sz="1100" b="1" baseline="0">
              <a:solidFill>
                <a:schemeClr val="tx1">
                  <a:lumMod val="75000"/>
                  <a:lumOff val="25000"/>
                </a:schemeClr>
              </a:solidFill>
            </a:rPr>
            <a:t> mdp</a:t>
          </a:r>
          <a:endParaRPr lang="es-MX" sz="1100" b="1">
            <a:solidFill>
              <a:schemeClr val="tx1">
                <a:lumMod val="75000"/>
                <a:lumOff val="25000"/>
              </a:schemeClr>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0.16018</cdr:x>
      <cdr:y>0.26283</cdr:y>
    </cdr:from>
    <cdr:to>
      <cdr:x>0.50993</cdr:x>
      <cdr:y>0.41226</cdr:y>
    </cdr:to>
    <cdr:sp macro="" textlink="">
      <cdr:nvSpPr>
        <cdr:cNvPr id="2" name="CuadroTexto 1">
          <a:extLst xmlns:a="http://schemas.openxmlformats.org/drawingml/2006/main">
            <a:ext uri="{FF2B5EF4-FFF2-40B4-BE49-F238E27FC236}">
              <a16:creationId xmlns:a16="http://schemas.microsoft.com/office/drawing/2014/main" id="{F3F52141-606D-E14F-69A6-44AC6E0BFAF1}"/>
            </a:ext>
          </a:extLst>
        </cdr:cNvPr>
        <cdr:cNvSpPr txBox="1"/>
      </cdr:nvSpPr>
      <cdr:spPr>
        <a:xfrm xmlns:a="http://schemas.openxmlformats.org/drawingml/2006/main">
          <a:off x="415899" y="718662"/>
          <a:ext cx="908153" cy="4085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bg1"/>
              </a:solidFill>
            </a:rPr>
            <a:t>Inversión</a:t>
          </a:r>
        </a:p>
      </cdr:txBody>
    </cdr:sp>
  </cdr:relSizeAnchor>
  <cdr:relSizeAnchor xmlns:cdr="http://schemas.openxmlformats.org/drawingml/2006/chartDrawing">
    <cdr:from>
      <cdr:x>0.46906</cdr:x>
      <cdr:y>0.51657</cdr:y>
    </cdr:from>
    <cdr:to>
      <cdr:x>0.93535</cdr:x>
      <cdr:y>0.62335</cdr:y>
    </cdr:to>
    <cdr:sp macro="" textlink="">
      <cdr:nvSpPr>
        <cdr:cNvPr id="3" name="CuadroTexto 2">
          <a:extLst xmlns:a="http://schemas.openxmlformats.org/drawingml/2006/main">
            <a:ext uri="{FF2B5EF4-FFF2-40B4-BE49-F238E27FC236}">
              <a16:creationId xmlns:a16="http://schemas.microsoft.com/office/drawing/2014/main" id="{A174A2F6-FCAE-93A0-AC52-05EB058A326B}"/>
            </a:ext>
          </a:extLst>
        </cdr:cNvPr>
        <cdr:cNvSpPr txBox="1"/>
      </cdr:nvSpPr>
      <cdr:spPr>
        <a:xfrm xmlns:a="http://schemas.openxmlformats.org/drawingml/2006/main">
          <a:off x="1217933" y="1412457"/>
          <a:ext cx="1210713" cy="2919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bg1"/>
              </a:solidFill>
            </a:rPr>
            <a:t>Gasto corriente</a:t>
          </a:r>
        </a:p>
      </cdr:txBody>
    </cdr:sp>
  </cdr:relSizeAnchor>
  <cdr:relSizeAnchor xmlns:cdr="http://schemas.openxmlformats.org/drawingml/2006/chartDrawing">
    <cdr:from>
      <cdr:x>0.28049</cdr:x>
      <cdr:y>0.90705</cdr:y>
    </cdr:from>
    <cdr:to>
      <cdr:x>0.74377</cdr:x>
      <cdr:y>0.96783</cdr:y>
    </cdr:to>
    <cdr:sp macro="" textlink="">
      <cdr:nvSpPr>
        <cdr:cNvPr id="4" name="CuadroTexto 8">
          <a:extLst xmlns:a="http://schemas.openxmlformats.org/drawingml/2006/main">
            <a:ext uri="{FF2B5EF4-FFF2-40B4-BE49-F238E27FC236}">
              <a16:creationId xmlns:a16="http://schemas.microsoft.com/office/drawing/2014/main" id="{752E8DDF-AC27-9D1B-E8CE-817F425835D4}"/>
            </a:ext>
          </a:extLst>
        </cdr:cNvPr>
        <cdr:cNvSpPr txBox="1"/>
      </cdr:nvSpPr>
      <cdr:spPr>
        <a:xfrm xmlns:a="http://schemas.openxmlformats.org/drawingml/2006/main">
          <a:off x="728298" y="2686355"/>
          <a:ext cx="1202914" cy="18000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1100" b="1"/>
            <a:t>$14,688.2 mdp</a:t>
          </a:r>
        </a:p>
      </cdr:txBody>
    </cdr:sp>
  </cdr:relSizeAnchor>
</c:userShapes>
</file>

<file path=word/drawings/drawing4.xml><?xml version="1.0" encoding="utf-8"?>
<c:userShapes xmlns:c="http://schemas.openxmlformats.org/drawingml/2006/chart">
  <cdr:relSizeAnchor xmlns:cdr="http://schemas.openxmlformats.org/drawingml/2006/chartDrawing">
    <cdr:from>
      <cdr:x>0.345</cdr:x>
      <cdr:y>0.8464</cdr:y>
    </cdr:from>
    <cdr:to>
      <cdr:x>0.70267</cdr:x>
      <cdr:y>0.91274</cdr:y>
    </cdr:to>
    <cdr:sp macro="" textlink="">
      <cdr:nvSpPr>
        <cdr:cNvPr id="2" name="Cuadro de texto 1"/>
        <cdr:cNvSpPr txBox="1"/>
      </cdr:nvSpPr>
      <cdr:spPr>
        <a:xfrm xmlns:a="http://schemas.openxmlformats.org/drawingml/2006/main">
          <a:off x="940279" y="2751825"/>
          <a:ext cx="974785" cy="2156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accent1">
                  <a:lumMod val="50000"/>
                </a:schemeClr>
              </a:solidFill>
            </a:rPr>
            <a:t>1,464.4 mdp</a:t>
          </a:r>
        </a:p>
      </cdr:txBody>
    </cdr:sp>
  </cdr:relSizeAnchor>
</c:userShapes>
</file>

<file path=word/drawings/drawing5.xml><?xml version="1.0" encoding="utf-8"?>
<c:userShapes xmlns:c="http://schemas.openxmlformats.org/drawingml/2006/chart">
  <cdr:relSizeAnchor xmlns:cdr="http://schemas.openxmlformats.org/drawingml/2006/chartDrawing">
    <cdr:from>
      <cdr:x>0.34064</cdr:x>
      <cdr:y>0.85987</cdr:y>
    </cdr:from>
    <cdr:to>
      <cdr:x>0.71253</cdr:x>
      <cdr:y>0.92376</cdr:y>
    </cdr:to>
    <cdr:sp macro="" textlink="">
      <cdr:nvSpPr>
        <cdr:cNvPr id="2" name="Cuadro de texto 1"/>
        <cdr:cNvSpPr txBox="1"/>
      </cdr:nvSpPr>
      <cdr:spPr>
        <a:xfrm xmlns:a="http://schemas.openxmlformats.org/drawingml/2006/main">
          <a:off x="940280" y="2786332"/>
          <a:ext cx="1026542" cy="207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accent1">
                  <a:lumMod val="50000"/>
                </a:schemeClr>
              </a:solidFill>
            </a:rPr>
            <a:t>3,590.4</a:t>
          </a:r>
          <a:r>
            <a:rPr lang="es-MX" sz="1100" b="1" baseline="0">
              <a:solidFill>
                <a:schemeClr val="accent1">
                  <a:lumMod val="50000"/>
                </a:schemeClr>
              </a:solidFill>
            </a:rPr>
            <a:t> mdp</a:t>
          </a:r>
          <a:endParaRPr lang="es-MX" sz="1100" b="1">
            <a:solidFill>
              <a:schemeClr val="accent1">
                <a:lumMod val="50000"/>
              </a:schemeClr>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0.35172</cdr:x>
      <cdr:y>0.25</cdr:y>
    </cdr:from>
    <cdr:to>
      <cdr:x>0.54756</cdr:x>
      <cdr:y>0.64931</cdr:y>
    </cdr:to>
    <cdr:cxnSp macro="">
      <cdr:nvCxnSpPr>
        <cdr:cNvPr id="2" name="Conector recto de flecha 1">
          <a:extLst xmlns:a="http://schemas.openxmlformats.org/drawingml/2006/main">
            <a:ext uri="{FF2B5EF4-FFF2-40B4-BE49-F238E27FC236}">
              <a16:creationId xmlns:a16="http://schemas.microsoft.com/office/drawing/2014/main" id="{69A58635-CEF4-4067-8244-1849A19DB8DD}"/>
            </a:ext>
          </a:extLst>
        </cdr:cNvPr>
        <cdr:cNvCxnSpPr/>
      </cdr:nvCxnSpPr>
      <cdr:spPr>
        <a:xfrm xmlns:a="http://schemas.openxmlformats.org/drawingml/2006/main" flipV="1">
          <a:off x="961715" y="685800"/>
          <a:ext cx="535488" cy="1095387"/>
        </a:xfrm>
        <a:prstGeom xmlns:a="http://schemas.openxmlformats.org/drawingml/2006/main" prst="straightConnector1">
          <a:avLst/>
        </a:prstGeom>
        <a:ln xmlns:a="http://schemas.openxmlformats.org/drawingml/2006/main" w="44450">
          <a:solidFill>
            <a:schemeClr val="tx2">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0.36568</cdr:x>
      <cdr:y>0.30758</cdr:y>
    </cdr:from>
    <cdr:to>
      <cdr:x>0.46778</cdr:x>
      <cdr:y>0.53328</cdr:y>
    </cdr:to>
    <cdr:sp macro="" textlink="">
      <cdr:nvSpPr>
        <cdr:cNvPr id="5" name="CuadroTexto 6">
          <a:extLst xmlns:a="http://schemas.openxmlformats.org/drawingml/2006/main">
            <a:ext uri="{FF2B5EF4-FFF2-40B4-BE49-F238E27FC236}">
              <a16:creationId xmlns:a16="http://schemas.microsoft.com/office/drawing/2014/main" id="{293AB42D-0E0A-4BD4-9F2C-522C8B6EC54F}"/>
            </a:ext>
          </a:extLst>
        </cdr:cNvPr>
        <cdr:cNvSpPr txBox="1"/>
      </cdr:nvSpPr>
      <cdr:spPr>
        <a:xfrm xmlns:a="http://schemas.openxmlformats.org/drawingml/2006/main" rot="17895033">
          <a:off x="829899" y="1013736"/>
          <a:ext cx="619140" cy="27914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indent="0"/>
          <a:fld id="{54A531DB-D3B5-49A9-83C4-11DAC0F4B32F}" type="TxLink">
            <a:rPr lang="en-US" sz="1100" b="1" i="0" u="none" strike="noStrike">
              <a:solidFill>
                <a:schemeClr val="tx2">
                  <a:lumMod val="50000"/>
                </a:schemeClr>
              </a:solidFill>
              <a:latin typeface="Calibri"/>
              <a:ea typeface="+mn-ea"/>
              <a:cs typeface="Calibri"/>
            </a:rPr>
            <a:pPr marL="0" indent="0"/>
            <a:t>221.8%</a:t>
          </a:fld>
          <a:endParaRPr lang="es-MX" sz="1100" b="1" i="0" u="none" strike="noStrike">
            <a:solidFill>
              <a:schemeClr val="tx2">
                <a:lumMod val="50000"/>
              </a:schemeClr>
            </a:solidFill>
            <a:latin typeface="Calibri"/>
            <a:ea typeface="+mn-ea"/>
            <a:cs typeface="Calibri"/>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0.45624</cdr:x>
      <cdr:y>0.20602</cdr:y>
    </cdr:from>
    <cdr:to>
      <cdr:x>0.66457</cdr:x>
      <cdr:y>0.39005</cdr:y>
    </cdr:to>
    <cdr:cxnSp macro="">
      <cdr:nvCxnSpPr>
        <cdr:cNvPr id="2" name="Conector recto de flecha 1">
          <a:extLst xmlns:a="http://schemas.openxmlformats.org/drawingml/2006/main">
            <a:ext uri="{FF2B5EF4-FFF2-40B4-BE49-F238E27FC236}">
              <a16:creationId xmlns:a16="http://schemas.microsoft.com/office/drawing/2014/main" id="{69A58635-CEF4-4067-8244-1849A19DB8DD}"/>
            </a:ext>
          </a:extLst>
        </cdr:cNvPr>
        <cdr:cNvCxnSpPr/>
      </cdr:nvCxnSpPr>
      <cdr:spPr>
        <a:xfrm xmlns:a="http://schemas.openxmlformats.org/drawingml/2006/main">
          <a:off x="1251555" y="565154"/>
          <a:ext cx="571491" cy="504831"/>
        </a:xfrm>
        <a:prstGeom xmlns:a="http://schemas.openxmlformats.org/drawingml/2006/main" prst="straightConnector1">
          <a:avLst/>
        </a:prstGeom>
        <a:ln xmlns:a="http://schemas.openxmlformats.org/drawingml/2006/main" w="44450">
          <a:solidFill>
            <a:schemeClr val="tx2">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0.49187</cdr:x>
      <cdr:y>0.22524</cdr:y>
    </cdr:from>
    <cdr:to>
      <cdr:x>0.80469</cdr:x>
      <cdr:y>0.32246</cdr:y>
    </cdr:to>
    <cdr:sp macro="" textlink="">
      <cdr:nvSpPr>
        <cdr:cNvPr id="3" name="CuadroTexto 6">
          <a:extLst xmlns:a="http://schemas.openxmlformats.org/drawingml/2006/main">
            <a:ext uri="{FF2B5EF4-FFF2-40B4-BE49-F238E27FC236}">
              <a16:creationId xmlns:a16="http://schemas.microsoft.com/office/drawing/2014/main" id="{293AB42D-0E0A-4BD4-9F2C-522C8B6EC54F}"/>
            </a:ext>
          </a:extLst>
        </cdr:cNvPr>
        <cdr:cNvSpPr txBox="1"/>
      </cdr:nvSpPr>
      <cdr:spPr>
        <a:xfrm xmlns:a="http://schemas.openxmlformats.org/drawingml/2006/main" rot="1661779">
          <a:off x="1349287" y="617867"/>
          <a:ext cx="858148" cy="26669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BFCC1F3-CDE7-4255-BDDB-C193E3D35021}" type="TxLink">
            <a:rPr lang="en-US" sz="1100" b="1" i="0" u="none" strike="noStrike">
              <a:solidFill>
                <a:schemeClr val="tx2">
                  <a:lumMod val="50000"/>
                </a:schemeClr>
              </a:solidFill>
              <a:latin typeface="Calibri"/>
              <a:cs typeface="Calibri"/>
            </a:rPr>
            <a:pPr/>
            <a:t>-26.8%</a:t>
          </a:fld>
          <a:endParaRPr lang="es-MX" sz="1100" b="1">
            <a:solidFill>
              <a:schemeClr val="tx2">
                <a:lumMod val="50000"/>
              </a:schemeClr>
            </a:solidFill>
          </a:endParaRPr>
        </a:p>
      </cdr:txBody>
    </cdr:sp>
  </cdr:relSizeAnchor>
  <cdr:relSizeAnchor xmlns:cdr="http://schemas.openxmlformats.org/drawingml/2006/chartDrawing">
    <cdr:from>
      <cdr:x>0.00974</cdr:x>
      <cdr:y>0.00629</cdr:y>
    </cdr:from>
    <cdr:to>
      <cdr:x>1</cdr:x>
      <cdr:y>0.18868</cdr:y>
    </cdr:to>
    <cdr:sp macro="" textlink="">
      <cdr:nvSpPr>
        <cdr:cNvPr id="4" name="Cuadro de texto 3"/>
        <cdr:cNvSpPr txBox="1"/>
      </cdr:nvSpPr>
      <cdr:spPr>
        <a:xfrm xmlns:a="http://schemas.openxmlformats.org/drawingml/2006/main">
          <a:off x="25879" y="17251"/>
          <a:ext cx="2630961" cy="5003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400" b="1">
              <a:solidFill>
                <a:schemeClr val="tx1">
                  <a:lumMod val="65000"/>
                  <a:lumOff val="35000"/>
                </a:schemeClr>
              </a:solidFill>
            </a:rPr>
            <a:t>Subsidios Federales y Estatales</a:t>
          </a:r>
        </a:p>
        <a:p xmlns:a="http://schemas.openxmlformats.org/drawingml/2006/main">
          <a:pPr algn="ctr"/>
          <a:r>
            <a:rPr lang="es-MX" sz="1000" b="1">
              <a:solidFill>
                <a:schemeClr val="tx1">
                  <a:lumMod val="65000"/>
                  <a:lumOff val="35000"/>
                </a:schemeClr>
              </a:solidFill>
            </a:rPr>
            <a:t>mdp</a:t>
          </a:r>
        </a:p>
      </cdr:txBody>
    </cdr:sp>
  </cdr:relSizeAnchor>
</c:userShapes>
</file>

<file path=word/drawings/drawing8.xml><?xml version="1.0" encoding="utf-8"?>
<c:userShapes xmlns:c="http://schemas.openxmlformats.org/drawingml/2006/chart">
  <cdr:relSizeAnchor xmlns:cdr="http://schemas.openxmlformats.org/drawingml/2006/chartDrawing">
    <cdr:from>
      <cdr:x>0.38852</cdr:x>
      <cdr:y>0.20152</cdr:y>
    </cdr:from>
    <cdr:to>
      <cdr:x>0.58057</cdr:x>
      <cdr:y>0.5296</cdr:y>
    </cdr:to>
    <cdr:cxnSp macro="">
      <cdr:nvCxnSpPr>
        <cdr:cNvPr id="3" name="Conector recto de flecha 2">
          <a:extLst xmlns:a="http://schemas.openxmlformats.org/drawingml/2006/main">
            <a:ext uri="{FF2B5EF4-FFF2-40B4-BE49-F238E27FC236}">
              <a16:creationId xmlns:a16="http://schemas.microsoft.com/office/drawing/2014/main" id="{F62B577D-1837-4564-88C9-14B8D1FF16BE}"/>
            </a:ext>
          </a:extLst>
        </cdr:cNvPr>
        <cdr:cNvCxnSpPr/>
      </cdr:nvCxnSpPr>
      <cdr:spPr>
        <a:xfrm xmlns:a="http://schemas.openxmlformats.org/drawingml/2006/main" flipV="1">
          <a:off x="1676401" y="504826"/>
          <a:ext cx="828675" cy="821862"/>
        </a:xfrm>
        <a:prstGeom xmlns:a="http://schemas.openxmlformats.org/drawingml/2006/main" prst="straightConnector1">
          <a:avLst/>
        </a:prstGeom>
        <a:ln xmlns:a="http://schemas.openxmlformats.org/drawingml/2006/main" w="50800" cmpd="sng">
          <a:tailEnd type="triangle"/>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0.36947</cdr:x>
      <cdr:y>0.30207</cdr:y>
    </cdr:from>
    <cdr:to>
      <cdr:x>0.52054</cdr:x>
      <cdr:y>0.39582</cdr:y>
    </cdr:to>
    <cdr:sp macro="" textlink="">
      <cdr:nvSpPr>
        <cdr:cNvPr id="4" name="CuadroTexto 3">
          <a:extLst xmlns:a="http://schemas.openxmlformats.org/drawingml/2006/main">
            <a:ext uri="{FF2B5EF4-FFF2-40B4-BE49-F238E27FC236}">
              <a16:creationId xmlns:a16="http://schemas.microsoft.com/office/drawing/2014/main" id="{6CF9D35C-FC9A-4922-8199-797BA7109D6E}"/>
            </a:ext>
          </a:extLst>
        </cdr:cNvPr>
        <cdr:cNvSpPr txBox="1"/>
      </cdr:nvSpPr>
      <cdr:spPr>
        <a:xfrm xmlns:a="http://schemas.openxmlformats.org/drawingml/2006/main" rot="18940466">
          <a:off x="1594181" y="756708"/>
          <a:ext cx="651853" cy="2348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indent="0"/>
          <a:fld id="{CC1CBF6B-7219-4978-BC56-3FF66369CFAE}" type="TxLink">
            <a:rPr lang="en-US" sz="1200" b="1" i="0" u="none" strike="noStrike">
              <a:solidFill>
                <a:srgbClr val="002060"/>
              </a:solidFill>
              <a:latin typeface="+mn-lt"/>
              <a:ea typeface="+mn-ea"/>
              <a:cs typeface="+mn-cs"/>
            </a:rPr>
            <a:pPr marL="0" indent="0"/>
            <a:t>134.4%</a:t>
          </a:fld>
          <a:endParaRPr lang="es-MX" sz="1200" b="1">
            <a:solidFill>
              <a:srgbClr val="002060"/>
            </a:solidFill>
            <a:latin typeface="+mn-lt"/>
            <a:ea typeface="+mn-ea"/>
            <a:cs typeface="+mn-cs"/>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0B9CA8B978468419745173DCA626C38"/>
        <w:category>
          <w:name w:val="General"/>
          <w:gallery w:val="placeholder"/>
        </w:category>
        <w:types>
          <w:type w:val="bbPlcHdr"/>
        </w:types>
        <w:behaviors>
          <w:behavior w:val="content"/>
        </w:behaviors>
        <w:guid w:val="{CDCDAC60-6F21-224B-A807-D5D1EBCF81C4}"/>
      </w:docPartPr>
      <w:docPartBody>
        <w:p w:rsidR="009D6040" w:rsidRDefault="00910221" w:rsidP="00910221">
          <w:pPr>
            <w:pStyle w:val="30B9CA8B978468419745173DCA626C38"/>
          </w:pPr>
          <w:r>
            <w:rPr>
              <w:color w:val="4472C4" w:themeColor="accent1"/>
              <w:spacing w:val="20"/>
              <w:sz w:val="28"/>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221"/>
    <w:rsid w:val="0000466C"/>
    <w:rsid w:val="00036DE8"/>
    <w:rsid w:val="000558D5"/>
    <w:rsid w:val="000612F6"/>
    <w:rsid w:val="000670BE"/>
    <w:rsid w:val="00077747"/>
    <w:rsid w:val="000915B7"/>
    <w:rsid w:val="000E0D07"/>
    <w:rsid w:val="000E178F"/>
    <w:rsid w:val="00107641"/>
    <w:rsid w:val="00135F4C"/>
    <w:rsid w:val="00151530"/>
    <w:rsid w:val="001B1A5A"/>
    <w:rsid w:val="001D40A7"/>
    <w:rsid w:val="001E4105"/>
    <w:rsid w:val="0020152C"/>
    <w:rsid w:val="00201AAE"/>
    <w:rsid w:val="002B5535"/>
    <w:rsid w:val="0032076D"/>
    <w:rsid w:val="00335956"/>
    <w:rsid w:val="0034108D"/>
    <w:rsid w:val="003525FA"/>
    <w:rsid w:val="003741C3"/>
    <w:rsid w:val="003A557E"/>
    <w:rsid w:val="003F5059"/>
    <w:rsid w:val="004340F9"/>
    <w:rsid w:val="00480E8C"/>
    <w:rsid w:val="004B67A6"/>
    <w:rsid w:val="004E63CA"/>
    <w:rsid w:val="00507204"/>
    <w:rsid w:val="00552845"/>
    <w:rsid w:val="0057105F"/>
    <w:rsid w:val="00571343"/>
    <w:rsid w:val="005C1DBA"/>
    <w:rsid w:val="00627D46"/>
    <w:rsid w:val="00646D06"/>
    <w:rsid w:val="00692FFB"/>
    <w:rsid w:val="006B15F5"/>
    <w:rsid w:val="006B392B"/>
    <w:rsid w:val="00766D8B"/>
    <w:rsid w:val="007D00A4"/>
    <w:rsid w:val="007F2BC3"/>
    <w:rsid w:val="00814826"/>
    <w:rsid w:val="00863F61"/>
    <w:rsid w:val="00910221"/>
    <w:rsid w:val="00924280"/>
    <w:rsid w:val="009D00B6"/>
    <w:rsid w:val="009D6040"/>
    <w:rsid w:val="009E188D"/>
    <w:rsid w:val="009E2175"/>
    <w:rsid w:val="00A16176"/>
    <w:rsid w:val="00A22E0E"/>
    <w:rsid w:val="00A234C2"/>
    <w:rsid w:val="00A320E1"/>
    <w:rsid w:val="00A36723"/>
    <w:rsid w:val="00A969F2"/>
    <w:rsid w:val="00AE7BC1"/>
    <w:rsid w:val="00B14B0D"/>
    <w:rsid w:val="00B56E30"/>
    <w:rsid w:val="00BB6E60"/>
    <w:rsid w:val="00C47459"/>
    <w:rsid w:val="00C73CF0"/>
    <w:rsid w:val="00C8158D"/>
    <w:rsid w:val="00C82C57"/>
    <w:rsid w:val="00CE25E1"/>
    <w:rsid w:val="00D2343A"/>
    <w:rsid w:val="00D3477D"/>
    <w:rsid w:val="00D67C21"/>
    <w:rsid w:val="00DF5D54"/>
    <w:rsid w:val="00E21FE8"/>
    <w:rsid w:val="00E37E9F"/>
    <w:rsid w:val="00E41DCE"/>
    <w:rsid w:val="00E65F3D"/>
    <w:rsid w:val="00ED25DD"/>
    <w:rsid w:val="00EE4865"/>
    <w:rsid w:val="00EF1293"/>
    <w:rsid w:val="00F16E4C"/>
    <w:rsid w:val="00F8269C"/>
    <w:rsid w:val="00F91433"/>
    <w:rsid w:val="00FA317B"/>
    <w:rsid w:val="00FA47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0B9CA8B978468419745173DCA626C38">
    <w:name w:val="30B9CA8B978468419745173DCA626C38"/>
    <w:rsid w:val="009102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73168-A6CB-4C82-9746-2069A87DB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232</Pages>
  <Words>80978</Words>
  <Characters>445379</Characters>
  <Application>Microsoft Office Word</Application>
  <DocSecurity>0</DocSecurity>
  <Lines>3711</Lines>
  <Paragraphs>1050</Paragraphs>
  <ScaleCrop>false</ScaleCrop>
  <HeadingPairs>
    <vt:vector size="2" baseType="variant">
      <vt:variant>
        <vt:lpstr>Título</vt:lpstr>
      </vt:variant>
      <vt:variant>
        <vt:i4>1</vt:i4>
      </vt:variant>
    </vt:vector>
  </HeadingPairs>
  <TitlesOfParts>
    <vt:vector size="1" baseType="lpstr">
      <vt:lpstr>PLAN MUNICIPAL DE DESARROLLO DE HERMOSILLO 2025-2027</vt:lpstr>
    </vt:vector>
  </TitlesOfParts>
  <Company/>
  <LinksUpToDate>false</LinksUpToDate>
  <CharactersWithSpaces>525307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MUNICIPAL DE DESARROLLO DE HERMOSILLO 2025-2027</dc:title>
  <dc:subject/>
  <dc:creator>Alfredo Gastélum</dc:creator>
  <cp:keywords/>
  <dc:description/>
  <cp:lastModifiedBy>Gastelum Gomez Jose Alfredo</cp:lastModifiedBy>
  <cp:revision>17</cp:revision>
  <cp:lastPrinted>2024-11-27T18:01:00Z</cp:lastPrinted>
  <dcterms:created xsi:type="dcterms:W3CDTF">2024-11-27T18:04:00Z</dcterms:created>
  <dcterms:modified xsi:type="dcterms:W3CDTF">2025-01-29T19:07:00Z</dcterms:modified>
</cp:coreProperties>
</file>